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Gender Reassignment Act 2000</w:t>
      </w:r>
      <w:r>
        <w:rPr>
          <w:sz w:val="48"/>
        </w:rPr>
        <w:fldChar w:fldCharType="end"/>
      </w:r>
    </w:p>
    <w:p>
      <w:pPr>
        <w:pStyle w:val="ReprintNo"/>
        <w:outlineLvl w:val="9"/>
      </w:pPr>
      <w:r>
        <w:t>Reprint 2:  The Act as at 6 December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25306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209"/>
        </w:tabs>
        <w:ind w:left="1200"/>
        <w:rPr>
          <w:sz w:val="20"/>
        </w:rPr>
      </w:pPr>
      <w:r>
        <w:rPr>
          <w:sz w:val="20"/>
        </w:rPr>
        <w:t>removed (because it was repealed or deleted from the law); or</w:t>
      </w:r>
    </w:p>
    <w:p>
      <w:pPr>
        <w:numPr>
          <w:ilvl w:val="0"/>
          <w:numId w:val="2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Gender Reassignment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_Toc382376828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_Toc382376829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_Toc382376830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_Toc382376831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Gender Reassignment Board</w:t>
      </w:r>
    </w:p>
    <w:p>
      <w:pPr>
        <w:pStyle w:val="TOC8"/>
        <w:rPr>
          <w:rFonts w:asciiTheme="minorHAnsi" w:eastAsiaTheme="minorEastAsia" w:hAnsiTheme="minorHAnsi" w:cstheme="minorBidi"/>
          <w:szCs w:val="22"/>
        </w:rPr>
      </w:pPr>
      <w:r>
        <w:t>5.</w:t>
      </w:r>
      <w:r>
        <w:tab/>
        <w:t>Establishment and function of Board</w:t>
      </w:r>
      <w:r>
        <w:tab/>
      </w:r>
      <w:r>
        <w:fldChar w:fldCharType="begin"/>
      </w:r>
      <w:r>
        <w:instrText xml:space="preserve"> PAGEREF _Toc382376833 \h </w:instrText>
      </w:r>
      <w:r>
        <w:fldChar w:fldCharType="separate"/>
      </w:r>
      <w:r>
        <w:t>4</w:t>
      </w:r>
      <w:r>
        <w:fldChar w:fldCharType="end"/>
      </w:r>
    </w:p>
    <w:p>
      <w:pPr>
        <w:pStyle w:val="TOC8"/>
        <w:rPr>
          <w:rFonts w:asciiTheme="minorHAnsi" w:eastAsiaTheme="minorEastAsia" w:hAnsiTheme="minorHAnsi" w:cstheme="minorBidi"/>
          <w:szCs w:val="22"/>
        </w:rPr>
      </w:pPr>
      <w:r>
        <w:t>6.</w:t>
      </w:r>
      <w:r>
        <w:tab/>
        <w:t>President of Board</w:t>
      </w:r>
      <w:r>
        <w:tab/>
      </w:r>
      <w:r>
        <w:fldChar w:fldCharType="begin"/>
      </w:r>
      <w:r>
        <w:instrText xml:space="preserve"> PAGEREF _Toc382376834 \h </w:instrText>
      </w:r>
      <w:r>
        <w:fldChar w:fldCharType="separate"/>
      </w:r>
      <w:r>
        <w:t>4</w:t>
      </w:r>
      <w:r>
        <w:fldChar w:fldCharType="end"/>
      </w:r>
    </w:p>
    <w:p>
      <w:pPr>
        <w:pStyle w:val="TOC8"/>
        <w:rPr>
          <w:rFonts w:asciiTheme="minorHAnsi" w:eastAsiaTheme="minorEastAsia" w:hAnsiTheme="minorHAnsi" w:cstheme="minorBidi"/>
          <w:szCs w:val="22"/>
        </w:rPr>
      </w:pPr>
      <w:r>
        <w:t>7.</w:t>
      </w:r>
      <w:r>
        <w:tab/>
        <w:t>Other Board members</w:t>
      </w:r>
      <w:r>
        <w:tab/>
      </w:r>
      <w:r>
        <w:fldChar w:fldCharType="begin"/>
      </w:r>
      <w:r>
        <w:instrText xml:space="preserve"> PAGEREF _Toc382376835 \h </w:instrText>
      </w:r>
      <w:r>
        <w:fldChar w:fldCharType="separate"/>
      </w:r>
      <w:r>
        <w:t>5</w:t>
      </w:r>
      <w:r>
        <w:fldChar w:fldCharType="end"/>
      </w:r>
    </w:p>
    <w:p>
      <w:pPr>
        <w:pStyle w:val="TOC8"/>
        <w:rPr>
          <w:rFonts w:asciiTheme="minorHAnsi" w:eastAsiaTheme="minorEastAsia" w:hAnsiTheme="minorHAnsi" w:cstheme="minorBidi"/>
          <w:szCs w:val="22"/>
        </w:rPr>
      </w:pPr>
      <w:r>
        <w:t>8.</w:t>
      </w:r>
      <w:r>
        <w:tab/>
        <w:t>Arrangement of business</w:t>
      </w:r>
      <w:r>
        <w:tab/>
      </w:r>
      <w:r>
        <w:fldChar w:fldCharType="begin"/>
      </w:r>
      <w:r>
        <w:instrText xml:space="preserve"> PAGEREF _Toc382376836 \h </w:instrText>
      </w:r>
      <w:r>
        <w:fldChar w:fldCharType="separate"/>
      </w:r>
      <w:r>
        <w:t>5</w:t>
      </w:r>
      <w:r>
        <w:fldChar w:fldCharType="end"/>
      </w:r>
    </w:p>
    <w:p>
      <w:pPr>
        <w:pStyle w:val="TOC8"/>
        <w:rPr>
          <w:rFonts w:asciiTheme="minorHAnsi" w:eastAsiaTheme="minorEastAsia" w:hAnsiTheme="minorHAnsi" w:cstheme="minorBidi"/>
          <w:szCs w:val="22"/>
        </w:rPr>
      </w:pPr>
      <w:r>
        <w:t>9.</w:t>
      </w:r>
      <w:r>
        <w:tab/>
        <w:t>Remuneration and allowances of members</w:t>
      </w:r>
      <w:r>
        <w:tab/>
      </w:r>
      <w:r>
        <w:fldChar w:fldCharType="begin"/>
      </w:r>
      <w:r>
        <w:instrText xml:space="preserve"> PAGEREF _Toc382376837 \h </w:instrText>
      </w:r>
      <w:r>
        <w:fldChar w:fldCharType="separate"/>
      </w:r>
      <w:r>
        <w:t>5</w:t>
      </w:r>
      <w:r>
        <w:fldChar w:fldCharType="end"/>
      </w:r>
    </w:p>
    <w:p>
      <w:pPr>
        <w:pStyle w:val="TOC8"/>
        <w:rPr>
          <w:rFonts w:asciiTheme="minorHAnsi" w:eastAsiaTheme="minorEastAsia" w:hAnsiTheme="minorHAnsi" w:cstheme="minorBidi"/>
          <w:szCs w:val="22"/>
        </w:rPr>
      </w:pPr>
      <w:r>
        <w:t>10.</w:t>
      </w:r>
      <w:r>
        <w:tab/>
        <w:t>Practice directions</w:t>
      </w:r>
      <w:r>
        <w:tab/>
      </w:r>
      <w:r>
        <w:fldChar w:fldCharType="begin"/>
      </w:r>
      <w:r>
        <w:instrText xml:space="preserve"> PAGEREF _Toc382376838 \h </w:instrText>
      </w:r>
      <w:r>
        <w:fldChar w:fldCharType="separate"/>
      </w:r>
      <w:r>
        <w:t>6</w:t>
      </w:r>
      <w:r>
        <w:fldChar w:fldCharType="end"/>
      </w:r>
    </w:p>
    <w:p>
      <w:pPr>
        <w:pStyle w:val="TOC8"/>
        <w:rPr>
          <w:rFonts w:asciiTheme="minorHAnsi" w:eastAsiaTheme="minorEastAsia" w:hAnsiTheme="minorHAnsi" w:cstheme="minorBidi"/>
          <w:szCs w:val="22"/>
        </w:rPr>
      </w:pPr>
      <w:r>
        <w:t>11.</w:t>
      </w:r>
      <w:r>
        <w:tab/>
        <w:t>Executive officer and other officers</w:t>
      </w:r>
      <w:r>
        <w:tab/>
      </w:r>
      <w:r>
        <w:fldChar w:fldCharType="begin"/>
      </w:r>
      <w:r>
        <w:instrText xml:space="preserve"> PAGEREF _Toc382376839 \h </w:instrText>
      </w:r>
      <w:r>
        <w:fldChar w:fldCharType="separate"/>
      </w:r>
      <w:r>
        <w:t>6</w:t>
      </w:r>
      <w:r>
        <w:fldChar w:fldCharType="end"/>
      </w:r>
    </w:p>
    <w:p>
      <w:pPr>
        <w:pStyle w:val="TOC8"/>
        <w:rPr>
          <w:rFonts w:asciiTheme="minorHAnsi" w:eastAsiaTheme="minorEastAsia" w:hAnsiTheme="minorHAnsi" w:cstheme="minorBidi"/>
          <w:szCs w:val="22"/>
        </w:rPr>
      </w:pPr>
      <w:r>
        <w:t>12.</w:t>
      </w:r>
      <w:r>
        <w:tab/>
        <w:t>Judicial notice of seal and signatures</w:t>
      </w:r>
      <w:r>
        <w:tab/>
      </w:r>
      <w:r>
        <w:fldChar w:fldCharType="begin"/>
      </w:r>
      <w:r>
        <w:instrText xml:space="preserve"> PAGEREF _Toc382376840 \h </w:instrText>
      </w:r>
      <w:r>
        <w:fldChar w:fldCharType="separate"/>
      </w:r>
      <w:r>
        <w:t>6</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_Toc382376841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Recognition certificates</w:t>
      </w:r>
    </w:p>
    <w:p>
      <w:pPr>
        <w:pStyle w:val="TOC8"/>
        <w:rPr>
          <w:rFonts w:asciiTheme="minorHAnsi" w:eastAsiaTheme="minorEastAsia" w:hAnsiTheme="minorHAnsi" w:cstheme="minorBidi"/>
          <w:szCs w:val="22"/>
        </w:rPr>
      </w:pPr>
      <w:r>
        <w:t>14.</w:t>
      </w:r>
      <w:r>
        <w:tab/>
        <w:t>Applications for recognition certificates</w:t>
      </w:r>
      <w:r>
        <w:tab/>
      </w:r>
      <w:r>
        <w:fldChar w:fldCharType="begin"/>
      </w:r>
      <w:r>
        <w:instrText xml:space="preserve"> PAGEREF _Toc382376843 \h </w:instrText>
      </w:r>
      <w:r>
        <w:fldChar w:fldCharType="separate"/>
      </w:r>
      <w:r>
        <w:t>8</w:t>
      </w:r>
      <w:r>
        <w:fldChar w:fldCharType="end"/>
      </w:r>
    </w:p>
    <w:p>
      <w:pPr>
        <w:pStyle w:val="TOC8"/>
        <w:rPr>
          <w:rFonts w:asciiTheme="minorHAnsi" w:eastAsiaTheme="minorEastAsia" w:hAnsiTheme="minorHAnsi" w:cstheme="minorBidi"/>
          <w:szCs w:val="22"/>
        </w:rPr>
      </w:pPr>
      <w:r>
        <w:t>15.</w:t>
      </w:r>
      <w:r>
        <w:tab/>
        <w:t>Issue of recognition certificates</w:t>
      </w:r>
      <w:r>
        <w:tab/>
      </w:r>
      <w:r>
        <w:fldChar w:fldCharType="begin"/>
      </w:r>
      <w:r>
        <w:instrText xml:space="preserve"> PAGEREF _Toc382376844 \h </w:instrText>
      </w:r>
      <w:r>
        <w:fldChar w:fldCharType="separate"/>
      </w:r>
      <w:r>
        <w:t>9</w:t>
      </w:r>
      <w:r>
        <w:fldChar w:fldCharType="end"/>
      </w:r>
    </w:p>
    <w:p>
      <w:pPr>
        <w:pStyle w:val="TOC8"/>
        <w:rPr>
          <w:rFonts w:asciiTheme="minorHAnsi" w:eastAsiaTheme="minorEastAsia" w:hAnsiTheme="minorHAnsi" w:cstheme="minorBidi"/>
          <w:szCs w:val="22"/>
        </w:rPr>
      </w:pPr>
      <w:r>
        <w:t>16.</w:t>
      </w:r>
      <w:r>
        <w:tab/>
        <w:t>Effect of recognition certificate</w:t>
      </w:r>
      <w:r>
        <w:tab/>
      </w:r>
      <w:r>
        <w:fldChar w:fldCharType="begin"/>
      </w:r>
      <w:r>
        <w:instrText xml:space="preserve"> PAGEREF _Toc382376845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Registration of certificates</w:t>
      </w:r>
      <w:r>
        <w:tab/>
      </w:r>
      <w:r>
        <w:fldChar w:fldCharType="begin"/>
      </w:r>
      <w:r>
        <w:instrText xml:space="preserve"> PAGEREF _Toc382376846 \h </w:instrText>
      </w:r>
      <w:r>
        <w:fldChar w:fldCharType="separate"/>
      </w:r>
      <w:r>
        <w:t>10</w:t>
      </w:r>
      <w:r>
        <w:fldChar w:fldCharType="end"/>
      </w:r>
    </w:p>
    <w:p>
      <w:pPr>
        <w:pStyle w:val="TOC8"/>
        <w:rPr>
          <w:rFonts w:asciiTheme="minorHAnsi" w:eastAsiaTheme="minorEastAsia" w:hAnsiTheme="minorHAnsi" w:cstheme="minorBidi"/>
          <w:szCs w:val="22"/>
        </w:rPr>
      </w:pPr>
      <w:r>
        <w:t>18.</w:t>
      </w:r>
      <w:r>
        <w:tab/>
        <w:t>Issuing of new birth certificate</w:t>
      </w:r>
      <w:r>
        <w:tab/>
      </w:r>
      <w:r>
        <w:fldChar w:fldCharType="begin"/>
      </w:r>
      <w:r>
        <w:instrText xml:space="preserve"> PAGEREF _Toc382376847 \h </w:instrText>
      </w:r>
      <w:r>
        <w:fldChar w:fldCharType="separate"/>
      </w:r>
      <w:r>
        <w:t>11</w:t>
      </w:r>
      <w:r>
        <w:fldChar w:fldCharType="end"/>
      </w:r>
    </w:p>
    <w:p>
      <w:pPr>
        <w:pStyle w:val="TOC8"/>
        <w:rPr>
          <w:rFonts w:asciiTheme="minorHAnsi" w:eastAsiaTheme="minorEastAsia" w:hAnsiTheme="minorHAnsi" w:cstheme="minorBidi"/>
          <w:szCs w:val="22"/>
        </w:rPr>
      </w:pPr>
      <w:r>
        <w:t>19.</w:t>
      </w:r>
      <w:r>
        <w:tab/>
        <w:t>Cancellation of fraudulent recognition certificates</w:t>
      </w:r>
      <w:r>
        <w:tab/>
      </w:r>
      <w:r>
        <w:fldChar w:fldCharType="begin"/>
      </w:r>
      <w:r>
        <w:instrText xml:space="preserve"> PAGEREF _Toc382376848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tab/>
        <w:t>Issue of replacement qualification certificates</w:t>
      </w:r>
      <w:r>
        <w:tab/>
      </w:r>
      <w:r>
        <w:fldChar w:fldCharType="begin"/>
      </w:r>
      <w:r>
        <w:instrText xml:space="preserve"> PAGEREF _Toc382376850 \h </w:instrText>
      </w:r>
      <w:r>
        <w:fldChar w:fldCharType="separate"/>
      </w:r>
      <w:r>
        <w:t>12</w:t>
      </w:r>
      <w:r>
        <w:fldChar w:fldCharType="end"/>
      </w:r>
    </w:p>
    <w:p>
      <w:pPr>
        <w:pStyle w:val="TOC8"/>
        <w:rPr>
          <w:rFonts w:asciiTheme="minorHAnsi" w:eastAsiaTheme="minorEastAsia" w:hAnsiTheme="minorHAnsi" w:cstheme="minorBidi"/>
          <w:szCs w:val="22"/>
        </w:rPr>
      </w:pPr>
      <w:r>
        <w:t>21.</w:t>
      </w:r>
      <w:r>
        <w:tab/>
        <w:t>Review by SAT</w:t>
      </w:r>
      <w:r>
        <w:tab/>
      </w:r>
      <w:r>
        <w:fldChar w:fldCharType="begin"/>
      </w:r>
      <w:r>
        <w:instrText xml:space="preserve"> PAGEREF _Toc382376851 \h </w:instrText>
      </w:r>
      <w:r>
        <w:fldChar w:fldCharType="separate"/>
      </w:r>
      <w:r>
        <w:t>13</w:t>
      </w:r>
      <w:r>
        <w:fldChar w:fldCharType="end"/>
      </w:r>
    </w:p>
    <w:p>
      <w:pPr>
        <w:pStyle w:val="TOC8"/>
        <w:rPr>
          <w:rFonts w:asciiTheme="minorHAnsi" w:eastAsiaTheme="minorEastAsia" w:hAnsiTheme="minorHAnsi" w:cstheme="minorBidi"/>
          <w:szCs w:val="22"/>
        </w:rPr>
      </w:pPr>
      <w:r>
        <w:t>22.</w:t>
      </w:r>
      <w:r>
        <w:tab/>
        <w:t>Confidentiality</w:t>
      </w:r>
      <w:r>
        <w:tab/>
      </w:r>
      <w:r>
        <w:fldChar w:fldCharType="begin"/>
      </w:r>
      <w:r>
        <w:instrText xml:space="preserve"> PAGEREF _Toc382376852 \h </w:instrText>
      </w:r>
      <w:r>
        <w:fldChar w:fldCharType="separate"/>
      </w:r>
      <w:r>
        <w:t>13</w:t>
      </w:r>
      <w:r>
        <w:fldChar w:fldCharType="end"/>
      </w:r>
    </w:p>
    <w:p>
      <w:pPr>
        <w:pStyle w:val="TOC8"/>
        <w:rPr>
          <w:rFonts w:asciiTheme="minorHAnsi" w:eastAsiaTheme="minorEastAsia" w:hAnsiTheme="minorHAnsi" w:cstheme="minorBidi"/>
          <w:szCs w:val="22"/>
        </w:rPr>
      </w:pPr>
      <w:r>
        <w:t>23.</w:t>
      </w:r>
      <w:r>
        <w:tab/>
        <w:t>False or misleading statements</w:t>
      </w:r>
      <w:r>
        <w:tab/>
      </w:r>
      <w:r>
        <w:fldChar w:fldCharType="begin"/>
      </w:r>
      <w:r>
        <w:instrText xml:space="preserve"> PAGEREF _Toc382376853 \h </w:instrText>
      </w:r>
      <w:r>
        <w:fldChar w:fldCharType="separate"/>
      </w:r>
      <w:r>
        <w:t>13</w:t>
      </w:r>
      <w:r>
        <w:fldChar w:fldCharType="end"/>
      </w:r>
    </w:p>
    <w:p>
      <w:pPr>
        <w:pStyle w:val="TOC8"/>
        <w:rPr>
          <w:rFonts w:asciiTheme="minorHAnsi" w:eastAsiaTheme="minorEastAsia" w:hAnsiTheme="minorHAnsi" w:cstheme="minorBidi"/>
          <w:szCs w:val="22"/>
        </w:rPr>
      </w:pPr>
      <w:r>
        <w:t>24.</w:t>
      </w:r>
      <w:r>
        <w:tab/>
        <w:t>Offences</w:t>
      </w:r>
      <w:r>
        <w:tab/>
      </w:r>
      <w:r>
        <w:fldChar w:fldCharType="begin"/>
      </w:r>
      <w:r>
        <w:instrText xml:space="preserve"> PAGEREF _Toc382376854 \h </w:instrText>
      </w:r>
      <w:r>
        <w:fldChar w:fldCharType="separate"/>
      </w:r>
      <w:r>
        <w:t>14</w:t>
      </w:r>
      <w:r>
        <w:fldChar w:fldCharType="end"/>
      </w:r>
    </w:p>
    <w:p>
      <w:pPr>
        <w:pStyle w:val="TOC8"/>
        <w:rPr>
          <w:rFonts w:asciiTheme="minorHAnsi" w:eastAsiaTheme="minorEastAsia" w:hAnsiTheme="minorHAnsi" w:cstheme="minorBidi"/>
          <w:szCs w:val="22"/>
        </w:rPr>
      </w:pPr>
      <w:r>
        <w:t>25.</w:t>
      </w:r>
      <w:r>
        <w:tab/>
        <w:t>Age</w:t>
      </w:r>
      <w:r>
        <w:tab/>
      </w:r>
      <w:r>
        <w:fldChar w:fldCharType="begin"/>
      </w:r>
      <w:r>
        <w:instrText xml:space="preserve"> PAGEREF _Toc382376855 \h </w:instrText>
      </w:r>
      <w:r>
        <w:fldChar w:fldCharType="separate"/>
      </w:r>
      <w:r>
        <w:t>14</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_Toc382376856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_Toc382376858 \h </w:instrText>
      </w:r>
      <w:r>
        <w:fldChar w:fldCharType="separate"/>
      </w:r>
      <w:r>
        <w:t>15</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_Toc382376859 \h </w:instrText>
      </w:r>
      <w:r>
        <w:fldChar w:fldCharType="separate"/>
      </w:r>
      <w:r>
        <w:t>15</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_Toc382376860 \h </w:instrText>
      </w:r>
      <w:r>
        <w:fldChar w:fldCharType="separate"/>
      </w:r>
      <w:r>
        <w:t>15</w:t>
      </w:r>
      <w:r>
        <w:fldChar w:fldCharType="end"/>
      </w:r>
    </w:p>
    <w:p>
      <w:pPr>
        <w:pStyle w:val="TOC8"/>
        <w:rPr>
          <w:rFonts w:asciiTheme="minorHAnsi" w:eastAsiaTheme="minorEastAsia" w:hAnsiTheme="minorHAnsi" w:cstheme="minorBidi"/>
          <w:szCs w:val="22"/>
        </w:rPr>
      </w:pPr>
      <w:r>
        <w:t>4.</w:t>
      </w:r>
      <w:r>
        <w:tab/>
        <w:t>Acts of acting president</w:t>
      </w:r>
      <w:r>
        <w:tab/>
      </w:r>
      <w:r>
        <w:fldChar w:fldCharType="begin"/>
      </w:r>
      <w:r>
        <w:instrText xml:space="preserve"> PAGEREF _Toc382376861 \h </w:instrText>
      </w:r>
      <w:r>
        <w:fldChar w:fldCharType="separate"/>
      </w:r>
      <w:r>
        <w:t>15</w:t>
      </w:r>
      <w:r>
        <w:fldChar w:fldCharType="end"/>
      </w:r>
    </w:p>
    <w:p>
      <w:pPr>
        <w:pStyle w:val="TOC8"/>
        <w:rPr>
          <w:rFonts w:asciiTheme="minorHAnsi" w:eastAsiaTheme="minorEastAsia" w:hAnsiTheme="minorHAnsi" w:cstheme="minorBidi"/>
          <w:szCs w:val="22"/>
        </w:rPr>
      </w:pPr>
      <w:r>
        <w:t>5.</w:t>
      </w:r>
      <w:r>
        <w:tab/>
        <w:t>President to preside</w:t>
      </w:r>
      <w:r>
        <w:tab/>
      </w:r>
      <w:r>
        <w:fldChar w:fldCharType="begin"/>
      </w:r>
      <w:r>
        <w:instrText xml:space="preserve"> PAGEREF _Toc382376862 \h </w:instrText>
      </w:r>
      <w:r>
        <w:fldChar w:fldCharType="separate"/>
      </w:r>
      <w:r>
        <w:t>16</w:t>
      </w:r>
      <w:r>
        <w:fldChar w:fldCharType="end"/>
      </w:r>
    </w:p>
    <w:p>
      <w:pPr>
        <w:pStyle w:val="TOC8"/>
        <w:rPr>
          <w:rFonts w:asciiTheme="minorHAnsi" w:eastAsiaTheme="minorEastAsia" w:hAnsiTheme="minorHAnsi" w:cstheme="minorBidi"/>
          <w:szCs w:val="22"/>
        </w:rPr>
      </w:pPr>
      <w:r>
        <w:t>6.</w:t>
      </w:r>
      <w:r>
        <w:tab/>
        <w:t>Use of seal</w:t>
      </w:r>
      <w:r>
        <w:tab/>
      </w:r>
      <w:r>
        <w:fldChar w:fldCharType="begin"/>
      </w:r>
      <w:r>
        <w:instrText xml:space="preserve"> PAGEREF _Toc382376863 \h </w:instrText>
      </w:r>
      <w:r>
        <w:fldChar w:fldCharType="separate"/>
      </w:r>
      <w:r>
        <w:t>16</w:t>
      </w:r>
      <w:r>
        <w:fldChar w:fldCharType="end"/>
      </w:r>
    </w:p>
    <w:p>
      <w:pPr>
        <w:pStyle w:val="TOC8"/>
        <w:rPr>
          <w:rFonts w:asciiTheme="minorHAnsi" w:eastAsiaTheme="minorEastAsia" w:hAnsiTheme="minorHAnsi" w:cstheme="minorBidi"/>
          <w:szCs w:val="22"/>
        </w:rPr>
      </w:pPr>
      <w:r>
        <w:t>7.</w:t>
      </w:r>
      <w:r>
        <w:tab/>
        <w:t>Register of applications</w:t>
      </w:r>
      <w:r>
        <w:tab/>
      </w:r>
      <w:r>
        <w:fldChar w:fldCharType="begin"/>
      </w:r>
      <w:r>
        <w:instrText xml:space="preserve"> PAGEREF _Toc382376864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_Toc382376866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December 2013</w:t>
            </w:r>
          </w:p>
        </w:tc>
      </w:tr>
    </w:tbl>
    <w:p>
      <w:pPr>
        <w:pStyle w:val="WA"/>
        <w:spacing w:before="120"/>
      </w:pPr>
      <w:r>
        <w:t>Western Australia</w:t>
      </w:r>
    </w:p>
    <w:p>
      <w:pPr>
        <w:pStyle w:val="NameofActReg"/>
        <w:spacing w:before="960" w:after="800"/>
      </w:pPr>
      <w:r>
        <w:t>Gender Reassignment Act 2000</w:t>
      </w:r>
    </w:p>
    <w:p>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 w:name="_Toc38237682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76828"/>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3" w:name="_Toc382376829"/>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4" w:name="_Toc382376830"/>
      <w:r>
        <w:rPr>
          <w:rStyle w:val="CharSectno"/>
        </w:rPr>
        <w:t>3</w:t>
      </w:r>
      <w:r>
        <w:rPr>
          <w:snapToGrid w:val="0"/>
        </w:rPr>
        <w:t>.</w:t>
      </w:r>
      <w:r>
        <w:rPr>
          <w:snapToGrid w:val="0"/>
        </w:rPr>
        <w:tab/>
        <w:t>Terms used</w:t>
      </w:r>
      <w:bookmarkEnd w:id="4"/>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 No. 22 of 2008 Sch. 3 cl. 21; No. 35 of 2010 s. 67.]</w:t>
      </w:r>
    </w:p>
    <w:p>
      <w:pPr>
        <w:pStyle w:val="Heading5"/>
      </w:pPr>
      <w:bookmarkStart w:id="5" w:name="_Toc382376831"/>
      <w:r>
        <w:rPr>
          <w:rStyle w:val="CharSectno"/>
        </w:rPr>
        <w:t>4</w:t>
      </w:r>
      <w:r>
        <w:t>.</w:t>
      </w:r>
      <w:r>
        <w:tab/>
        <w:t>Crown bound</w:t>
      </w:r>
      <w:bookmarkEnd w:id="5"/>
    </w:p>
    <w:p>
      <w:pPr>
        <w:pStyle w:val="Subsection"/>
      </w:pPr>
      <w:bookmarkStart w:id="6" w:name="a3"/>
      <w:bookmarkEnd w:id="6"/>
      <w:r>
        <w:tab/>
      </w:r>
      <w:r>
        <w:tab/>
        <w:t>This Act binds the Crown.</w:t>
      </w:r>
    </w:p>
    <w:p>
      <w:pPr>
        <w:pStyle w:val="Heading2"/>
      </w:pPr>
      <w:bookmarkStart w:id="7" w:name="_Toc382376832"/>
      <w:r>
        <w:rPr>
          <w:rStyle w:val="CharPartNo"/>
        </w:rPr>
        <w:t>Part 2</w:t>
      </w:r>
      <w:r>
        <w:rPr>
          <w:rStyle w:val="CharDivNo"/>
        </w:rPr>
        <w:t> </w:t>
      </w:r>
      <w:r>
        <w:t>—</w:t>
      </w:r>
      <w:r>
        <w:rPr>
          <w:rStyle w:val="CharDivText"/>
        </w:rPr>
        <w:t> </w:t>
      </w:r>
      <w:r>
        <w:rPr>
          <w:rStyle w:val="CharPartText"/>
        </w:rPr>
        <w:t>Gender Reassignment Board</w:t>
      </w:r>
      <w:bookmarkEnd w:id="7"/>
    </w:p>
    <w:p>
      <w:pPr>
        <w:pStyle w:val="Heading5"/>
      </w:pPr>
      <w:bookmarkStart w:id="8" w:name="_Toc382376833"/>
      <w:r>
        <w:rPr>
          <w:rStyle w:val="CharSectno"/>
        </w:rPr>
        <w:t>5</w:t>
      </w:r>
      <w:r>
        <w:t>.</w:t>
      </w:r>
      <w:r>
        <w:tab/>
        <w:t>Establishment and function of Board</w:t>
      </w:r>
      <w:bookmarkEnd w:id="8"/>
    </w:p>
    <w:p>
      <w:pPr>
        <w:pStyle w:val="Subsection"/>
      </w:pPr>
      <w:bookmarkStart w:id="9" w:name="a4"/>
      <w:bookmarkEnd w:id="9"/>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10" w:name="_Toc382376834"/>
      <w:r>
        <w:rPr>
          <w:rStyle w:val="CharSectno"/>
        </w:rPr>
        <w:t>6</w:t>
      </w:r>
      <w:r>
        <w:t>.</w:t>
      </w:r>
      <w:r>
        <w:tab/>
        <w:t>President of Board</w:t>
      </w:r>
      <w:bookmarkEnd w:id="10"/>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 No. 21 of 2008 s. 666.]</w:t>
      </w:r>
    </w:p>
    <w:p>
      <w:pPr>
        <w:pStyle w:val="Heading5"/>
      </w:pPr>
      <w:bookmarkStart w:id="11" w:name="_Toc382376835"/>
      <w:r>
        <w:rPr>
          <w:rStyle w:val="CharSectno"/>
        </w:rPr>
        <w:t>7</w:t>
      </w:r>
      <w:r>
        <w:t>.</w:t>
      </w:r>
      <w:r>
        <w:tab/>
        <w:t>Other Board members</w:t>
      </w:r>
      <w:bookmarkEnd w:id="11"/>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12" w:name="_Toc382376836"/>
      <w:r>
        <w:rPr>
          <w:rStyle w:val="CharSectno"/>
        </w:rPr>
        <w:t>8</w:t>
      </w:r>
      <w:r>
        <w:t>.</w:t>
      </w:r>
      <w:r>
        <w:tab/>
        <w:t>Arrangement of business</w:t>
      </w:r>
      <w:bookmarkEnd w:id="12"/>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13" w:name="_Toc382376837"/>
      <w:r>
        <w:rPr>
          <w:rStyle w:val="CharSectno"/>
        </w:rPr>
        <w:t>9</w:t>
      </w:r>
      <w:r>
        <w:t>.</w:t>
      </w:r>
      <w:r>
        <w:tab/>
        <w:t>Remuneration and allowances of members</w:t>
      </w:r>
      <w:bookmarkEnd w:id="13"/>
    </w:p>
    <w:p>
      <w:pPr>
        <w:pStyle w:val="Subsection"/>
      </w:pPr>
      <w:bookmarkStart w:id="14" w:name="a6"/>
      <w:bookmarkEnd w:id="14"/>
      <w:r>
        <w:tab/>
        <w:t>(1)</w:t>
      </w:r>
      <w:r>
        <w:tab/>
        <w:t>Subject to subsection (2), a member may be paid such remuneration and travelling and other allowances as the Minister from time to time determines, on the recommendation of the Public Sector Commissioner.</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by No. 39 of 2010 s. 89.]</w:t>
      </w:r>
    </w:p>
    <w:p>
      <w:pPr>
        <w:pStyle w:val="Heading5"/>
      </w:pPr>
      <w:bookmarkStart w:id="15" w:name="_Toc382376838"/>
      <w:r>
        <w:rPr>
          <w:rStyle w:val="CharSectno"/>
        </w:rPr>
        <w:t>10</w:t>
      </w:r>
      <w:r>
        <w:t>.</w:t>
      </w:r>
      <w:r>
        <w:tab/>
        <w:t>Practice directions</w:t>
      </w:r>
      <w:bookmarkEnd w:id="15"/>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16" w:name="_Toc382376839"/>
      <w:r>
        <w:rPr>
          <w:rStyle w:val="CharSectno"/>
        </w:rPr>
        <w:t>11</w:t>
      </w:r>
      <w:r>
        <w:t>.</w:t>
      </w:r>
      <w:r>
        <w:tab/>
        <w:t>Executive officer and other officers</w:t>
      </w:r>
      <w:bookmarkEnd w:id="16"/>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17" w:name="_Toc382376840"/>
      <w:r>
        <w:rPr>
          <w:rStyle w:val="CharSectno"/>
        </w:rPr>
        <w:t>12</w:t>
      </w:r>
      <w:r>
        <w:t>.</w:t>
      </w:r>
      <w:r>
        <w:tab/>
        <w:t>Judicial notice of seal and signatures</w:t>
      </w:r>
      <w:bookmarkEnd w:id="17"/>
    </w:p>
    <w:p>
      <w:pPr>
        <w:pStyle w:val="Subsection"/>
      </w:pPr>
      <w:bookmarkStart w:id="18" w:name="a7"/>
      <w:bookmarkEnd w:id="18"/>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19" w:name="_Toc382376841"/>
      <w:r>
        <w:rPr>
          <w:rStyle w:val="CharSectno"/>
        </w:rPr>
        <w:t>13</w:t>
      </w:r>
      <w:r>
        <w:t>.</w:t>
      </w:r>
      <w:r>
        <w:tab/>
        <w:t>Annual report</w:t>
      </w:r>
      <w:bookmarkEnd w:id="19"/>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20" w:name="_Toc382376842"/>
      <w:r>
        <w:rPr>
          <w:rStyle w:val="CharPartNo"/>
        </w:rPr>
        <w:t>Part 3</w:t>
      </w:r>
      <w:r>
        <w:rPr>
          <w:rStyle w:val="CharDivNo"/>
        </w:rPr>
        <w:t> </w:t>
      </w:r>
      <w:r>
        <w:t>—</w:t>
      </w:r>
      <w:r>
        <w:rPr>
          <w:rStyle w:val="CharDivText"/>
        </w:rPr>
        <w:t> </w:t>
      </w:r>
      <w:r>
        <w:rPr>
          <w:rStyle w:val="CharPartText"/>
        </w:rPr>
        <w:t>Recognition certificates</w:t>
      </w:r>
      <w:bookmarkEnd w:id="20"/>
    </w:p>
    <w:p>
      <w:pPr>
        <w:pStyle w:val="Heading5"/>
      </w:pPr>
      <w:bookmarkStart w:id="21" w:name="_Toc382376843"/>
      <w:r>
        <w:rPr>
          <w:rStyle w:val="CharSectno"/>
        </w:rPr>
        <w:t>14</w:t>
      </w:r>
      <w:r>
        <w:t>.</w:t>
      </w:r>
      <w:r>
        <w:tab/>
        <w:t>Applications for recognition certificates</w:t>
      </w:r>
      <w:bookmarkEnd w:id="21"/>
    </w:p>
    <w:p>
      <w:pPr>
        <w:pStyle w:val="Subsection"/>
      </w:pPr>
      <w:bookmarkStart w:id="22" w:name="a8"/>
      <w:bookmarkEnd w:id="22"/>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23" w:name="_Toc382376844"/>
      <w:r>
        <w:rPr>
          <w:rStyle w:val="CharSectno"/>
        </w:rPr>
        <w:t>15</w:t>
      </w:r>
      <w:r>
        <w:t>.</w:t>
      </w:r>
      <w:r>
        <w:tab/>
        <w:t>Issue of recognition certificates</w:t>
      </w:r>
      <w:bookmarkEnd w:id="23"/>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24" w:name="_Toc382376845"/>
      <w:r>
        <w:rPr>
          <w:rStyle w:val="CharSectno"/>
        </w:rPr>
        <w:t>16</w:t>
      </w:r>
      <w:r>
        <w:t>.</w:t>
      </w:r>
      <w:r>
        <w:tab/>
        <w:t>Effect of recognition certificate</w:t>
      </w:r>
      <w:bookmarkEnd w:id="24"/>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25" w:name="_Toc382376846"/>
      <w:r>
        <w:rPr>
          <w:rStyle w:val="CharSectno"/>
        </w:rPr>
        <w:t>17</w:t>
      </w:r>
      <w:r>
        <w:t>.</w:t>
      </w:r>
      <w:r>
        <w:tab/>
        <w:t>Registration of certificates</w:t>
      </w:r>
      <w:bookmarkEnd w:id="25"/>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26" w:name="_Toc382376847"/>
      <w:r>
        <w:rPr>
          <w:rStyle w:val="CharSectno"/>
        </w:rPr>
        <w:t>18</w:t>
      </w:r>
      <w:r>
        <w:t>.</w:t>
      </w:r>
      <w:r>
        <w:tab/>
        <w:t>Issuing of new birth certificate</w:t>
      </w:r>
      <w:bookmarkEnd w:id="26"/>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27" w:name="_Toc382376848"/>
      <w:r>
        <w:rPr>
          <w:rStyle w:val="CharSectno"/>
        </w:rPr>
        <w:t>19</w:t>
      </w:r>
      <w:r>
        <w:t>.</w:t>
      </w:r>
      <w:r>
        <w:tab/>
        <w:t>Cancellation of fraudulent recognition certificates</w:t>
      </w:r>
      <w:bookmarkEnd w:id="27"/>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28" w:name="_Toc382376849"/>
      <w:r>
        <w:rPr>
          <w:rStyle w:val="CharPartNo"/>
        </w:rPr>
        <w:t>Part 4</w:t>
      </w:r>
      <w:r>
        <w:rPr>
          <w:rStyle w:val="CharDivNo"/>
        </w:rPr>
        <w:t> </w:t>
      </w:r>
      <w:r>
        <w:t>—</w:t>
      </w:r>
      <w:r>
        <w:rPr>
          <w:rStyle w:val="CharDivText"/>
        </w:rPr>
        <w:t> </w:t>
      </w:r>
      <w:r>
        <w:rPr>
          <w:rStyle w:val="CharPartText"/>
        </w:rPr>
        <w:t>Miscellaneous</w:t>
      </w:r>
      <w:bookmarkEnd w:id="28"/>
    </w:p>
    <w:p>
      <w:pPr>
        <w:pStyle w:val="Heading5"/>
      </w:pPr>
      <w:bookmarkStart w:id="29" w:name="_Toc382376850"/>
      <w:r>
        <w:rPr>
          <w:rStyle w:val="CharSectno"/>
        </w:rPr>
        <w:t>20</w:t>
      </w:r>
      <w:r>
        <w:t>.</w:t>
      </w:r>
      <w:r>
        <w:tab/>
        <w:t>Issue of replacement qualification certificates</w:t>
      </w:r>
      <w:bookmarkEnd w:id="29"/>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30" w:name="_Toc382376851"/>
      <w:r>
        <w:rPr>
          <w:rStyle w:val="CharSectno"/>
        </w:rPr>
        <w:t>21</w:t>
      </w:r>
      <w:r>
        <w:t>.</w:t>
      </w:r>
      <w:r>
        <w:tab/>
        <w:t>Review by SAT</w:t>
      </w:r>
      <w:bookmarkEnd w:id="30"/>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by No. 55 of 2004 s. 415.]</w:t>
      </w:r>
    </w:p>
    <w:p>
      <w:pPr>
        <w:pStyle w:val="Heading5"/>
      </w:pPr>
      <w:bookmarkStart w:id="31" w:name="_Toc382376852"/>
      <w:r>
        <w:rPr>
          <w:rStyle w:val="CharSectno"/>
        </w:rPr>
        <w:t>22</w:t>
      </w:r>
      <w:r>
        <w:t>.</w:t>
      </w:r>
      <w:r>
        <w:tab/>
        <w:t>Confidentiality</w:t>
      </w:r>
      <w:bookmarkEnd w:id="31"/>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32" w:name="_Toc382376853"/>
      <w:r>
        <w:rPr>
          <w:rStyle w:val="CharSectno"/>
        </w:rPr>
        <w:t>23</w:t>
      </w:r>
      <w:r>
        <w:t>.</w:t>
      </w:r>
      <w:r>
        <w:tab/>
        <w:t>False or misleading statements</w:t>
      </w:r>
      <w:bookmarkEnd w:id="32"/>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33" w:name="_Toc382376854"/>
      <w:r>
        <w:rPr>
          <w:rStyle w:val="CharSectno"/>
        </w:rPr>
        <w:t>24</w:t>
      </w:r>
      <w:r>
        <w:t>.</w:t>
      </w:r>
      <w:r>
        <w:tab/>
        <w:t>Offences</w:t>
      </w:r>
      <w:bookmarkEnd w:id="33"/>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34" w:name="_Toc382376855"/>
      <w:r>
        <w:rPr>
          <w:rStyle w:val="CharSectno"/>
        </w:rPr>
        <w:t>25</w:t>
      </w:r>
      <w:r>
        <w:t>.</w:t>
      </w:r>
      <w:r>
        <w:tab/>
        <w:t>Age</w:t>
      </w:r>
      <w:bookmarkEnd w:id="34"/>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35" w:name="_Toc382376856"/>
      <w:r>
        <w:rPr>
          <w:rStyle w:val="CharSectno"/>
        </w:rPr>
        <w:t>26</w:t>
      </w:r>
      <w:r>
        <w:t>.</w:t>
      </w:r>
      <w:r>
        <w:tab/>
        <w:t>Regulations</w:t>
      </w:r>
      <w:bookmarkEnd w:id="35"/>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36" w:name="_Toc382376857"/>
      <w:r>
        <w:rPr>
          <w:rStyle w:val="CharSchNo"/>
        </w:rPr>
        <w:t>Schedule 1</w:t>
      </w:r>
      <w:r>
        <w:t> — </w:t>
      </w:r>
      <w:r>
        <w:rPr>
          <w:rStyle w:val="CharSchText"/>
        </w:rPr>
        <w:t>Constitution and proceedings of the Board</w:t>
      </w:r>
      <w:bookmarkEnd w:id="36"/>
    </w:p>
    <w:p>
      <w:pPr>
        <w:pStyle w:val="yShoulderClause"/>
      </w:pPr>
      <w:r>
        <w:t>[Section 5]</w:t>
      </w:r>
    </w:p>
    <w:p>
      <w:pPr>
        <w:pStyle w:val="yHeading5"/>
        <w:outlineLvl w:val="9"/>
      </w:pPr>
      <w:bookmarkStart w:id="37" w:name="_Toc382376858"/>
      <w:r>
        <w:rPr>
          <w:rStyle w:val="CharSClsNo"/>
        </w:rPr>
        <w:t>1</w:t>
      </w:r>
      <w:r>
        <w:t>.</w:t>
      </w:r>
      <w:r>
        <w:tab/>
        <w:t>Term of office</w:t>
      </w:r>
      <w:bookmarkEnd w:id="37"/>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38" w:name="_Toc382376859"/>
      <w:r>
        <w:rPr>
          <w:rStyle w:val="CharSClsNo"/>
        </w:rPr>
        <w:t>2</w:t>
      </w:r>
      <w:r>
        <w:t>.</w:t>
      </w:r>
      <w:r>
        <w:tab/>
        <w:t>Resignation and removal</w:t>
      </w:r>
      <w:bookmarkEnd w:id="38"/>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39" w:name="_Toc382376860"/>
      <w:r>
        <w:rPr>
          <w:rStyle w:val="CharSClsNo"/>
        </w:rPr>
        <w:t>3</w:t>
      </w:r>
      <w:r>
        <w:t>.</w:t>
      </w:r>
      <w:r>
        <w:tab/>
        <w:t>Leave of absence</w:t>
      </w:r>
      <w:bookmarkEnd w:id="39"/>
    </w:p>
    <w:p>
      <w:pPr>
        <w:pStyle w:val="ySubsection"/>
      </w:pPr>
      <w:r>
        <w:tab/>
      </w:r>
      <w:r>
        <w:tab/>
        <w:t>The Minister may grant leave of absence to a member on such terms and conditions as the Minister thinks fit.</w:t>
      </w:r>
    </w:p>
    <w:p>
      <w:pPr>
        <w:pStyle w:val="yHeading5"/>
        <w:outlineLvl w:val="9"/>
      </w:pPr>
      <w:bookmarkStart w:id="40" w:name="_Toc382376861"/>
      <w:r>
        <w:rPr>
          <w:rStyle w:val="CharSClsNo"/>
        </w:rPr>
        <w:t>4</w:t>
      </w:r>
      <w:r>
        <w:t>.</w:t>
      </w:r>
      <w:r>
        <w:tab/>
        <w:t>Acts of acting president</w:t>
      </w:r>
      <w:bookmarkEnd w:id="40"/>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41" w:name="_Toc382376862"/>
      <w:r>
        <w:rPr>
          <w:rStyle w:val="CharSClsNo"/>
        </w:rPr>
        <w:t>5</w:t>
      </w:r>
      <w:r>
        <w:t>.</w:t>
      </w:r>
      <w:r>
        <w:tab/>
        <w:t>President to preside</w:t>
      </w:r>
      <w:bookmarkEnd w:id="41"/>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42" w:name="_Toc382376863"/>
      <w:r>
        <w:rPr>
          <w:rStyle w:val="CharSClsNo"/>
        </w:rPr>
        <w:t>6</w:t>
      </w:r>
      <w:r>
        <w:t>.</w:t>
      </w:r>
      <w:r>
        <w:tab/>
        <w:t>Use of seal</w:t>
      </w:r>
      <w:bookmarkEnd w:id="42"/>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43" w:name="_Toc382376864"/>
      <w:r>
        <w:rPr>
          <w:rStyle w:val="CharSClsNo"/>
        </w:rPr>
        <w:t>7</w:t>
      </w:r>
      <w:r>
        <w:t>.</w:t>
      </w:r>
      <w:r>
        <w:tab/>
        <w:t>Register of applications</w:t>
      </w:r>
      <w:bookmarkEnd w:id="43"/>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44" w:name="_Toc382376865"/>
      <w:r>
        <w:t>Notes</w:t>
      </w:r>
      <w:bookmarkEnd w:id="44"/>
    </w:p>
    <w:p>
      <w:pPr>
        <w:pStyle w:val="nSubsection"/>
        <w:rPr>
          <w:snapToGrid w:val="0"/>
        </w:rPr>
      </w:pPr>
      <w:r>
        <w:rPr>
          <w:snapToGrid w:val="0"/>
          <w:vertAlign w:val="superscript"/>
        </w:rPr>
        <w:t>1</w:t>
      </w:r>
      <w:r>
        <w:rPr>
          <w:snapToGrid w:val="0"/>
        </w:rPr>
        <w:tab/>
        <w:t xml:space="preserve">This reprint is a compilation as at 6 December 2013 of the </w:t>
      </w:r>
      <w:r>
        <w:rPr>
          <w:i/>
          <w:noProof/>
          <w:snapToGrid w:val="0"/>
        </w:rPr>
        <w:t>Gender Reassignment Act 2000</w:t>
      </w:r>
      <w:r>
        <w:rPr>
          <w:snapToGrid w:val="0"/>
        </w:rPr>
        <w:t xml:space="preserve"> and includes the amendments made by the other written laws referred to in the following table.  The table also contains information about any reprint.</w:t>
      </w:r>
    </w:p>
    <w:p>
      <w:pPr>
        <w:pStyle w:val="nHeading3"/>
      </w:pPr>
      <w:bookmarkStart w:id="45" w:name="_Toc382376866"/>
      <w:r>
        <w:t>Compilation table</w:t>
      </w:r>
      <w:bookmarkEnd w:id="4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Gender Reassignment Act 2000</w:t>
            </w:r>
          </w:p>
        </w:tc>
        <w:tc>
          <w:tcPr>
            <w:tcW w:w="1134" w:type="dxa"/>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1" w:type="dxa"/>
            <w:tcBorders>
              <w:top w:val="single" w:sz="8" w:space="0" w:color="auto"/>
            </w:tcBorders>
          </w:tcPr>
          <w:p>
            <w:pPr>
              <w:pStyle w:val="nTable"/>
              <w:spacing w:after="40"/>
              <w:rPr>
                <w:sz w:val="19"/>
              </w:rPr>
            </w:pPr>
            <w:r>
              <w:rPr>
                <w:sz w:val="19"/>
              </w:rPr>
              <w:t>s. 1 and 2: 12 Apr 2000;</w:t>
            </w:r>
            <w:r>
              <w:rPr>
                <w:sz w:val="19"/>
              </w:rPr>
              <w:br/>
              <w:t xml:space="preserve">Act other than s. 1 and 2: 19 Dec 2001 (see s. 2 and </w:t>
            </w:r>
            <w:r>
              <w:rPr>
                <w:i/>
                <w:sz w:val="19"/>
              </w:rPr>
              <w:t>Gazette</w:t>
            </w:r>
            <w:r>
              <w:rPr>
                <w:sz w:val="19"/>
              </w:rPr>
              <w:t xml:space="preserve"> 18 Dec 2001 p. 6489)</w:t>
            </w:r>
          </w:p>
        </w:tc>
      </w:tr>
      <w:tr>
        <w:tc>
          <w:tcPr>
            <w:tcW w:w="2268" w:type="dxa"/>
          </w:tcPr>
          <w:p>
            <w:pPr>
              <w:pStyle w:val="nTable"/>
              <w:spacing w:after="40"/>
              <w:rPr>
                <w:i/>
                <w:sz w:val="19"/>
              </w:rPr>
            </w:pPr>
            <w:r>
              <w:rPr>
                <w:i/>
                <w:sz w:val="19"/>
              </w:rPr>
              <w:t xml:space="preserve">Sentencing Legislation Amendment and Repeal Act 2003 </w:t>
            </w:r>
            <w:r>
              <w:rPr>
                <w:sz w:val="19"/>
              </w:rPr>
              <w:t>s. 67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 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39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8" w:type="dxa"/>
          </w:tcPr>
          <w:p>
            <w:pPr>
              <w:pStyle w:val="nTable"/>
              <w:spacing w:after="40"/>
              <w:rPr>
                <w:sz w:val="19"/>
              </w:rPr>
            </w:pPr>
            <w:r>
              <w:rPr>
                <w:i/>
                <w:sz w:val="19"/>
              </w:rPr>
              <w:t>Statutes (Repeals and Minor Amendments) Act 2003</w:t>
            </w:r>
            <w:r>
              <w:rPr>
                <w:sz w:val="19"/>
              </w:rPr>
              <w:t xml:space="preserve"> s. 61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rPr>
              <w:t>Legal Profession Act 2008</w:t>
            </w:r>
            <w:r>
              <w:rPr>
                <w:snapToGrid w:val="0"/>
                <w:sz w:val="19"/>
              </w:rPr>
              <w:t xml:space="preserve"> s. 666 </w:t>
            </w:r>
          </w:p>
        </w:tc>
        <w:tc>
          <w:tcPr>
            <w:tcW w:w="1134" w:type="dxa"/>
            <w:tcBorders>
              <w:top w:val="nil"/>
              <w:bottom w:val="nil"/>
            </w:tcBorders>
          </w:tcPr>
          <w:p>
            <w:pPr>
              <w:pStyle w:val="nTable"/>
              <w:spacing w:after="40"/>
              <w:rPr>
                <w:sz w:val="19"/>
              </w:rPr>
            </w:pPr>
            <w:r>
              <w:rPr>
                <w:snapToGrid w:val="0"/>
                <w:sz w:val="19"/>
              </w:rPr>
              <w:t>21 of 2008</w:t>
            </w:r>
          </w:p>
        </w:tc>
        <w:tc>
          <w:tcPr>
            <w:tcW w:w="1134" w:type="dxa"/>
            <w:tcBorders>
              <w:top w:val="nil"/>
              <w:bottom w:val="nil"/>
            </w:tcBorders>
          </w:tcPr>
          <w:p>
            <w:pPr>
              <w:pStyle w:val="nTable"/>
              <w:spacing w:after="40"/>
              <w:rPr>
                <w:sz w:val="19"/>
              </w:rPr>
            </w:pPr>
            <w:r>
              <w:rPr>
                <w:snapToGrid w:val="0"/>
                <w:sz w:val="19"/>
              </w:rPr>
              <w:t>27 May 2008</w:t>
            </w:r>
          </w:p>
        </w:tc>
        <w:tc>
          <w:tcPr>
            <w:tcW w:w="2551" w:type="dxa"/>
            <w:tcBorders>
              <w:top w:val="nil"/>
              <w:bottom w:val="nil"/>
            </w:tcBorders>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21</w:t>
            </w:r>
          </w:p>
        </w:tc>
        <w:tc>
          <w:tcPr>
            <w:tcW w:w="1134" w:type="dxa"/>
            <w:tcBorders>
              <w:top w:val="nil"/>
              <w:bottom w:val="nil"/>
            </w:tcBorders>
          </w:tcPr>
          <w:p>
            <w:pPr>
              <w:pStyle w:val="nTable"/>
              <w:spacing w:after="40"/>
              <w:rPr>
                <w:sz w:val="19"/>
              </w:rPr>
            </w:pPr>
            <w:r>
              <w:rPr>
                <w:snapToGrid w:val="0"/>
                <w:sz w:val="19"/>
              </w:rPr>
              <w:t>35 of 2010</w:t>
            </w:r>
          </w:p>
        </w:tc>
        <w:tc>
          <w:tcPr>
            <w:tcW w:w="1134" w:type="dxa"/>
            <w:tcBorders>
              <w:top w:val="nil"/>
              <w:bottom w:val="nil"/>
            </w:tcBorders>
          </w:tcPr>
          <w:p>
            <w:pPr>
              <w:pStyle w:val="nTable"/>
              <w:spacing w:after="40"/>
              <w:rPr>
                <w:sz w:val="19"/>
              </w:rPr>
            </w:pPr>
            <w:r>
              <w:rPr>
                <w:snapToGrid w:val="0"/>
                <w:sz w:val="19"/>
              </w:rPr>
              <w:t>30 Aug 2010</w:t>
            </w:r>
          </w:p>
        </w:tc>
        <w:tc>
          <w:tcPr>
            <w:tcW w:w="2551" w:type="dxa"/>
            <w:tcBorders>
              <w:top w:val="nil"/>
              <w:bottom w:val="nil"/>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shd w:val="clear" w:color="auto" w:fill="auto"/>
          </w:tcPr>
          <w:p>
            <w:pPr>
              <w:pStyle w:val="nTable"/>
              <w:spacing w:after="40"/>
              <w:rPr>
                <w:snapToGrid w:val="0"/>
                <w:sz w:val="19"/>
              </w:rPr>
            </w:pPr>
            <w:r>
              <w:rPr>
                <w:snapToGrid w:val="0"/>
                <w:sz w:val="19"/>
              </w:rPr>
              <w:t>39 of 2010</w:t>
            </w:r>
          </w:p>
        </w:tc>
        <w:tc>
          <w:tcPr>
            <w:tcW w:w="1134" w:type="dxa"/>
            <w:tcBorders>
              <w:top w:val="nil"/>
              <w:bottom w:val="nil"/>
            </w:tcBorders>
            <w:shd w:val="clear" w:color="auto" w:fill="auto"/>
          </w:tcPr>
          <w:p>
            <w:pPr>
              <w:pStyle w:val="nTable"/>
              <w:spacing w:after="40"/>
              <w:rPr>
                <w:snapToGrid w:val="0"/>
                <w:sz w:val="19"/>
              </w:rPr>
            </w:pPr>
            <w:r>
              <w:rPr>
                <w:snapToGrid w:val="0"/>
                <w:sz w:val="19"/>
              </w:rPr>
              <w:t>1 Oct 2010</w:t>
            </w:r>
          </w:p>
        </w:tc>
        <w:tc>
          <w:tcPr>
            <w:tcW w:w="2551" w:type="dxa"/>
            <w:tcBorders>
              <w:top w:val="nil"/>
              <w:bottom w:val="nil"/>
            </w:tcBorders>
            <w:shd w:val="clear" w:color="auto" w:fill="auto"/>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sz w:val="19"/>
              </w:rPr>
            </w:pPr>
            <w:r>
              <w:rPr>
                <w:b/>
                <w:bCs/>
                <w:spacing w:val="-2"/>
                <w:sz w:val="19"/>
              </w:rPr>
              <w:t xml:space="preserve">Reprint 2: The </w:t>
            </w:r>
            <w:r>
              <w:rPr>
                <w:b/>
                <w:bCs/>
                <w:i/>
                <w:sz w:val="19"/>
              </w:rPr>
              <w:t>Gender Reassignment Act 2000</w:t>
            </w:r>
            <w:r>
              <w:rPr>
                <w:b/>
                <w:bCs/>
                <w:spacing w:val="-2"/>
                <w:sz w:val="19"/>
              </w:rPr>
              <w:t xml:space="preserve"> as at 6 Dec 2013</w:t>
            </w:r>
            <w:r>
              <w:rPr>
                <w:spacing w:val="-2"/>
                <w:sz w:val="19"/>
              </w:rPr>
              <w:t xml:space="preserve"> (includes amendments listed above)</w:t>
            </w:r>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46" w:name="_Toc382376867"/>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 w:name="DefinedTerms"/>
      <w:bookmarkEnd w:id="47"/>
      <w:r>
        <w:t>adult</w:t>
      </w:r>
      <w:r>
        <w:tab/>
        <w:t>3</w:t>
      </w:r>
    </w:p>
    <w:p>
      <w:pPr>
        <w:pStyle w:val="DefinedTerms"/>
      </w:pPr>
      <w:r>
        <w:t>Board</w:t>
      </w:r>
      <w:r>
        <w:tab/>
        <w:t>3</w:t>
      </w:r>
    </w:p>
    <w:p>
      <w:pPr>
        <w:pStyle w:val="DefinedTerms"/>
      </w:pPr>
      <w:r>
        <w:t>certificate of qualification</w:t>
      </w:r>
      <w:r>
        <w:tab/>
        <w:t>20(5)</w:t>
      </w:r>
    </w:p>
    <w:p>
      <w:pPr>
        <w:pStyle w:val="DefinedTerms"/>
      </w:pPr>
      <w:r>
        <w:t>child</w:t>
      </w:r>
      <w:r>
        <w:tab/>
        <w:t>3</w:t>
      </w:r>
    </w:p>
    <w:p>
      <w:pPr>
        <w:pStyle w:val="DefinedTerms"/>
      </w:pPr>
      <w:r>
        <w:t>corresponding law</w:t>
      </w:r>
      <w:r>
        <w:tab/>
        <w:t>3</w:t>
      </w:r>
    </w:p>
    <w:p>
      <w:pPr>
        <w:pStyle w:val="DefinedTerms"/>
      </w:pPr>
      <w:r>
        <w:t>equivalent certificate</w:t>
      </w:r>
      <w:r>
        <w:tab/>
        <w:t>3</w:t>
      </w:r>
    </w:p>
    <w:p>
      <w:pPr>
        <w:pStyle w:val="DefinedTerms"/>
      </w:pPr>
      <w:r>
        <w:t>gender characteristics</w:t>
      </w:r>
      <w:r>
        <w:tab/>
        <w:t>3</w:t>
      </w:r>
    </w:p>
    <w:p>
      <w:pPr>
        <w:pStyle w:val="DefinedTerms"/>
      </w:pPr>
      <w:r>
        <w:t>gender reassigned person</w:t>
      </w:r>
      <w:r>
        <w:tab/>
        <w:t>20(5)</w:t>
      </w:r>
    </w:p>
    <w:p>
      <w:pPr>
        <w:pStyle w:val="DefinedTerms"/>
      </w:pPr>
      <w:r>
        <w:t>issuing authority</w:t>
      </w:r>
      <w:r>
        <w:tab/>
        <w:t>20(5)</w:t>
      </w:r>
    </w:p>
    <w:p>
      <w:pPr>
        <w:pStyle w:val="DefinedTerms"/>
      </w:pPr>
      <w:r>
        <w:t>medical practitioner</w:t>
      </w:r>
      <w:r>
        <w:tab/>
        <w:t>3</w:t>
      </w:r>
    </w:p>
    <w:p>
      <w:pPr>
        <w:pStyle w:val="DefinedTerms"/>
      </w:pPr>
      <w:r>
        <w:t>president</w:t>
      </w:r>
      <w:r>
        <w:tab/>
        <w:t>3</w:t>
      </w:r>
    </w:p>
    <w:p>
      <w:pPr>
        <w:pStyle w:val="DefinedTerms"/>
      </w:pPr>
      <w:r>
        <w:t>reassignment procedure</w:t>
      </w:r>
      <w:r>
        <w:tab/>
        <w:t>3</w:t>
      </w:r>
    </w:p>
    <w:p>
      <w:pPr>
        <w:pStyle w:val="DefinedTerms"/>
      </w:pPr>
      <w:r>
        <w:t>recognition certificate</w:t>
      </w:r>
      <w:r>
        <w:tab/>
        <w:t>3</w:t>
      </w:r>
    </w:p>
    <w:p>
      <w:pPr>
        <w:pStyle w:val="DefinedTerms"/>
      </w:pPr>
      <w:r>
        <w:t>Registrar</w:t>
      </w:r>
      <w:r>
        <w:tab/>
        <w:t>3</w:t>
      </w:r>
    </w:p>
    <w:p>
      <w:pPr>
        <w:pStyle w:val="DefinedTerms"/>
      </w:pPr>
    </w:p>
    <w:p>
      <w:pPr>
        <w:spacing w:before="180"/>
      </w:pPr>
    </w:p>
    <w:p/>
    <w:p/>
    <w:p/>
    <w:p/>
    <w:p/>
    <w:p/>
    <w:p/>
    <w:p/>
    <w:p/>
    <w:p/>
    <w:p/>
    <w:p/>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headerReference w:type="first" r:id="rId4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Gender Reassignment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Gender Reassignment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2956"/>
    <w:docVar w:name="WAFER_20131212155418" w:val="RemoveTocBookmarks,RemoveLanguageTags,RemoveTrackChanges,RunningHeaders"/>
    <w:docVar w:name="WAFER_20131212155418_GUID" w:val="0c7316cb-a2d8-4e71-9bfe-4a9991d3eccd"/>
    <w:docVar w:name="WAFER_20140312083620" w:val="RemoveTocBookmarks,RemoveUnusedBookmarks,RemoveLanguageTags,UsedStyles,ResetPageSize"/>
    <w:docVar w:name="WAFER_20140312083620_GUID" w:val="9d0fca8e-2edd-45a5-84bc-f3c9463389cf"/>
    <w:docVar w:name="WAFER_20151203102956" w:val="RemoveTrackChanges"/>
    <w:docVar w:name="WAFER_20151203102956_GUID" w:val="9b1518fc-7776-41d0-9c61-74085cf0c0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0F79-F05B-4441-A882-E082FECF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4683</Words>
  <Characters>22342</Characters>
  <Application>Microsoft Office Word</Application>
  <DocSecurity>0</DocSecurity>
  <Lines>677</Lines>
  <Paragraphs>428</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2000 - 02-00-02</dc:title>
  <dc:subject/>
  <dc:creator/>
  <cp:keywords/>
  <dc:description/>
  <cp:lastModifiedBy>svcMRProcess</cp:lastModifiedBy>
  <cp:revision>4</cp:revision>
  <cp:lastPrinted>2013-11-17T23:52:00Z</cp:lastPrinted>
  <dcterms:created xsi:type="dcterms:W3CDTF">2020-03-09T01:58:00Z</dcterms:created>
  <dcterms:modified xsi:type="dcterms:W3CDTF">2020-03-09T01:58:00Z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20131206</vt:lpwstr>
  </property>
  <property fmtid="{D5CDD505-2E9C-101B-9397-08002B2CF9AE}" pid="4" name="DocumentType">
    <vt:lpwstr>Act</vt:lpwstr>
  </property>
  <property fmtid="{D5CDD505-2E9C-101B-9397-08002B2CF9AE}" pid="5" name="OwlsUID">
    <vt:i4>1986</vt:i4>
  </property>
  <property fmtid="{D5CDD505-2E9C-101B-9397-08002B2CF9AE}" pid="6" name="AsAtDate">
    <vt:lpwstr>06 Dec 2013</vt:lpwstr>
  </property>
  <property fmtid="{D5CDD505-2E9C-101B-9397-08002B2CF9AE}" pid="7" name="Suffix">
    <vt:lpwstr>02-00-02</vt:lpwstr>
  </property>
  <property fmtid="{D5CDD505-2E9C-101B-9397-08002B2CF9AE}" pid="8" name="ReprintNo">
    <vt:lpwstr>2</vt:lpwstr>
  </property>
  <property fmtid="{D5CDD505-2E9C-101B-9397-08002B2CF9AE}" pid="9" name="ReprintedAsAt">
    <vt:filetime>2013-12-05T16:00:00Z</vt:filetime>
  </property>
</Properties>
</file>