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Vocational Education and Training Act 1996</w:t>
      </w:r>
    </w:p>
    <w:p>
      <w:pPr>
        <w:pStyle w:val="NameofActRegPage1"/>
        <w:spacing w:before="1800" w:after="420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_Toc525042194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_Toc525042195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_Toc525042196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w:t>
      </w:r>
      <w:r>
        <w:tab/>
      </w:r>
      <w:r>
        <w:fldChar w:fldCharType="begin"/>
      </w:r>
      <w:r>
        <w:instrText xml:space="preserve"> PAGEREF _Toc525042198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w:t>
      </w:r>
      <w:r>
        <w:tab/>
      </w:r>
      <w:r>
        <w:fldChar w:fldCharType="begin"/>
      </w:r>
      <w:r>
        <w:instrText xml:space="preserve"> PAGEREF _Toc525042199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w:t>
      </w:r>
      <w:r>
        <w:tab/>
      </w:r>
      <w:r>
        <w:fldChar w:fldCharType="begin"/>
      </w:r>
      <w:r>
        <w:instrText xml:space="preserve"> PAGEREF _Toc525042200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Regulations for Part 7A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_Toc525042203 \h </w:instrText>
      </w:r>
      <w:r>
        <w:fldChar w:fldCharType="separate"/>
      </w:r>
      <w:r>
        <w:t>5</w:t>
      </w:r>
      <w:r>
        <w:fldChar w:fldCharType="end"/>
      </w:r>
    </w:p>
    <w:p>
      <w:pPr>
        <w:pStyle w:val="TOC8"/>
        <w:rPr>
          <w:rFonts w:asciiTheme="minorHAnsi" w:eastAsiaTheme="minorEastAsia" w:hAnsiTheme="minorHAnsi" w:cstheme="minorBidi"/>
          <w:szCs w:val="22"/>
        </w:rPr>
      </w:pPr>
      <w:r>
        <w:t>8.</w:t>
      </w:r>
      <w:r>
        <w:tab/>
        <w:t>AQTF standards, use of by Council</w:t>
      </w:r>
      <w:r>
        <w:tab/>
      </w:r>
      <w:r>
        <w:fldChar w:fldCharType="begin"/>
      </w:r>
      <w:r>
        <w:instrText xml:space="preserve"> PAGEREF _Toc525042204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_Toc525042205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a registered training provider</w:t>
      </w:r>
      <w:r>
        <w:tab/>
      </w:r>
      <w:r>
        <w:fldChar w:fldCharType="begin"/>
      </w:r>
      <w:r>
        <w:instrText xml:space="preserve"> PAGEREF _Toc525042207 \h </w:instrText>
      </w:r>
      <w:r>
        <w:fldChar w:fldCharType="separate"/>
      </w:r>
      <w:r>
        <w:t>8</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_Toc525042208 \h </w:instrText>
      </w:r>
      <w:r>
        <w:fldChar w:fldCharType="separate"/>
      </w:r>
      <w:r>
        <w:t>8</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_Toc525042209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_Toc525042210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_Toc525042211 \h </w:instrText>
      </w:r>
      <w:r>
        <w:fldChar w:fldCharType="separate"/>
      </w:r>
      <w:r>
        <w:t>12</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_Toc525042212 \h </w:instrText>
      </w:r>
      <w:r>
        <w:fldChar w:fldCharType="separate"/>
      </w:r>
      <w:r>
        <w:t>12</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_Toc525042213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registrations</w:t>
      </w:r>
      <w:r>
        <w:tab/>
      </w:r>
      <w:r>
        <w:fldChar w:fldCharType="begin"/>
      </w:r>
      <w:r>
        <w:instrText xml:space="preserve"> PAGEREF _Toc525042214 \h </w:instrText>
      </w:r>
      <w:r>
        <w:fldChar w:fldCharType="separate"/>
      </w:r>
      <w:r>
        <w:t>14</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_Toc525042215 \h </w:instrText>
      </w:r>
      <w:r>
        <w:fldChar w:fldCharType="separate"/>
      </w:r>
      <w:r>
        <w:t>15</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_Toc525042216 \h </w:instrText>
      </w:r>
      <w:r>
        <w:fldChar w:fldCharType="separate"/>
      </w:r>
      <w:r>
        <w:t>15</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_Toc525042217 \h </w:instrText>
      </w:r>
      <w:r>
        <w:fldChar w:fldCharType="separate"/>
      </w:r>
      <w:r>
        <w:t>17</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_Toc525042218 \h </w:instrText>
      </w:r>
      <w:r>
        <w:fldChar w:fldCharType="separate"/>
      </w:r>
      <w:r>
        <w:t>18</w:t>
      </w:r>
      <w:r>
        <w:fldChar w:fldCharType="end"/>
      </w:r>
    </w:p>
    <w:p>
      <w:pPr>
        <w:pStyle w:val="TOC8"/>
        <w:rPr>
          <w:rFonts w:asciiTheme="minorHAnsi" w:eastAsiaTheme="minorEastAsia" w:hAnsiTheme="minorHAnsi" w:cstheme="minorBidi"/>
          <w:szCs w:val="22"/>
        </w:rPr>
      </w:pPr>
      <w:r>
        <w:t>22.</w:t>
      </w:r>
      <w:r>
        <w:tab/>
        <w:t>Orders against providers registered outside WA</w:t>
      </w:r>
      <w:r>
        <w:tab/>
      </w:r>
      <w:r>
        <w:fldChar w:fldCharType="begin"/>
      </w:r>
      <w:r>
        <w:instrText xml:space="preserve"> PAGEREF _Toc525042219 \h </w:instrText>
      </w:r>
      <w:r>
        <w:fldChar w:fldCharType="separate"/>
      </w:r>
      <w:r>
        <w:t>18</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_Toc525042220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Audits of training providers</w:t>
      </w:r>
    </w:p>
    <w:p>
      <w:pPr>
        <w:pStyle w:val="TOC8"/>
        <w:rPr>
          <w:rFonts w:asciiTheme="minorHAnsi" w:eastAsiaTheme="minorEastAsia" w:hAnsiTheme="minorHAnsi" w:cstheme="minorBidi"/>
          <w:szCs w:val="22"/>
        </w:rPr>
      </w:pPr>
      <w:r>
        <w:t>24.</w:t>
      </w:r>
      <w:r>
        <w:tab/>
        <w:t>Term used: compliance audit</w:t>
      </w:r>
      <w:r>
        <w:tab/>
      </w:r>
      <w:r>
        <w:fldChar w:fldCharType="begin"/>
      </w:r>
      <w:r>
        <w:instrText xml:space="preserve"> PAGEREF _Toc525042222 \h </w:instrText>
      </w:r>
      <w:r>
        <w:fldChar w:fldCharType="separate"/>
      </w:r>
      <w:r>
        <w:t>19</w:t>
      </w:r>
      <w:r>
        <w:fldChar w:fldCharType="end"/>
      </w:r>
    </w:p>
    <w:p>
      <w:pPr>
        <w:pStyle w:val="TOC8"/>
        <w:rPr>
          <w:rFonts w:asciiTheme="minorHAnsi" w:eastAsiaTheme="minorEastAsia" w:hAnsiTheme="minorHAnsi" w:cstheme="minorBidi"/>
          <w:szCs w:val="22"/>
        </w:rPr>
      </w:pPr>
      <w:r>
        <w:t>25.</w:t>
      </w:r>
      <w:r>
        <w:tab/>
        <w:t>Audits</w:t>
      </w:r>
      <w:r>
        <w:tab/>
      </w:r>
      <w:r>
        <w:fldChar w:fldCharType="begin"/>
      </w:r>
      <w:r>
        <w:instrText xml:space="preserve"> PAGEREF _Toc525042223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4 — Obligations of registered training providers</w:t>
      </w:r>
    </w:p>
    <w:p>
      <w:pPr>
        <w:pStyle w:val="TOC8"/>
        <w:rPr>
          <w:rFonts w:asciiTheme="minorHAnsi" w:eastAsiaTheme="minorEastAsia" w:hAnsiTheme="minorHAnsi" w:cstheme="minorBidi"/>
          <w:szCs w:val="22"/>
        </w:rPr>
      </w:pPr>
      <w:r>
        <w:t>26.</w:t>
      </w:r>
      <w:r>
        <w:tab/>
        <w:t>Reporting to the Council</w:t>
      </w:r>
      <w:r>
        <w:tab/>
      </w:r>
      <w:r>
        <w:fldChar w:fldCharType="begin"/>
      </w:r>
      <w:r>
        <w:instrText xml:space="preserve"> PAGEREF _Toc525042225 \h </w:instrText>
      </w:r>
      <w:r>
        <w:fldChar w:fldCharType="separate"/>
      </w:r>
      <w:r>
        <w:t>20</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_Toc525042226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a VET course accredited</w:t>
      </w:r>
      <w:r>
        <w:tab/>
      </w:r>
      <w:r>
        <w:fldChar w:fldCharType="begin"/>
      </w:r>
      <w:r>
        <w:instrText xml:space="preserve"> PAGEREF _Toc525042228 \h </w:instrText>
      </w:r>
      <w:r>
        <w:fldChar w:fldCharType="separate"/>
      </w:r>
      <w:r>
        <w:t>22</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_Toc525042229 \h </w:instrText>
      </w:r>
      <w:r>
        <w:fldChar w:fldCharType="separate"/>
      </w:r>
      <w:r>
        <w:t>22</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_Toc525042230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_Toc525042231 \h </w:instrText>
      </w:r>
      <w:r>
        <w:fldChar w:fldCharType="separate"/>
      </w:r>
      <w:r>
        <w:t>24</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_Toc525042232 \h </w:instrText>
      </w:r>
      <w:r>
        <w:fldChar w:fldCharType="separate"/>
      </w:r>
      <w:r>
        <w:t>24</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_Toc525042233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4 — Regulations for Part 7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_Toc525042236 \h </w:instrText>
      </w:r>
      <w:r>
        <w:fldChar w:fldCharType="separate"/>
      </w:r>
      <w:r>
        <w:t>25</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_Toc525042237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_Toc525042239 \h </w:instrText>
      </w:r>
      <w:r>
        <w:fldChar w:fldCharType="separate"/>
      </w:r>
      <w:r>
        <w:t>26</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_Toc525042240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_Toc525042242 \h </w:instrText>
      </w:r>
      <w:r>
        <w:fldChar w:fldCharType="separate"/>
      </w:r>
      <w:r>
        <w:t>27</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_Toc525042243 \h </w:instrText>
      </w:r>
      <w:r>
        <w:fldChar w:fldCharType="separate"/>
      </w:r>
      <w:r>
        <w:t>28</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_Toc525042244 \h </w:instrText>
      </w:r>
      <w:r>
        <w:fldChar w:fldCharType="separate"/>
      </w:r>
      <w:r>
        <w:t>28</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_Toc525042245 \h </w:instrText>
      </w:r>
      <w:r>
        <w:fldChar w:fldCharType="separate"/>
      </w:r>
      <w:r>
        <w:t>30</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_Toc525042246 \h </w:instrText>
      </w:r>
      <w:r>
        <w:fldChar w:fldCharType="separate"/>
      </w:r>
      <w:r>
        <w:t>30</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_Toc525042247 \h </w:instrText>
      </w:r>
      <w:r>
        <w:fldChar w:fldCharType="separate"/>
      </w:r>
      <w:r>
        <w:t>31</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_Toc525042248 \h </w:instrText>
      </w:r>
      <w:r>
        <w:fldChar w:fldCharType="separate"/>
      </w:r>
      <w:r>
        <w:t>32</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_Toc525042249 \h </w:instrText>
      </w:r>
      <w:r>
        <w:fldChar w:fldCharType="separate"/>
      </w:r>
      <w:r>
        <w:t>33</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_Toc525042250 \h </w:instrText>
      </w:r>
      <w:r>
        <w:fldChar w:fldCharType="separate"/>
      </w:r>
      <w:r>
        <w:t>33</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_Toc525042251 \h </w:instrText>
      </w:r>
      <w:r>
        <w:fldChar w:fldCharType="separate"/>
      </w:r>
      <w:r>
        <w:t>34</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_Toc525042252 \h </w:instrText>
      </w:r>
      <w:r>
        <w:fldChar w:fldCharType="separate"/>
      </w:r>
      <w:r>
        <w:t>35</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_Toc525042253 \h </w:instrText>
      </w:r>
      <w:r>
        <w:fldChar w:fldCharType="separate"/>
      </w:r>
      <w:r>
        <w:t>36</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_Toc525042254 \h </w:instrText>
      </w:r>
      <w:r>
        <w:fldChar w:fldCharType="separate"/>
      </w:r>
      <w:r>
        <w:t>37</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_Toc525042255 \h </w:instrText>
      </w:r>
      <w:r>
        <w:fldChar w:fldCharType="separate"/>
      </w:r>
      <w:r>
        <w:t>38</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_Toc525042256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_Toc525042258 \h </w:instrText>
      </w:r>
      <w:r>
        <w:fldChar w:fldCharType="separate"/>
      </w:r>
      <w:r>
        <w:t>38</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_Toc525042259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_Toc525042261 \h </w:instrText>
      </w:r>
      <w:r>
        <w:fldChar w:fldCharType="separate"/>
      </w:r>
      <w:r>
        <w:t>40</w:t>
      </w:r>
      <w:r>
        <w:fldChar w:fldCharType="end"/>
      </w:r>
    </w:p>
    <w:p>
      <w:pPr>
        <w:pStyle w:val="TOC8"/>
        <w:rPr>
          <w:rFonts w:asciiTheme="minorHAnsi" w:eastAsiaTheme="minorEastAsia" w:hAnsiTheme="minorHAnsi" w:cstheme="minorBidi"/>
          <w:szCs w:val="22"/>
        </w:rPr>
      </w:pPr>
      <w:r>
        <w:t>56.</w:t>
      </w:r>
      <w:r>
        <w:tab/>
        <w:t>Repeals</w:t>
      </w:r>
      <w:r>
        <w:tab/>
      </w:r>
      <w:r>
        <w:fldChar w:fldCharType="begin"/>
      </w:r>
      <w:r>
        <w:instrText xml:space="preserve"> PAGEREF _Toc525042262 \h </w:instrText>
      </w:r>
      <w:r>
        <w:fldChar w:fldCharType="separate"/>
      </w:r>
      <w:r>
        <w:t>40</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_Toc525042263 \h </w:instrText>
      </w:r>
      <w:r>
        <w:fldChar w:fldCharType="separate"/>
      </w:r>
      <w:r>
        <w:t>40</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_Toc525042264 \h </w:instrText>
      </w:r>
      <w:r>
        <w:fldChar w:fldCharType="separate"/>
      </w:r>
      <w:r>
        <w:t>40</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_Toc525042265 \h </w:instrText>
      </w:r>
      <w:r>
        <w:fldChar w:fldCharType="separate"/>
      </w:r>
      <w:r>
        <w:t>40</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_Toc525042266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1 — Training contract</w:t>
      </w:r>
    </w:p>
    <w:p>
      <w:pPr>
        <w:pStyle w:val="TOC2"/>
        <w:tabs>
          <w:tab w:val="right" w:leader="dot" w:pos="7086"/>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_Toc525042269 \h </w:instrText>
      </w:r>
      <w:r>
        <w:fldChar w:fldCharType="separate"/>
      </w:r>
      <w:r>
        <w:t>57</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_Toc525042270 \h </w:instrText>
      </w:r>
      <w:r>
        <w:fldChar w:fldCharType="separate"/>
      </w:r>
      <w:r>
        <w:t>57</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_Toc525042271 \h </w:instrText>
      </w:r>
      <w:r>
        <w:fldChar w:fldCharType="separate"/>
      </w:r>
      <w:r>
        <w:t>59</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_Toc525042272 \h </w:instrText>
      </w:r>
      <w:r>
        <w:fldChar w:fldCharType="separate"/>
      </w:r>
      <w:r>
        <w:t>59</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_Toc525042273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_Toc525042275 \h </w:instrText>
      </w:r>
      <w:r>
        <w:fldChar w:fldCharType="separate"/>
      </w:r>
      <w:r>
        <w:t>60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_Toc525042276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1" w:name="_Toc525042193"/>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525042194"/>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4" w:name="_Toc525042195"/>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5" w:name="_Toc525042196"/>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Heading2"/>
      </w:pPr>
      <w:bookmarkStart w:id="6" w:name="_Toc525042197"/>
      <w:r>
        <w:rPr>
          <w:rStyle w:val="CharPartNo"/>
        </w:rPr>
        <w:t>Part 2</w:t>
      </w:r>
      <w:r>
        <w:rPr>
          <w:rStyle w:val="CharDivNo"/>
        </w:rPr>
        <w:t> </w:t>
      </w:r>
      <w:r>
        <w:t>—</w:t>
      </w:r>
      <w:r>
        <w:rPr>
          <w:rStyle w:val="CharDivText"/>
        </w:rPr>
        <w:t> </w:t>
      </w:r>
      <w:r>
        <w:rPr>
          <w:rStyle w:val="CharPartText"/>
        </w:rPr>
        <w:t>General matters</w:t>
      </w:r>
      <w:bookmarkEnd w:id="6"/>
    </w:p>
    <w:p>
      <w:pPr>
        <w:pStyle w:val="Heading5"/>
      </w:pPr>
      <w:bookmarkStart w:id="7" w:name="_Toc525042198"/>
      <w:r>
        <w:rPr>
          <w:rStyle w:val="CharSectno"/>
        </w:rPr>
        <w:t>4</w:t>
      </w:r>
      <w:r>
        <w:t>.</w:t>
      </w:r>
      <w:r>
        <w:tab/>
        <w:t>Approved VET courses (Act s. 5)</w:t>
      </w:r>
      <w:bookmarkEnd w:id="7"/>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8" w:name="_Toc525042199"/>
      <w:r>
        <w:rPr>
          <w:rStyle w:val="CharSectno"/>
        </w:rPr>
        <w:t>5</w:t>
      </w:r>
      <w:r>
        <w:t>.</w:t>
      </w:r>
      <w:r>
        <w:tab/>
        <w:t>Corresponding laws (Act s. 5)</w:t>
      </w:r>
      <w:bookmarkEnd w:id="8"/>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9" w:name="_Toc525042200"/>
      <w:r>
        <w:rPr>
          <w:rStyle w:val="CharSectno"/>
        </w:rPr>
        <w:t>6</w:t>
      </w:r>
      <w:r>
        <w:t>.</w:t>
      </w:r>
      <w:r>
        <w:tab/>
        <w:t>Prescribed VET qualifications (Act s. 5)</w:t>
      </w:r>
      <w:bookmarkEnd w:id="9"/>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10" w:name="_Toc525042201"/>
      <w:r>
        <w:rPr>
          <w:rStyle w:val="CharPartNo"/>
        </w:rPr>
        <w:t>Part 3</w:t>
      </w:r>
      <w:r>
        <w:t> — </w:t>
      </w:r>
      <w:r>
        <w:rPr>
          <w:rStyle w:val="CharPartText"/>
        </w:rPr>
        <w:t>Regulations for Part 7A of the Act</w:t>
      </w:r>
      <w:bookmarkEnd w:id="10"/>
    </w:p>
    <w:p>
      <w:pPr>
        <w:pStyle w:val="Heading3"/>
      </w:pPr>
      <w:bookmarkStart w:id="11" w:name="_Toc525042202"/>
      <w:r>
        <w:rPr>
          <w:rStyle w:val="CharDivNo"/>
        </w:rPr>
        <w:t>Division 1</w:t>
      </w:r>
      <w:r>
        <w:t> — </w:t>
      </w:r>
      <w:r>
        <w:rPr>
          <w:rStyle w:val="CharDivText"/>
        </w:rPr>
        <w:t>General matters</w:t>
      </w:r>
      <w:bookmarkEnd w:id="11"/>
    </w:p>
    <w:p>
      <w:pPr>
        <w:pStyle w:val="Heading5"/>
      </w:pPr>
      <w:bookmarkStart w:id="12" w:name="_Toc525042203"/>
      <w:r>
        <w:rPr>
          <w:rStyle w:val="CharSectno"/>
        </w:rPr>
        <w:t>7</w:t>
      </w:r>
      <w:r>
        <w:t>.</w:t>
      </w:r>
      <w:r>
        <w:tab/>
        <w:t>Terms used</w:t>
      </w:r>
      <w:bookmarkEnd w:id="12"/>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Footnotesection"/>
      </w:pPr>
      <w:r>
        <w:tab/>
        <w:t>[Regulation 7 amended in Gazette 25 Oct 2011 p. 4509.]</w:t>
      </w:r>
    </w:p>
    <w:p>
      <w:pPr>
        <w:pStyle w:val="Heading5"/>
      </w:pPr>
      <w:bookmarkStart w:id="13" w:name="_Toc525042204"/>
      <w:r>
        <w:rPr>
          <w:rStyle w:val="CharSectno"/>
        </w:rPr>
        <w:t>8</w:t>
      </w:r>
      <w:r>
        <w:t>.</w:t>
      </w:r>
      <w:r>
        <w:tab/>
        <w:t>AQTF standards, use of by Council</w:t>
      </w:r>
      <w:bookmarkEnd w:id="13"/>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w:t>
      </w:r>
    </w:p>
    <w:p>
      <w:pPr>
        <w:pStyle w:val="Heading5"/>
      </w:pPr>
      <w:bookmarkStart w:id="14" w:name="_Toc525042205"/>
      <w:r>
        <w:rPr>
          <w:rStyle w:val="CharSectno"/>
        </w:rPr>
        <w:t>9</w:t>
      </w:r>
      <w:r>
        <w:t>.</w:t>
      </w:r>
      <w:r>
        <w:tab/>
        <w:t>Register</w:t>
      </w:r>
      <w:bookmarkEnd w:id="14"/>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15" w:name="_Toc525042206"/>
      <w:r>
        <w:rPr>
          <w:rStyle w:val="CharDivNo"/>
        </w:rPr>
        <w:t>Division 2</w:t>
      </w:r>
      <w:r>
        <w:t> — </w:t>
      </w:r>
      <w:r>
        <w:rPr>
          <w:rStyle w:val="CharDivText"/>
        </w:rPr>
        <w:t>Registration of training providers</w:t>
      </w:r>
      <w:bookmarkEnd w:id="15"/>
    </w:p>
    <w:p>
      <w:pPr>
        <w:pStyle w:val="Heading5"/>
      </w:pPr>
      <w:bookmarkStart w:id="16" w:name="_Toc525042207"/>
      <w:r>
        <w:rPr>
          <w:rStyle w:val="CharSectno"/>
        </w:rPr>
        <w:t>10</w:t>
      </w:r>
      <w:r>
        <w:t>.</w:t>
      </w:r>
      <w:r>
        <w:tab/>
        <w:t>Applying to be a registered training provider</w:t>
      </w:r>
      <w:bookmarkEnd w:id="16"/>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17" w:name="_Toc525042208"/>
      <w:r>
        <w:rPr>
          <w:rStyle w:val="CharSectno"/>
        </w:rPr>
        <w:t>11</w:t>
      </w:r>
      <w:r>
        <w:t>.</w:t>
      </w:r>
      <w:r>
        <w:tab/>
        <w:t>Dealing with applications</w:t>
      </w:r>
      <w:bookmarkEnd w:id="17"/>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8" w:name="_Toc525042209"/>
      <w:r>
        <w:rPr>
          <w:rStyle w:val="CharSectno"/>
        </w:rPr>
        <w:t>12</w:t>
      </w:r>
      <w:r>
        <w:t>.</w:t>
      </w:r>
      <w:r>
        <w:tab/>
        <w:t>Registering training providers</w:t>
      </w:r>
      <w:bookmarkEnd w:id="18"/>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w:t>
      </w:r>
    </w:p>
    <w:p>
      <w:pPr>
        <w:pStyle w:val="Heading5"/>
      </w:pPr>
      <w:bookmarkStart w:id="19" w:name="_Toc525042210"/>
      <w:r>
        <w:rPr>
          <w:rStyle w:val="CharSectno"/>
        </w:rPr>
        <w:t>13</w:t>
      </w:r>
      <w:r>
        <w:t>.</w:t>
      </w:r>
      <w:r>
        <w:tab/>
        <w:t>Conditions of registration</w:t>
      </w:r>
      <w:bookmarkEnd w:id="19"/>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shows the provider does meet those 3 standards, take all steps necessary to meet them;</w:t>
      </w:r>
    </w:p>
    <w:p>
      <w:pPr>
        <w:pStyle w:val="Ednotepara"/>
      </w:pPr>
      <w:r>
        <w:tab/>
        <w:t>[(c)</w:t>
      </w:r>
      <w:r>
        <w:tab/>
        <w:t>deleted]</w:t>
      </w:r>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r>
        <w:tab/>
        <w:t>(4)</w:t>
      </w:r>
      <w:r>
        <w:tab/>
        <w:t>Any condition imposed under subregulation (3) must be consistent with the continuing registration requirements.</w:t>
      </w:r>
    </w:p>
    <w:p>
      <w:pPr>
        <w:pStyle w:val="Footnotesection"/>
      </w:pPr>
      <w:r>
        <w:tab/>
        <w:t>[Regulation 13 amended in Gazette 25 Oct 2011 p. 4510.]</w:t>
      </w:r>
    </w:p>
    <w:p>
      <w:pPr>
        <w:pStyle w:val="Heading5"/>
      </w:pPr>
      <w:bookmarkStart w:id="20" w:name="_Toc525042211"/>
      <w:r>
        <w:rPr>
          <w:rStyle w:val="CharSectno"/>
        </w:rPr>
        <w:t>14</w:t>
      </w:r>
      <w:r>
        <w:t>.</w:t>
      </w:r>
      <w:r>
        <w:tab/>
        <w:t>Period of registration</w:t>
      </w:r>
      <w:bookmarkEnd w:id="20"/>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21" w:name="_Toc525042212"/>
      <w:r>
        <w:rPr>
          <w:rStyle w:val="CharSectno"/>
        </w:rPr>
        <w:t>15</w:t>
      </w:r>
      <w:r>
        <w:t>.</w:t>
      </w:r>
      <w:r>
        <w:tab/>
        <w:t>Annual fees payable by registered training providers</w:t>
      </w:r>
      <w:bookmarkEnd w:id="21"/>
    </w:p>
    <w:p>
      <w:pPr>
        <w:pStyle w:val="Subsection"/>
      </w:pPr>
      <w:r>
        <w:tab/>
      </w:r>
      <w:r>
        <w:tab/>
        <w:t>A WA registered provider must pay an annual fee set under regulation 23 on or before each anniversary of the provider’s registration or its renewal.</w:t>
      </w:r>
    </w:p>
    <w:p>
      <w:pPr>
        <w:pStyle w:val="Heading5"/>
      </w:pPr>
      <w:bookmarkStart w:id="22" w:name="_Toc525042213"/>
      <w:r>
        <w:rPr>
          <w:rStyle w:val="CharSectno"/>
        </w:rPr>
        <w:t>16</w:t>
      </w:r>
      <w:r>
        <w:t>.</w:t>
      </w:r>
      <w:r>
        <w:tab/>
        <w:t>Renewal of registration</w:t>
      </w:r>
      <w:bookmarkEnd w:id="22"/>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w:t>
      </w:r>
    </w:p>
    <w:p>
      <w:pPr>
        <w:pStyle w:val="Heading5"/>
      </w:pPr>
      <w:bookmarkStart w:id="23" w:name="_Toc525042214"/>
      <w:r>
        <w:rPr>
          <w:rStyle w:val="CharSectno"/>
        </w:rPr>
        <w:t>17</w:t>
      </w:r>
      <w:r>
        <w:t>.</w:t>
      </w:r>
      <w:r>
        <w:tab/>
        <w:t>Varying registrations</w:t>
      </w:r>
      <w:bookmarkEnd w:id="23"/>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the provider meets the standards in the continuing registration requirements; or</w:t>
      </w:r>
    </w:p>
    <w:p>
      <w:pPr>
        <w:pStyle w:val="Indenta"/>
      </w:pPr>
      <w:r>
        <w:tab/>
        <w:t>(b)</w:t>
      </w:r>
      <w:r>
        <w:tab/>
        <w:t>a compliance audit has been conducted on the provider within the previous 3 months and the provider has been found to meet those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pPr>
      <w:r>
        <w:tab/>
        <w:t>[Regulation 17 amended in Gazette 25 Oct 2011 p. 4510.]</w:t>
      </w:r>
    </w:p>
    <w:p>
      <w:pPr>
        <w:pStyle w:val="Heading5"/>
      </w:pPr>
      <w:bookmarkStart w:id="24" w:name="_Toc525042215"/>
      <w:r>
        <w:rPr>
          <w:rStyle w:val="CharSectno"/>
        </w:rPr>
        <w:t>18</w:t>
      </w:r>
      <w:r>
        <w:t>.</w:t>
      </w:r>
      <w:r>
        <w:tab/>
        <w:t>Cancelling registration if provider’s operations change</w:t>
      </w:r>
      <w:bookmarkEnd w:id="24"/>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25" w:name="_Toc525042216"/>
      <w:r>
        <w:rPr>
          <w:rStyle w:val="CharSectno"/>
        </w:rPr>
        <w:t>19</w:t>
      </w:r>
      <w:r>
        <w:t>.</w:t>
      </w:r>
      <w:r>
        <w:tab/>
        <w:t>Suspending or cancelling registration</w:t>
      </w:r>
      <w:bookmarkEnd w:id="25"/>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r>
        <w:tab/>
        <w:t>[Regulation 19 amended in Gazette 25 Oct 2011 p. 4510.]</w:t>
      </w:r>
    </w:p>
    <w:p>
      <w:pPr>
        <w:pStyle w:val="Heading5"/>
      </w:pPr>
      <w:bookmarkStart w:id="26" w:name="_Toc525042217"/>
      <w:r>
        <w:rPr>
          <w:rStyle w:val="CharSectno"/>
        </w:rPr>
        <w:t>20</w:t>
      </w:r>
      <w:r>
        <w:t>.</w:t>
      </w:r>
      <w:r>
        <w:tab/>
        <w:t>Suspension of WA registered provider may be on terms</w:t>
      </w:r>
      <w:bookmarkEnd w:id="26"/>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27" w:name="_Toc525042218"/>
      <w:r>
        <w:rPr>
          <w:rStyle w:val="CharSectno"/>
        </w:rPr>
        <w:t>21</w:t>
      </w:r>
      <w:r>
        <w:t>.</w:t>
      </w:r>
      <w:r>
        <w:tab/>
        <w:t>Effect of suspension of WA registered provider</w:t>
      </w:r>
      <w:bookmarkEnd w:id="27"/>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28" w:name="_Toc525042219"/>
      <w:r>
        <w:rPr>
          <w:rStyle w:val="CharSectno"/>
        </w:rPr>
        <w:t>22</w:t>
      </w:r>
      <w:r>
        <w:t>.</w:t>
      </w:r>
      <w:r>
        <w:tab/>
        <w:t>Orders against providers registered outside WA</w:t>
      </w:r>
      <w:bookmarkEnd w:id="28"/>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the provider does not meet the standards in the continuing registration requirements;</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must be consistent with the continuing registration requirements; and</w:t>
      </w:r>
    </w:p>
    <w:p>
      <w:pPr>
        <w:pStyle w:val="Indenta"/>
      </w:pPr>
      <w:r>
        <w:tab/>
        <w:t>(b)</w:t>
      </w:r>
      <w:r>
        <w:tab/>
        <w:t>must be in writing and be given to the provider.</w:t>
      </w:r>
    </w:p>
    <w:p>
      <w:pPr>
        <w:pStyle w:val="Footnotesection"/>
      </w:pPr>
      <w:r>
        <w:tab/>
        <w:t>[Regulation 22 amended in Gazette 25 Oct 2011 p. 4511.]</w:t>
      </w:r>
    </w:p>
    <w:p>
      <w:pPr>
        <w:pStyle w:val="Heading5"/>
      </w:pPr>
      <w:bookmarkStart w:id="29" w:name="_Toc525042220"/>
      <w:r>
        <w:rPr>
          <w:rStyle w:val="CharSectno"/>
        </w:rPr>
        <w:t>23</w:t>
      </w:r>
      <w:r>
        <w:t>.</w:t>
      </w:r>
      <w:r>
        <w:tab/>
        <w:t>Fees</w:t>
      </w:r>
      <w:bookmarkEnd w:id="29"/>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30" w:name="_Toc525042221"/>
      <w:r>
        <w:rPr>
          <w:rStyle w:val="CharDivNo"/>
        </w:rPr>
        <w:t>Division 3</w:t>
      </w:r>
      <w:r>
        <w:t> — </w:t>
      </w:r>
      <w:r>
        <w:rPr>
          <w:rStyle w:val="CharDivText"/>
        </w:rPr>
        <w:t>Audits of training providers</w:t>
      </w:r>
      <w:bookmarkEnd w:id="30"/>
    </w:p>
    <w:p>
      <w:pPr>
        <w:pStyle w:val="Heading5"/>
      </w:pPr>
      <w:bookmarkStart w:id="31" w:name="_Toc525042222"/>
      <w:r>
        <w:rPr>
          <w:rStyle w:val="CharSectno"/>
        </w:rPr>
        <w:t>24</w:t>
      </w:r>
      <w:r>
        <w:t>.</w:t>
      </w:r>
      <w:r>
        <w:tab/>
        <w:t>Term used: compliance audit</w:t>
      </w:r>
      <w:bookmarkEnd w:id="31"/>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relevant registration requirements.</w:t>
      </w:r>
    </w:p>
    <w:p>
      <w:pPr>
        <w:pStyle w:val="Footnotesection"/>
      </w:pPr>
      <w:r>
        <w:tab/>
        <w:t>[Regulation 24 amended in Gazette 25 Oct 2011 p. 4511.]</w:t>
      </w:r>
    </w:p>
    <w:p>
      <w:pPr>
        <w:pStyle w:val="Heading5"/>
      </w:pPr>
      <w:bookmarkStart w:id="32" w:name="_Toc525042223"/>
      <w:r>
        <w:rPr>
          <w:rStyle w:val="CharSectno"/>
        </w:rPr>
        <w:t>25</w:t>
      </w:r>
      <w:r>
        <w:t>.</w:t>
      </w:r>
      <w:r>
        <w:tab/>
        <w:t>Audits</w:t>
      </w:r>
      <w:bookmarkEnd w:id="32"/>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33" w:name="_Toc525042224"/>
      <w:r>
        <w:rPr>
          <w:rStyle w:val="CharDivNo"/>
        </w:rPr>
        <w:t>Division 4</w:t>
      </w:r>
      <w:r>
        <w:t> — </w:t>
      </w:r>
      <w:r>
        <w:rPr>
          <w:rStyle w:val="CharDivText"/>
        </w:rPr>
        <w:t>Obligations of registered training providers</w:t>
      </w:r>
      <w:bookmarkEnd w:id="33"/>
    </w:p>
    <w:p>
      <w:pPr>
        <w:pStyle w:val="Heading5"/>
      </w:pPr>
      <w:bookmarkStart w:id="34" w:name="_Toc525042225"/>
      <w:r>
        <w:rPr>
          <w:rStyle w:val="CharSectno"/>
        </w:rPr>
        <w:t>26</w:t>
      </w:r>
      <w:r>
        <w:t>.</w:t>
      </w:r>
      <w:r>
        <w:tab/>
        <w:t>Reporting to the Council</w:t>
      </w:r>
      <w:bookmarkEnd w:id="34"/>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(3A)</w:t>
      </w:r>
      <w:r>
        <w:tab/>
        <w:t>Subregulation (2) does not apply if the Council considers that special circumstances exist that warrant the Council giving a WA registered provider a notice under this regulation.</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35" w:name="_Toc525042226"/>
      <w:r>
        <w:rPr>
          <w:rStyle w:val="CharSectno"/>
        </w:rPr>
        <w:t>27</w:t>
      </w:r>
      <w:r>
        <w:t>.</w:t>
      </w:r>
      <w:r>
        <w:tab/>
        <w:t>Giving Council information on ceasing operations</w:t>
      </w:r>
      <w:bookmarkEnd w:id="35"/>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3"/>
      </w:pPr>
      <w:bookmarkStart w:id="36" w:name="_Toc525042227"/>
      <w:r>
        <w:rPr>
          <w:rStyle w:val="CharDivNo"/>
        </w:rPr>
        <w:t>Division 5</w:t>
      </w:r>
      <w:r>
        <w:t> — </w:t>
      </w:r>
      <w:r>
        <w:rPr>
          <w:rStyle w:val="CharDivText"/>
        </w:rPr>
        <w:t>Accreditation of VET courses</w:t>
      </w:r>
      <w:bookmarkEnd w:id="36"/>
    </w:p>
    <w:p>
      <w:pPr>
        <w:pStyle w:val="Heading5"/>
      </w:pPr>
      <w:bookmarkStart w:id="37" w:name="_Toc525042228"/>
      <w:r>
        <w:rPr>
          <w:rStyle w:val="CharSectno"/>
        </w:rPr>
        <w:t>28</w:t>
      </w:r>
      <w:r>
        <w:t>.</w:t>
      </w:r>
      <w:r>
        <w:tab/>
        <w:t>Applying to have a VET course accredited</w:t>
      </w:r>
      <w:bookmarkEnd w:id="37"/>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$1 425;</w:t>
      </w:r>
    </w:p>
    <w:p>
      <w:pPr>
        <w:pStyle w:val="Indenti"/>
      </w:pPr>
      <w:r>
        <w:tab/>
        <w:t>(ii)</w:t>
      </w:r>
      <w:r>
        <w:tab/>
        <w:t>for any other VET course — $715.</w:t>
      </w:r>
    </w:p>
    <w:p>
      <w:pPr>
        <w:pStyle w:val="Footnotesection"/>
      </w:pPr>
      <w:r>
        <w:tab/>
        <w:t>[Regulation 28 amended in Gazette 25 Oct 2011 p. 4512; 21 Aug 2012 p. 3927.]</w:t>
      </w:r>
    </w:p>
    <w:p>
      <w:pPr>
        <w:pStyle w:val="Heading5"/>
      </w:pPr>
      <w:bookmarkStart w:id="38" w:name="_Toc525042229"/>
      <w:r>
        <w:rPr>
          <w:rStyle w:val="CharSectno"/>
        </w:rPr>
        <w:t>29</w:t>
      </w:r>
      <w:r>
        <w:t>.</w:t>
      </w:r>
      <w:r>
        <w:tab/>
        <w:t>Dealing with applications</w:t>
      </w:r>
      <w:bookmarkEnd w:id="38"/>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39" w:name="_Toc525042230"/>
      <w:r>
        <w:rPr>
          <w:rStyle w:val="CharSectno"/>
        </w:rPr>
        <w:t>30</w:t>
      </w:r>
      <w:r>
        <w:t>.</w:t>
      </w:r>
      <w:r>
        <w:tab/>
        <w:t>Accrediting VET courses</w:t>
      </w:r>
      <w:bookmarkEnd w:id="39"/>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r>
        <w:tab/>
        <w:t>(c)</w:t>
      </w:r>
      <w:r>
        <w:tab/>
        <w:t>give that person written notice of any condition to which the accreditation is subject.</w:t>
      </w:r>
    </w:p>
    <w:p>
      <w:pPr>
        <w:pStyle w:val="Heading5"/>
      </w:pPr>
      <w:bookmarkStart w:id="40" w:name="_Toc525042231"/>
      <w:r>
        <w:rPr>
          <w:rStyle w:val="CharSectno"/>
        </w:rPr>
        <w:t>31</w:t>
      </w:r>
      <w:r>
        <w:t>.</w:t>
      </w:r>
      <w:r>
        <w:tab/>
        <w:t>Period of accreditation</w:t>
      </w:r>
      <w:bookmarkEnd w:id="40"/>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41" w:name="_Toc525042232"/>
      <w:r>
        <w:rPr>
          <w:rStyle w:val="CharSectno"/>
        </w:rPr>
        <w:t>32</w:t>
      </w:r>
      <w:r>
        <w:t>.</w:t>
      </w:r>
      <w:r>
        <w:tab/>
        <w:t>Renewing accreditation</w:t>
      </w:r>
      <w:bookmarkEnd w:id="41"/>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42" w:name="_Toc525042233"/>
      <w:r>
        <w:rPr>
          <w:rStyle w:val="CharSectno"/>
        </w:rPr>
        <w:t>33</w:t>
      </w:r>
      <w:r>
        <w:t>.</w:t>
      </w:r>
      <w:r>
        <w:tab/>
        <w:t>Cancelling accreditation</w:t>
      </w:r>
      <w:bookmarkEnd w:id="42"/>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43" w:name="_Toc525042234"/>
      <w:r>
        <w:rPr>
          <w:rStyle w:val="CharPartNo"/>
        </w:rPr>
        <w:t>Part 4</w:t>
      </w:r>
      <w:r>
        <w:t> — </w:t>
      </w:r>
      <w:r>
        <w:rPr>
          <w:rStyle w:val="CharPartText"/>
        </w:rPr>
        <w:t>Regulations for Part 7 of the Act</w:t>
      </w:r>
      <w:bookmarkEnd w:id="43"/>
    </w:p>
    <w:p>
      <w:pPr>
        <w:pStyle w:val="Heading3"/>
      </w:pPr>
      <w:bookmarkStart w:id="44" w:name="_Toc525042235"/>
      <w:r>
        <w:rPr>
          <w:rStyle w:val="CharDivNo"/>
        </w:rPr>
        <w:t>Division 1</w:t>
      </w:r>
      <w:r>
        <w:t> — </w:t>
      </w:r>
      <w:r>
        <w:rPr>
          <w:rStyle w:val="CharDivText"/>
        </w:rPr>
        <w:t>General matters</w:t>
      </w:r>
      <w:bookmarkEnd w:id="44"/>
    </w:p>
    <w:p>
      <w:pPr>
        <w:pStyle w:val="Heading5"/>
      </w:pPr>
      <w:bookmarkStart w:id="45" w:name="_Toc525042236"/>
      <w:r>
        <w:rPr>
          <w:rStyle w:val="CharSectno"/>
        </w:rPr>
        <w:t>34</w:t>
      </w:r>
      <w:r>
        <w:t>.</w:t>
      </w:r>
      <w:r>
        <w:tab/>
        <w:t>Term used: nominated training provider</w:t>
      </w:r>
      <w:bookmarkEnd w:id="45"/>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46" w:name="_Toc525042237"/>
      <w:r>
        <w:rPr>
          <w:rStyle w:val="CharSectno"/>
        </w:rPr>
        <w:t>35</w:t>
      </w:r>
      <w:r>
        <w:t>.</w:t>
      </w:r>
      <w:r>
        <w:tab/>
        <w:t>Chief executive may delegate</w:t>
      </w:r>
      <w:bookmarkEnd w:id="46"/>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47" w:name="_Toc525042238"/>
      <w:r>
        <w:rPr>
          <w:rStyle w:val="CharDivNo"/>
        </w:rPr>
        <w:t>Division 2</w:t>
      </w:r>
      <w:r>
        <w:t> — </w:t>
      </w:r>
      <w:r>
        <w:rPr>
          <w:rStyle w:val="CharDivText"/>
        </w:rPr>
        <w:t>Classifying prescribed VET qualifications</w:t>
      </w:r>
      <w:bookmarkEnd w:id="47"/>
    </w:p>
    <w:p>
      <w:pPr>
        <w:pStyle w:val="Heading5"/>
      </w:pPr>
      <w:bookmarkStart w:id="48" w:name="_Toc525042239"/>
      <w:r>
        <w:rPr>
          <w:rStyle w:val="CharSectno"/>
        </w:rPr>
        <w:t>36</w:t>
      </w:r>
      <w:r>
        <w:t>.</w:t>
      </w:r>
      <w:r>
        <w:tab/>
        <w:t>Who Board must consult (Act s. 60C)</w:t>
      </w:r>
      <w:bookmarkEnd w:id="48"/>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49" w:name="_Toc525042240"/>
      <w:r>
        <w:rPr>
          <w:rStyle w:val="CharSectno"/>
        </w:rPr>
        <w:t>37</w:t>
      </w:r>
      <w:r>
        <w:t>.</w:t>
      </w:r>
      <w:r>
        <w:tab/>
        <w:t>Board’s advice and recommendations to Minister (Act s. 60C)</w:t>
      </w:r>
      <w:bookmarkEnd w:id="49"/>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50" w:name="_Toc525042241"/>
      <w:r>
        <w:rPr>
          <w:rStyle w:val="CharDivNo"/>
        </w:rPr>
        <w:t>Division 3</w:t>
      </w:r>
      <w:r>
        <w:t> — </w:t>
      </w:r>
      <w:r>
        <w:rPr>
          <w:rStyle w:val="CharDivText"/>
        </w:rPr>
        <w:t>Training contracts</w:t>
      </w:r>
      <w:bookmarkEnd w:id="50"/>
    </w:p>
    <w:p>
      <w:pPr>
        <w:pStyle w:val="Heading5"/>
      </w:pPr>
      <w:bookmarkStart w:id="51" w:name="_Toc525042242"/>
      <w:r>
        <w:rPr>
          <w:rStyle w:val="CharSectno"/>
        </w:rPr>
        <w:t>38</w:t>
      </w:r>
      <w:r>
        <w:t>.</w:t>
      </w:r>
      <w:r>
        <w:tab/>
        <w:t>Form and content of training contracts</w:t>
      </w:r>
      <w:bookmarkEnd w:id="51"/>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52" w:name="_Toc525042243"/>
      <w:r>
        <w:rPr>
          <w:rStyle w:val="CharSectno"/>
        </w:rPr>
        <w:t>39</w:t>
      </w:r>
      <w:r>
        <w:t>.</w:t>
      </w:r>
      <w:r>
        <w:tab/>
        <w:t>Probation periods of training contracts</w:t>
      </w:r>
      <w:bookmarkEnd w:id="52"/>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53" w:name="_Toc525042244"/>
      <w:r>
        <w:rPr>
          <w:rStyle w:val="CharSectno"/>
        </w:rPr>
        <w:t>40</w:t>
      </w:r>
      <w:r>
        <w:t>.</w:t>
      </w:r>
      <w:r>
        <w:tab/>
        <w:t>Children’s capacity to enter into training contracts</w:t>
      </w:r>
      <w:bookmarkEnd w:id="53"/>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54" w:name="_Toc525042245"/>
      <w:r>
        <w:rPr>
          <w:rStyle w:val="CharSectno"/>
        </w:rPr>
        <w:t>41</w:t>
      </w:r>
      <w:r>
        <w:t>.</w:t>
      </w:r>
      <w:r>
        <w:tab/>
        <w:t>Lodging training contracts for registration (Act s. 60F)</w:t>
      </w:r>
      <w:bookmarkEnd w:id="54"/>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55" w:name="_Toc525042246"/>
      <w:r>
        <w:rPr>
          <w:rStyle w:val="CharSectno"/>
        </w:rPr>
        <w:t>42</w:t>
      </w:r>
      <w:r>
        <w:t>.</w:t>
      </w:r>
      <w:r>
        <w:tab/>
        <w:t>Registering training contracts (Act s. 60F)</w:t>
      </w:r>
      <w:bookmarkEnd w:id="55"/>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56" w:name="_Toc525042247"/>
      <w:r>
        <w:rPr>
          <w:rStyle w:val="CharSectno"/>
        </w:rPr>
        <w:t>43</w:t>
      </w:r>
      <w:r>
        <w:t>.</w:t>
      </w:r>
      <w:r>
        <w:tab/>
        <w:t>Training plans for training contracts</w:t>
      </w:r>
      <w:bookmarkEnd w:id="56"/>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57" w:name="_Toc525042248"/>
      <w:r>
        <w:rPr>
          <w:rStyle w:val="CharSectno"/>
        </w:rPr>
        <w:t>44</w:t>
      </w:r>
      <w:r>
        <w:t>.</w:t>
      </w:r>
      <w:r>
        <w:tab/>
        <w:t>Cancellation of registration by chief executive (Act s. 60F)</w:t>
      </w:r>
      <w:bookmarkEnd w:id="57"/>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58" w:name="_Toc525042249"/>
      <w:r>
        <w:rPr>
          <w:rStyle w:val="CharSectno"/>
        </w:rPr>
        <w:t>45</w:t>
      </w:r>
      <w:r>
        <w:t>.</w:t>
      </w:r>
      <w:r>
        <w:tab/>
        <w:t>Chief executive may require persons involved in training contracts to provide information</w:t>
      </w:r>
      <w:bookmarkEnd w:id="58"/>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59" w:name="_Toc525042250"/>
      <w:r>
        <w:rPr>
          <w:rStyle w:val="CharSectno"/>
        </w:rPr>
        <w:t>46</w:t>
      </w:r>
      <w:r>
        <w:t>.</w:t>
      </w:r>
      <w:r>
        <w:tab/>
        <w:t>Variation of training contract by parties (Act s. 60E)</w:t>
      </w:r>
      <w:bookmarkEnd w:id="59"/>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60" w:name="_Toc525042251"/>
      <w:r>
        <w:rPr>
          <w:rStyle w:val="CharSectno"/>
        </w:rPr>
        <w:t>47</w:t>
      </w:r>
      <w:r>
        <w:t>.</w:t>
      </w:r>
      <w:r>
        <w:tab/>
        <w:t>Assignment of training contract to another employer (Act s. 60E)</w:t>
      </w:r>
      <w:bookmarkEnd w:id="60"/>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61" w:name="_Toc525042252"/>
      <w:r>
        <w:rPr>
          <w:rStyle w:val="CharSectno"/>
        </w:rPr>
        <w:t>48</w:t>
      </w:r>
      <w:r>
        <w:t>.</w:t>
      </w:r>
      <w:r>
        <w:tab/>
        <w:t>Suspension of training contract by parties (Act s. 60E)</w:t>
      </w:r>
      <w:bookmarkEnd w:id="61"/>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62" w:name="_Toc525042253"/>
      <w:r>
        <w:rPr>
          <w:rStyle w:val="CharSectno"/>
        </w:rPr>
        <w:t>49</w:t>
      </w:r>
      <w:r>
        <w:t>.</w:t>
      </w:r>
      <w:r>
        <w:tab/>
        <w:t>Suspension by employer (Act s. 60E)</w:t>
      </w:r>
      <w:bookmarkEnd w:id="62"/>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63" w:name="_Toc525042254"/>
      <w:r>
        <w:rPr>
          <w:rStyle w:val="CharSectno"/>
        </w:rPr>
        <w:t>50</w:t>
      </w:r>
      <w:r>
        <w:t>.</w:t>
      </w:r>
      <w:r>
        <w:tab/>
        <w:t>Termination of training contract by parties (Act s. 60G)</w:t>
      </w:r>
      <w:bookmarkEnd w:id="63"/>
    </w:p>
    <w:p>
      <w:pPr>
        <w:pStyle w:val="Subsection"/>
      </w:pPr>
      <w:r>
        <w:tab/>
      </w:r>
      <w:r>
        <w:tab/>
        <w:t>A party to a training contract may terminate the contract during the contract’s probation period without the approval of the chief executive.</w:t>
      </w:r>
    </w:p>
    <w:p>
      <w:pPr>
        <w:pStyle w:val="Heading5"/>
      </w:pPr>
      <w:bookmarkStart w:id="64" w:name="_Toc525042255"/>
      <w:r>
        <w:rPr>
          <w:rStyle w:val="CharSectno"/>
        </w:rPr>
        <w:t>51</w:t>
      </w:r>
      <w:r>
        <w:t>.</w:t>
      </w:r>
      <w:r>
        <w:tab/>
        <w:t>Approval of termination of training contract by chief executive (Act s. 60G)</w:t>
      </w:r>
      <w:bookmarkEnd w:id="64"/>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65" w:name="_Toc525042256"/>
      <w:r>
        <w:rPr>
          <w:rStyle w:val="CharSectno"/>
        </w:rPr>
        <w:t>52</w:t>
      </w:r>
      <w:r>
        <w:t>.</w:t>
      </w:r>
      <w:r>
        <w:tab/>
        <w:t>Completion of training contract</w:t>
      </w:r>
      <w:bookmarkEnd w:id="65"/>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66" w:name="_Toc525042257"/>
      <w:r>
        <w:rPr>
          <w:rStyle w:val="CharDivNo"/>
        </w:rPr>
        <w:t>Division 4</w:t>
      </w:r>
      <w:r>
        <w:t> — </w:t>
      </w:r>
      <w:r>
        <w:rPr>
          <w:rStyle w:val="CharDivText"/>
        </w:rPr>
        <w:t>Procedure and appeals</w:t>
      </w:r>
      <w:bookmarkEnd w:id="66"/>
    </w:p>
    <w:p>
      <w:pPr>
        <w:pStyle w:val="Heading5"/>
      </w:pPr>
      <w:bookmarkStart w:id="67" w:name="_Toc525042258"/>
      <w:r>
        <w:rPr>
          <w:rStyle w:val="CharSectno"/>
        </w:rPr>
        <w:t>53</w:t>
      </w:r>
      <w:r>
        <w:t>.</w:t>
      </w:r>
      <w:r>
        <w:tab/>
        <w:t>Procedure on applications</w:t>
      </w:r>
      <w:bookmarkEnd w:id="67"/>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68" w:name="_Toc525042259"/>
      <w:r>
        <w:rPr>
          <w:rStyle w:val="CharSectno"/>
        </w:rPr>
        <w:t>54</w:t>
      </w:r>
      <w:r>
        <w:t>.</w:t>
      </w:r>
      <w:r>
        <w:tab/>
        <w:t>Appeals</w:t>
      </w:r>
      <w:bookmarkEnd w:id="68"/>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69" w:name="_Toc525042260"/>
      <w:r>
        <w:rPr>
          <w:rStyle w:val="CharPartNo"/>
        </w:rPr>
        <w:t>Part 5</w:t>
      </w:r>
      <w:r>
        <w:rPr>
          <w:rStyle w:val="CharDivNo"/>
        </w:rPr>
        <w:t> </w:t>
      </w:r>
      <w:r>
        <w:t>—</w:t>
      </w:r>
      <w:r>
        <w:rPr>
          <w:rStyle w:val="CharDivText"/>
        </w:rPr>
        <w:t> </w:t>
      </w:r>
      <w:r>
        <w:rPr>
          <w:rStyle w:val="CharPartText"/>
        </w:rPr>
        <w:t>Repeals and transitional matters</w:t>
      </w:r>
      <w:bookmarkEnd w:id="69"/>
    </w:p>
    <w:p>
      <w:pPr>
        <w:pStyle w:val="Heading5"/>
      </w:pPr>
      <w:bookmarkStart w:id="70" w:name="_Toc525042261"/>
      <w:r>
        <w:rPr>
          <w:rStyle w:val="CharSectno"/>
        </w:rPr>
        <w:t>55</w:t>
      </w:r>
      <w:r>
        <w:t>.</w:t>
      </w:r>
      <w:r>
        <w:tab/>
        <w:t>Term used: commencement</w:t>
      </w:r>
      <w:bookmarkEnd w:id="70"/>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71" w:name="_Toc525042262"/>
      <w:r>
        <w:rPr>
          <w:rStyle w:val="CharSectno"/>
        </w:rPr>
        <w:t>56</w:t>
      </w:r>
      <w:r>
        <w:t>.</w:t>
      </w:r>
      <w:r>
        <w:tab/>
        <w:t>Repeals</w:t>
      </w:r>
      <w:bookmarkEnd w:id="71"/>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72" w:name="_Toc525042263"/>
      <w:r>
        <w:rPr>
          <w:rStyle w:val="CharSectno"/>
        </w:rPr>
        <w:t>57</w:t>
      </w:r>
      <w:r>
        <w:t>.</w:t>
      </w:r>
      <w:r>
        <w:tab/>
        <w:t>Registered training providers</w:t>
      </w:r>
      <w:bookmarkEnd w:id="72"/>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73" w:name="_Toc525042264"/>
      <w:r>
        <w:rPr>
          <w:rStyle w:val="CharSectno"/>
        </w:rPr>
        <w:t>58</w:t>
      </w:r>
      <w:r>
        <w:t>.</w:t>
      </w:r>
      <w:r>
        <w:tab/>
        <w:t>Accredited courses</w:t>
      </w:r>
      <w:bookmarkEnd w:id="73"/>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74" w:name="_Toc525042265"/>
      <w:r>
        <w:rPr>
          <w:rStyle w:val="CharSectno"/>
        </w:rPr>
        <w:t>59</w:t>
      </w:r>
      <w:r>
        <w:t>.</w:t>
      </w:r>
      <w:r>
        <w:tab/>
        <w:t>Traineeship contracts</w:t>
      </w:r>
      <w:bookmarkEnd w:id="74"/>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75" w:name="_Toc525042266"/>
      <w:r>
        <w:rPr>
          <w:rStyle w:val="CharSectno"/>
        </w:rPr>
        <w:t>60</w:t>
      </w:r>
      <w:r>
        <w:t>.</w:t>
      </w:r>
      <w:r>
        <w:tab/>
        <w:t>Apprentices learning trades, transitional provisions for</w:t>
      </w:r>
      <w:bookmarkEnd w:id="75"/>
    </w:p>
    <w:p>
      <w:pPr>
        <w:pStyle w:val="Subsection"/>
      </w:pPr>
      <w:r>
        <w:tab/>
      </w:r>
      <w:r>
        <w:tab/>
        <w:t>Schedule 1 sets out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6" w:name="_Toc525042267"/>
      <w:r>
        <w:rPr>
          <w:rStyle w:val="CharSchNo"/>
        </w:rPr>
        <w:t>Schedule 1</w:t>
      </w:r>
      <w:r>
        <w:rPr>
          <w:rStyle w:val="CharSDivNo"/>
        </w:rPr>
        <w:t> </w:t>
      </w:r>
      <w:r>
        <w:t>—</w:t>
      </w:r>
      <w:r>
        <w:rPr>
          <w:rStyle w:val="CharSDivText"/>
        </w:rPr>
        <w:t> </w:t>
      </w:r>
      <w:r>
        <w:rPr>
          <w:rStyle w:val="CharSchText"/>
        </w:rPr>
        <w:t>Training contract</w:t>
      </w:r>
      <w:bookmarkEnd w:id="76"/>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pageBreakBefore w:val="0"/>
      </w:pPr>
      <w:bookmarkStart w:id="77" w:name="_Toc525042268"/>
      <w:r>
        <w:rPr>
          <w:rStyle w:val="CharSchNo"/>
        </w:rPr>
        <w:t>Schedule 2</w:t>
      </w:r>
      <w:r>
        <w:rPr>
          <w:rStyle w:val="CharSDivNo"/>
        </w:rPr>
        <w:t> </w:t>
      </w:r>
      <w:r>
        <w:t>—</w:t>
      </w:r>
      <w:r>
        <w:rPr>
          <w:rStyle w:val="CharSDivText"/>
        </w:rPr>
        <w:t> </w:t>
      </w:r>
      <w:r>
        <w:rPr>
          <w:rStyle w:val="CharSchText"/>
        </w:rPr>
        <w:t>Provisions about old agreements and old training contracts</w:t>
      </w:r>
      <w:bookmarkEnd w:id="77"/>
    </w:p>
    <w:p>
      <w:pPr>
        <w:pStyle w:val="yShoulderClause"/>
      </w:pPr>
      <w:r>
        <w:t>[r. 60]</w:t>
      </w:r>
    </w:p>
    <w:p>
      <w:pPr>
        <w:pStyle w:val="yHeading5"/>
      </w:pPr>
      <w:bookmarkStart w:id="78" w:name="_Toc525042269"/>
      <w:r>
        <w:rPr>
          <w:rStyle w:val="CharSClsNo"/>
        </w:rPr>
        <w:t>1</w:t>
      </w:r>
      <w:r>
        <w:t>.</w:t>
      </w:r>
      <w:r>
        <w:tab/>
        <w:t>Terms used</w:t>
      </w:r>
      <w:bookmarkEnd w:id="78"/>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79" w:name="_Toc525042270"/>
      <w:r>
        <w:rPr>
          <w:rStyle w:val="CharSClsNo"/>
        </w:rPr>
        <w:t>2</w:t>
      </w:r>
      <w:r>
        <w:t>.</w:t>
      </w:r>
      <w:r>
        <w:tab/>
        <w:t>Old agreements to be read with modifications</w:t>
      </w:r>
      <w:bookmarkEnd w:id="79"/>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80" w:name="_Toc525042271"/>
      <w:r>
        <w:rPr>
          <w:rStyle w:val="CharSClsNo"/>
        </w:rPr>
        <w:t>3</w:t>
      </w:r>
      <w:r>
        <w:t>.</w:t>
      </w:r>
      <w:r>
        <w:tab/>
        <w:t>Old agreements and contracts not terminated by sale of business</w:t>
      </w:r>
      <w:bookmarkEnd w:id="80"/>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81" w:name="_Toc525042272"/>
      <w:r>
        <w:rPr>
          <w:rStyle w:val="CharSClsNo"/>
        </w:rPr>
        <w:t>4</w:t>
      </w:r>
      <w:r>
        <w:t>.</w:t>
      </w:r>
      <w:r>
        <w:tab/>
        <w:t>Technical instruction requirements for trade apprentices</w:t>
      </w:r>
      <w:bookmarkEnd w:id="81"/>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82" w:name="_Toc525042273"/>
      <w:r>
        <w:rPr>
          <w:rStyle w:val="CharSClsNo"/>
        </w:rPr>
        <w:t>5</w:t>
      </w:r>
      <w:r>
        <w:t>.</w:t>
      </w:r>
      <w:r>
        <w:tab/>
        <w:t>Final certificates for trade apprentices</w:t>
      </w:r>
      <w:bookmarkEnd w:id="82"/>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83" w:name="_Toc525042274"/>
      <w:r>
        <w:t>Notes</w:t>
      </w:r>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84" w:name="_Toc525042275"/>
      <w:r>
        <w:t>Compilation table</w:t>
      </w:r>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rFonts w:ascii="Times" w:hAnsi="Times"/>
                <w:b/>
                <w:sz w:val="19"/>
              </w:rPr>
            </w:pPr>
            <w:r>
              <w:rPr>
                <w:rFonts w:ascii="Times" w:hAnsi="Times"/>
                <w:b/>
                <w:sz w:val="19"/>
              </w:rPr>
              <w:t>Citation</w:t>
            </w:r>
          </w:p>
        </w:tc>
        <w:tc>
          <w:tcPr>
            <w:tcW w:w="1276" w:type="dxa"/>
          </w:tcPr>
          <w:p>
            <w:pPr>
              <w:pStyle w:val="nTable"/>
              <w:spacing w:after="40"/>
              <w:rPr>
                <w:rFonts w:ascii="Times" w:hAnsi="Times"/>
                <w:b/>
                <w:sz w:val="19"/>
              </w:rPr>
            </w:pPr>
            <w:r>
              <w:rPr>
                <w:rFonts w:ascii="Times" w:hAnsi="Times"/>
                <w:b/>
                <w:sz w:val="19"/>
              </w:rPr>
              <w:t>Gazettal</w:t>
            </w:r>
          </w:p>
        </w:tc>
        <w:tc>
          <w:tcPr>
            <w:tcW w:w="2693" w:type="dxa"/>
          </w:tcPr>
          <w:p>
            <w:pPr>
              <w:pStyle w:val="nTable"/>
              <w:spacing w:after="40"/>
              <w:rPr>
                <w:rFonts w:ascii="Times" w:hAnsi="Times"/>
                <w:b/>
                <w:sz w:val="19"/>
              </w:rPr>
            </w:pPr>
            <w:r>
              <w:rPr>
                <w:rFonts w:ascii="Times" w:hAnsi="Times"/>
                <w:b/>
                <w:sz w:val="19"/>
              </w:rPr>
              <w:t>Commencement</w:t>
            </w:r>
          </w:p>
        </w:tc>
      </w:tr>
      <w:tr>
        <w:tc>
          <w:tcPr>
            <w:tcW w:w="3118" w:type="dxa"/>
            <w:tcBorders>
              <w:bottom w:val="nil"/>
            </w:tcBorders>
          </w:tcPr>
          <w:p>
            <w:pPr>
              <w:pStyle w:val="nTable"/>
              <w:spacing w:after="40"/>
              <w:rPr>
                <w:rFonts w:ascii="Times" w:hAnsi="Times"/>
                <w:iCs/>
                <w:sz w:val="19"/>
              </w:rPr>
            </w:pPr>
            <w:r>
              <w:rPr>
                <w:rFonts w:ascii="Times" w:hAnsi="Times"/>
                <w:i/>
                <w:noProof/>
                <w:snapToGrid w:val="0"/>
                <w:sz w:val="19"/>
              </w:rPr>
              <w:t>Vocational Education and Training (General) Regulations 2009</w:t>
            </w:r>
          </w:p>
        </w:tc>
        <w:tc>
          <w:tcPr>
            <w:tcW w:w="1276" w:type="dxa"/>
            <w:tcBorders>
              <w:bottom w:val="nil"/>
            </w:tcBorders>
          </w:tcPr>
          <w:p>
            <w:pPr>
              <w:pStyle w:val="nTable"/>
              <w:spacing w:after="40"/>
              <w:rPr>
                <w:rFonts w:ascii="Times" w:hAnsi="Times"/>
                <w:sz w:val="19"/>
              </w:rPr>
            </w:pPr>
            <w:r>
              <w:rPr>
                <w:rFonts w:ascii="Times" w:hAnsi="Times"/>
                <w:sz w:val="19"/>
              </w:rPr>
              <w:t>22 May 2009 p. 1731</w:t>
            </w:r>
            <w:r>
              <w:rPr>
                <w:rFonts w:ascii="Times" w:hAnsi="Times"/>
                <w:sz w:val="19"/>
              </w:rPr>
              <w:noBreakHyphen/>
              <w:t>97</w:t>
            </w:r>
          </w:p>
        </w:tc>
        <w:tc>
          <w:tcPr>
            <w:tcW w:w="2693" w:type="dxa"/>
            <w:tcBorders>
              <w:bottom w:val="nil"/>
            </w:tcBorders>
          </w:tcPr>
          <w:p>
            <w:pPr>
              <w:pStyle w:val="nTable"/>
              <w:spacing w:after="40"/>
              <w:rPr>
                <w:rFonts w:ascii="Times" w:hAnsi="Times"/>
                <w:sz w:val="19"/>
              </w:rPr>
            </w:pPr>
            <w:r>
              <w:rPr>
                <w:rFonts w:ascii="Times" w:hAnsi="Times"/>
                <w:sz w:val="19"/>
              </w:rPr>
              <w:t>r. 1 and 2: 22 May 2009 (see r. 2(a));</w:t>
            </w:r>
            <w:r>
              <w:rPr>
                <w:rFonts w:ascii="Times" w:hAnsi="Times"/>
                <w:sz w:val="19"/>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4508-11</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(No. 2)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4511-12</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sz w:val="19"/>
                <w:szCs w:val="19"/>
              </w:rPr>
            </w:pPr>
            <w:r>
              <w:rPr>
                <w:rFonts w:ascii="Times" w:hAnsi="Times"/>
                <w:i/>
                <w:sz w:val="19"/>
                <w:szCs w:val="19"/>
              </w:rPr>
              <w:t>Vocational Education and Training (General)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16 Mar 2012 p. 1247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16 Mar 2012 (see r. 2(a));</w:t>
            </w:r>
            <w:r>
              <w:rPr>
                <w:rFonts w:ascii="Times" w:hAnsi="Times"/>
                <w:snapToGrid w:val="0"/>
                <w:sz w:val="19"/>
              </w:rPr>
              <w:br/>
              <w:t>Regulations other than r. 1 and 2: 17 Mar 2012 (see r. 2(b))</w:t>
            </w:r>
          </w:p>
        </w:tc>
      </w:tr>
      <w:tr>
        <w:tc>
          <w:tcPr>
            <w:tcW w:w="3118" w:type="dxa"/>
            <w:tcBorders>
              <w:top w:val="nil"/>
              <w:bottom w:val="single" w:sz="4" w:space="0" w:color="auto"/>
            </w:tcBorders>
          </w:tcPr>
          <w:p>
            <w:pPr>
              <w:pStyle w:val="nTable"/>
              <w:spacing w:after="40"/>
              <w:rPr>
                <w:rFonts w:ascii="Times" w:hAnsi="Times"/>
                <w:i/>
                <w:sz w:val="19"/>
                <w:szCs w:val="19"/>
              </w:rPr>
            </w:pPr>
            <w:r>
              <w:rPr>
                <w:rFonts w:ascii="Times" w:hAnsi="Times"/>
                <w:i/>
                <w:sz w:val="19"/>
                <w:szCs w:val="19"/>
              </w:rPr>
              <w:t>Vocational Education and Training (General) Amendment Regulations (No. 2) 2012</w:t>
            </w:r>
          </w:p>
        </w:tc>
        <w:tc>
          <w:tcPr>
            <w:tcW w:w="1276" w:type="dxa"/>
            <w:tcBorders>
              <w:top w:val="nil"/>
              <w:bottom w:val="single" w:sz="4" w:space="0" w:color="auto"/>
            </w:tcBorders>
          </w:tcPr>
          <w:p>
            <w:pPr>
              <w:pStyle w:val="nTable"/>
              <w:spacing w:after="40"/>
              <w:rPr>
                <w:rFonts w:ascii="Times" w:hAnsi="Times"/>
                <w:sz w:val="19"/>
              </w:rPr>
            </w:pPr>
            <w:r>
              <w:rPr>
                <w:rFonts w:ascii="Times" w:hAnsi="Times"/>
                <w:sz w:val="19"/>
              </w:rPr>
              <w:t>21 Aug 2012 p. 3927</w:t>
            </w:r>
          </w:p>
        </w:tc>
        <w:tc>
          <w:tcPr>
            <w:tcW w:w="2693" w:type="dxa"/>
            <w:tcBorders>
              <w:top w:val="nil"/>
              <w:bottom w:val="single" w:sz="4" w:space="0" w:color="auto"/>
            </w:tcBorders>
          </w:tcPr>
          <w:p>
            <w:pPr>
              <w:pStyle w:val="nTable"/>
              <w:spacing w:after="40"/>
              <w:rPr>
                <w:rFonts w:ascii="Times" w:hAnsi="Times"/>
                <w:snapToGrid w:val="0"/>
                <w:sz w:val="19"/>
              </w:rPr>
            </w:pPr>
            <w:r>
              <w:rPr>
                <w:rFonts w:ascii="Times" w:hAnsi="Times"/>
                <w:snapToGrid w:val="0"/>
                <w:sz w:val="19"/>
              </w:rPr>
              <w:t>r. 1 and 2: 21 Aug 2012 (see r. 2(a));</w:t>
            </w:r>
            <w:r>
              <w:rPr>
                <w:rFonts w:ascii="Times" w:hAnsi="Times"/>
                <w:snapToGrid w:val="0"/>
                <w:sz w:val="19"/>
              </w:rPr>
              <w:br/>
              <w:t>Regulations other than r. 1 and 2: 1 Sep 2012 (see r. 2(b))</w:t>
            </w:r>
          </w:p>
        </w:tc>
      </w:tr>
    </w:tbl>
    <w:p>
      <w:pPr>
        <w:pStyle w:val="nSubsection"/>
        <w:tabs>
          <w:tab w:val="clear" w:pos="454"/>
          <w:tab w:val="left" w:pos="567"/>
        </w:tabs>
        <w:spacing w:before="120"/>
        <w:ind w:left="567" w:hanging="567"/>
        <w:rPr>
          <w:snapToGrid w:val="0"/>
        </w:rPr>
      </w:pPr>
      <w:bookmarkStart w:id="85" w:name="AutoSch"/>
      <w:bookmarkEnd w:id="8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 w:name="_Toc7405065"/>
      <w:bookmarkStart w:id="87" w:name="_Toc525042276"/>
      <w:r>
        <w:t>Provisions that have not come into operation</w:t>
      </w:r>
      <w:bookmarkEnd w:id="86"/>
      <w:bookmarkEnd w:id="8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rFonts w:ascii="Times" w:hAnsi="Times"/>
                <w:b/>
                <w:sz w:val="19"/>
              </w:rPr>
            </w:pPr>
            <w:r>
              <w:rPr>
                <w:rFonts w:ascii="Times" w:hAnsi="Times"/>
                <w:b/>
                <w:sz w:val="19"/>
              </w:rPr>
              <w:t>Citation</w:t>
            </w:r>
          </w:p>
        </w:tc>
        <w:tc>
          <w:tcPr>
            <w:tcW w:w="1276" w:type="dxa"/>
          </w:tcPr>
          <w:p>
            <w:pPr>
              <w:pStyle w:val="nTable"/>
              <w:spacing w:after="40"/>
              <w:rPr>
                <w:rFonts w:ascii="Times" w:hAnsi="Times"/>
                <w:b/>
                <w:sz w:val="19"/>
              </w:rPr>
            </w:pPr>
            <w:r>
              <w:rPr>
                <w:rFonts w:ascii="Times" w:hAnsi="Times"/>
                <w:b/>
                <w:sz w:val="19"/>
              </w:rPr>
              <w:t>Gazettal</w:t>
            </w:r>
          </w:p>
        </w:tc>
        <w:tc>
          <w:tcPr>
            <w:tcW w:w="2693" w:type="dxa"/>
          </w:tcPr>
          <w:p>
            <w:pPr>
              <w:pStyle w:val="nTable"/>
              <w:spacing w:after="40"/>
              <w:rPr>
                <w:rFonts w:ascii="Times" w:hAnsi="Times"/>
                <w:b/>
                <w:sz w:val="19"/>
              </w:rPr>
            </w:pPr>
            <w:r>
              <w:rPr>
                <w:rFonts w:ascii="Times" w:hAnsi="Times"/>
                <w:b/>
                <w:sz w:val="19"/>
              </w:rPr>
              <w:t>Commencement</w:t>
            </w:r>
          </w:p>
        </w:tc>
      </w:tr>
      <w:tr>
        <w:tc>
          <w:tcPr>
            <w:tcW w:w="3118" w:type="dxa"/>
          </w:tcPr>
          <w:p>
            <w:pPr>
              <w:pStyle w:val="nTable"/>
              <w:spacing w:after="40"/>
              <w:rPr>
                <w:rFonts w:ascii="Times" w:hAnsi="Times"/>
                <w:i/>
                <w:iCs/>
                <w:sz w:val="19"/>
                <w:vertAlign w:val="superscript"/>
              </w:rPr>
            </w:pPr>
            <w:r>
              <w:rPr>
                <w:i/>
              </w:rPr>
              <w:t>Vocational Education and Training (General) Amendment Regulations 2013</w:t>
            </w:r>
            <w:r>
              <w:t xml:space="preserve"> r. 3</w:t>
            </w:r>
            <w:r>
              <w:noBreakHyphen/>
              <w:t>27 </w:t>
            </w:r>
            <w:r>
              <w:rPr>
                <w:vertAlign w:val="superscript"/>
              </w:rPr>
              <w:t>2</w:t>
            </w:r>
          </w:p>
        </w:tc>
        <w:tc>
          <w:tcPr>
            <w:tcW w:w="1276" w:type="dxa"/>
          </w:tcPr>
          <w:p>
            <w:pPr>
              <w:pStyle w:val="nTable"/>
              <w:spacing w:after="40"/>
              <w:rPr>
                <w:rFonts w:ascii="Times" w:hAnsi="Times"/>
                <w:sz w:val="19"/>
              </w:rPr>
            </w:pPr>
            <w:r>
              <w:rPr>
                <w:rFonts w:ascii="Times" w:hAnsi="Times"/>
                <w:sz w:val="19"/>
              </w:rPr>
              <w:t>17 Dec 2013 p. 6218</w:t>
            </w:r>
            <w:r>
              <w:rPr>
                <w:rFonts w:ascii="Times" w:hAnsi="Times"/>
                <w:sz w:val="19"/>
              </w:rPr>
              <w:noBreakHyphen/>
              <w:t>30</w:t>
            </w:r>
          </w:p>
        </w:tc>
        <w:tc>
          <w:tcPr>
            <w:tcW w:w="2693" w:type="dxa"/>
          </w:tcPr>
          <w:p>
            <w:pPr>
              <w:pStyle w:val="nTable"/>
              <w:spacing w:after="40"/>
              <w:rPr>
                <w:rFonts w:ascii="Times" w:hAnsi="Times"/>
                <w:sz w:val="19"/>
              </w:rPr>
            </w:pPr>
            <w:r>
              <w:rPr>
                <w:rFonts w:ascii="Times" w:hAnsi="Times"/>
                <w:sz w:val="19"/>
              </w:rPr>
              <w:t>1 Jan 2014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Vocational Education and Training (General) Amendment Regulations 2013</w:t>
      </w:r>
      <w:r>
        <w:t xml:space="preserve"> r. 3</w:t>
      </w:r>
      <w:r>
        <w:noBreakHyphen/>
        <w:t xml:space="preserve">27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Vocational Education and Training (General) Regulations 2009</w:t>
      </w:r>
      <w:r>
        <w:t>.</w:t>
      </w:r>
    </w:p>
    <w:p>
      <w:pPr>
        <w:pStyle w:val="nzHeading5"/>
      </w:pPr>
      <w:r>
        <w:rPr>
          <w:rStyle w:val="CharSectno"/>
        </w:rPr>
        <w:t>4</w:t>
      </w:r>
      <w:r>
        <w:t>.</w:t>
      </w:r>
      <w:r>
        <w:tab/>
        <w:t>Regulation 3 amended</w:t>
      </w:r>
    </w:p>
    <w:p>
      <w:pPr>
        <w:pStyle w:val="nzSubsection"/>
      </w:pPr>
      <w:r>
        <w:tab/>
        <w:t>(1)</w:t>
      </w:r>
      <w:r>
        <w:tab/>
        <w:t>In regulation 3 delete the definitions of:</w:t>
      </w:r>
    </w:p>
    <w:p>
      <w:pPr>
        <w:pStyle w:val="DeleteListSub"/>
        <w:ind w:left="1418"/>
        <w:rPr>
          <w:b/>
          <w:i/>
        </w:rPr>
      </w:pPr>
      <w:r>
        <w:rPr>
          <w:b/>
          <w:i/>
        </w:rPr>
        <w:t>AQF Implementation handbook</w:t>
      </w:r>
    </w:p>
    <w:p>
      <w:pPr>
        <w:pStyle w:val="DeleteListSub"/>
        <w:ind w:left="1418"/>
        <w:rPr>
          <w:b/>
          <w:i/>
        </w:rPr>
      </w:pPr>
      <w:r>
        <w:rPr>
          <w:b/>
          <w:i/>
        </w:rPr>
        <w:t>NTIS</w:t>
      </w:r>
    </w:p>
    <w:p>
      <w:pPr>
        <w:pStyle w:val="nzSubsection"/>
      </w:pPr>
      <w:r>
        <w:tab/>
        <w:t>(2)</w:t>
      </w:r>
      <w:r>
        <w:tab/>
        <w:t>In regulation 3 insert in alphabetical order:</w:t>
      </w:r>
    </w:p>
    <w:p>
      <w:pPr>
        <w:pStyle w:val="BlankOpen"/>
      </w:pPr>
    </w:p>
    <w:p>
      <w:pPr>
        <w:pStyle w:val="nzDefstart"/>
      </w:pPr>
      <w:r>
        <w:tab/>
      </w:r>
      <w:r>
        <w:rPr>
          <w:rStyle w:val="CharDefText"/>
        </w:rPr>
        <w:t xml:space="preserve">AQF </w:t>
      </w:r>
      <w:r>
        <w:t>means the Australian Qualifications Framework as defined in the Commonwealth Act section 3;</w:t>
      </w:r>
    </w:p>
    <w:p>
      <w:pPr>
        <w:pStyle w:val="nzDefstart"/>
      </w:pPr>
      <w:r>
        <w:tab/>
      </w:r>
      <w:r>
        <w:rPr>
          <w:rStyle w:val="CharDefText"/>
        </w:rPr>
        <w:t>ASQA</w:t>
      </w:r>
      <w:r>
        <w:t xml:space="preserve"> means the Australian Skills Quality Authority (the National VET Regulator) established under the Commonwealth Act section 155;</w:t>
      </w:r>
    </w:p>
    <w:p>
      <w:pPr>
        <w:pStyle w:val="nzDefstart"/>
      </w:pPr>
      <w:r>
        <w:tab/>
      </w:r>
      <w:r>
        <w:rPr>
          <w:rStyle w:val="CharDefText"/>
        </w:rPr>
        <w:t>Commonwealth Act</w:t>
      </w:r>
      <w:r>
        <w:t xml:space="preserve"> means the </w:t>
      </w:r>
      <w:r>
        <w:rPr>
          <w:i/>
        </w:rPr>
        <w:t>National Vocational Education and Training Regulator Act 2011</w:t>
      </w:r>
      <w:r>
        <w:t xml:space="preserve"> (Commonwealth);</w:t>
      </w:r>
    </w:p>
    <w:p>
      <w:pPr>
        <w:pStyle w:val="nzDefstart"/>
      </w:pPr>
      <w:r>
        <w:tab/>
      </w:r>
      <w:r>
        <w:rPr>
          <w:rStyle w:val="CharDefText"/>
        </w:rPr>
        <w:t>national register</w:t>
      </w:r>
      <w:r>
        <w:t xml:space="preserve"> has the meaning given in the Commonwealth Act section 3;</w:t>
      </w:r>
    </w:p>
    <w:p>
      <w:pPr>
        <w:pStyle w:val="BlankClose"/>
      </w:pPr>
    </w:p>
    <w:p>
      <w:pPr>
        <w:pStyle w:val="nzSubsection"/>
      </w:pPr>
      <w:r>
        <w:tab/>
        <w:t>(3)</w:t>
      </w:r>
      <w:r>
        <w:tab/>
        <w:t xml:space="preserve">In regulation 3 in the definition of </w:t>
      </w:r>
      <w:r>
        <w:rPr>
          <w:b/>
          <w:i/>
        </w:rPr>
        <w:t>AQTF</w:t>
      </w:r>
      <w:r>
        <w:t xml:space="preserve"> delete “Framework;” and insert:</w:t>
      </w:r>
    </w:p>
    <w:p>
      <w:pPr>
        <w:pStyle w:val="BlankOpen"/>
      </w:pPr>
    </w:p>
    <w:p>
      <w:pPr>
        <w:pStyle w:val="nzSubsection"/>
      </w:pPr>
      <w:r>
        <w:tab/>
      </w:r>
      <w:r>
        <w:tab/>
        <w:t xml:space="preserve">Framework as defined in the </w:t>
      </w:r>
      <w:r>
        <w:rPr>
          <w:i/>
        </w:rPr>
        <w:t>Higher Education Support Act 2003</w:t>
      </w:r>
      <w:r>
        <w:t xml:space="preserve"> (Commonwealth) Schedule 1;</w:t>
      </w:r>
    </w:p>
    <w:p>
      <w:pPr>
        <w:pStyle w:val="BlankClose"/>
      </w:pPr>
    </w:p>
    <w:p>
      <w:pPr>
        <w:pStyle w:val="nzSubsection"/>
      </w:pPr>
      <w:r>
        <w:tab/>
        <w:t>(4)</w:t>
      </w:r>
      <w:r>
        <w:tab/>
        <w:t xml:space="preserve">In regulation 3 in the definition of </w:t>
      </w:r>
      <w:r>
        <w:rPr>
          <w:b/>
          <w:i/>
        </w:rPr>
        <w:t>registering body</w:t>
      </w:r>
      <w:r>
        <w:t>:</w:t>
      </w:r>
    </w:p>
    <w:p>
      <w:pPr>
        <w:pStyle w:val="nzIndenta"/>
      </w:pPr>
      <w:r>
        <w:tab/>
        <w:t>(a)</w:t>
      </w:r>
      <w:r>
        <w:tab/>
        <w:t>in paragraph (b) delete “law;” and insert:</w:t>
      </w:r>
    </w:p>
    <w:p>
      <w:pPr>
        <w:pStyle w:val="BlankOpen"/>
      </w:pPr>
    </w:p>
    <w:p>
      <w:pPr>
        <w:pStyle w:val="nzIndenta"/>
      </w:pPr>
      <w:r>
        <w:tab/>
      </w:r>
      <w:r>
        <w:tab/>
        <w:t>law; or</w:t>
      </w:r>
    </w:p>
    <w:p>
      <w:pPr>
        <w:pStyle w:val="BlankClose"/>
      </w:pPr>
    </w:p>
    <w:p>
      <w:pPr>
        <w:pStyle w:val="nzIndenta"/>
      </w:pPr>
      <w:r>
        <w:tab/>
        <w:t>(b)</w:t>
      </w:r>
      <w:r>
        <w:tab/>
        <w:t>after paragraph (b) insert:</w:t>
      </w:r>
    </w:p>
    <w:p>
      <w:pPr>
        <w:pStyle w:val="BlankOpen"/>
      </w:pPr>
    </w:p>
    <w:p>
      <w:pPr>
        <w:pStyle w:val="nzDefpara"/>
      </w:pPr>
      <w:r>
        <w:tab/>
        <w:t>(c)</w:t>
      </w:r>
      <w:r>
        <w:tab/>
        <w:t>ASQA;</w:t>
      </w:r>
    </w:p>
    <w:p>
      <w:pPr>
        <w:pStyle w:val="BlankClose"/>
      </w:pPr>
    </w:p>
    <w:p>
      <w:pPr>
        <w:pStyle w:val="nzHeading5"/>
      </w:pPr>
      <w:r>
        <w:rPr>
          <w:rStyle w:val="CharSectno"/>
        </w:rPr>
        <w:t>5</w:t>
      </w:r>
      <w:r>
        <w:t>.</w:t>
      </w:r>
      <w:r>
        <w:tab/>
        <w:t>Regulation 4 amended</w:t>
      </w:r>
    </w:p>
    <w:p>
      <w:pPr>
        <w:pStyle w:val="nzSubsection"/>
      </w:pPr>
      <w:r>
        <w:tab/>
      </w:r>
      <w:r>
        <w:tab/>
        <w:t xml:space="preserve">In regulation 4(1) in the definition of </w:t>
      </w:r>
      <w:r>
        <w:rPr>
          <w:b/>
          <w:i/>
        </w:rPr>
        <w:t>listed</w:t>
      </w:r>
      <w:r>
        <w:t xml:space="preserve"> delete “NTIS.” and insert:</w:t>
      </w:r>
    </w:p>
    <w:p>
      <w:pPr>
        <w:pStyle w:val="BlankOpen"/>
      </w:pPr>
    </w:p>
    <w:p>
      <w:pPr>
        <w:pStyle w:val="nzSubsection"/>
      </w:pPr>
      <w:r>
        <w:tab/>
      </w:r>
      <w:r>
        <w:tab/>
        <w:t>national register.</w:t>
      </w:r>
    </w:p>
    <w:p>
      <w:pPr>
        <w:pStyle w:val="BlankClose"/>
      </w:pPr>
    </w:p>
    <w:p>
      <w:pPr>
        <w:pStyle w:val="nzHeading5"/>
      </w:pPr>
      <w:r>
        <w:rPr>
          <w:rStyle w:val="CharSectno"/>
        </w:rPr>
        <w:t>6</w:t>
      </w:r>
      <w:r>
        <w:t>.</w:t>
      </w:r>
      <w:r>
        <w:tab/>
        <w:t>Regulation 7 amended</w:t>
      </w:r>
    </w:p>
    <w:p>
      <w:pPr>
        <w:pStyle w:val="nzSubsection"/>
      </w:pPr>
      <w:r>
        <w:tab/>
        <w:t>(1)</w:t>
      </w:r>
      <w:r>
        <w:tab/>
        <w:t>In regulation 7(1) insert in alphabetical order:</w:t>
      </w:r>
    </w:p>
    <w:p>
      <w:pPr>
        <w:pStyle w:val="BlankOpen"/>
      </w:pPr>
    </w:p>
    <w:p>
      <w:pPr>
        <w:pStyle w:val="nzDefstart"/>
      </w:pPr>
      <w:r>
        <w:rPr>
          <w:rStyle w:val="CharDefText"/>
        </w:rPr>
        <w:tab/>
        <w:t>compliance monitoring audit</w:t>
      </w:r>
      <w:r>
        <w:t xml:space="preserve"> means a compliance monitoring audit conducted under Division 3;</w:t>
      </w:r>
    </w:p>
    <w:p>
      <w:pPr>
        <w:pStyle w:val="nzDefstart"/>
      </w:pPr>
      <w:r>
        <w:tab/>
      </w:r>
      <w:r>
        <w:rPr>
          <w:rStyle w:val="CharDefText"/>
        </w:rPr>
        <w:t>non</w:t>
      </w:r>
      <w:r>
        <w:rPr>
          <w:rStyle w:val="CharDefText"/>
        </w:rPr>
        <w:noBreakHyphen/>
        <w:t>referring State</w:t>
      </w:r>
      <w:r>
        <w:t xml:space="preserve"> has the meaning given in the Commonwealth Act section 7;</w:t>
      </w:r>
    </w:p>
    <w:p>
      <w:pPr>
        <w:pStyle w:val="nzDefstart"/>
      </w:pPr>
      <w:r>
        <w:tab/>
      </w:r>
      <w:r>
        <w:rPr>
          <w:rStyle w:val="CharDefText"/>
        </w:rPr>
        <w:t>Standards for VET Regulators</w:t>
      </w:r>
      <w:r>
        <w:t xml:space="preserve"> has the meaning given in the Commonwealth Act section 189;</w:t>
      </w:r>
    </w:p>
    <w:p>
      <w:pPr>
        <w:pStyle w:val="BlankClose"/>
      </w:pPr>
    </w:p>
    <w:p>
      <w:pPr>
        <w:pStyle w:val="nzSubsection"/>
        <w:rPr>
          <w:rStyle w:val="CharDefText"/>
          <w:b w:val="0"/>
          <w:i w:val="0"/>
        </w:rPr>
      </w:pPr>
      <w:r>
        <w:tab/>
        <w:t>(2)</w:t>
      </w:r>
      <w:r>
        <w:tab/>
        <w:t xml:space="preserve">In regulation 7(1) in the definition of </w:t>
      </w:r>
      <w:r>
        <w:rPr>
          <w:b/>
          <w:i/>
        </w:rPr>
        <w:t>prescribed registration document</w:t>
      </w:r>
      <w:r>
        <w:t xml:space="preserve"> </w:t>
      </w:r>
      <w:r>
        <w:rPr>
          <w:rStyle w:val="CharDefText"/>
          <w:b w:val="0"/>
          <w:i w:val="0"/>
        </w:rPr>
        <w:t>delete “</w:t>
      </w:r>
      <w:r>
        <w:rPr>
          <w:rStyle w:val="CharDefText"/>
          <w:b w:val="0"/>
        </w:rPr>
        <w:t>AQTF 2007 Standards for State and Territory Registering Bodies</w:t>
      </w:r>
      <w:r>
        <w:rPr>
          <w:rStyle w:val="CharDefText"/>
          <w:b w:val="0"/>
          <w:i w:val="0"/>
        </w:rPr>
        <w:t xml:space="preserve"> (published by the Commonwealth of Australia 2007);” and insert:</w:t>
      </w:r>
    </w:p>
    <w:p>
      <w:pPr>
        <w:pStyle w:val="BlankOpen"/>
      </w:pPr>
    </w:p>
    <w:p>
      <w:pPr>
        <w:pStyle w:val="nzSubsection"/>
      </w:pPr>
      <w:r>
        <w:tab/>
      </w:r>
      <w:r>
        <w:tab/>
        <w:t>Standards for VET Regulators;</w:t>
      </w:r>
    </w:p>
    <w:p>
      <w:pPr>
        <w:pStyle w:val="BlankClose"/>
      </w:pPr>
    </w:p>
    <w:p>
      <w:pPr>
        <w:pStyle w:val="nzSubsection"/>
      </w:pPr>
      <w:r>
        <w:tab/>
        <w:t>(3)</w:t>
      </w:r>
      <w:r>
        <w:tab/>
        <w:t>In regulation 7(2) after “AQTF” insert:</w:t>
      </w:r>
    </w:p>
    <w:p>
      <w:pPr>
        <w:pStyle w:val="BlankOpen"/>
      </w:pPr>
    </w:p>
    <w:p>
      <w:pPr>
        <w:pStyle w:val="nzSubsection"/>
      </w:pPr>
      <w:r>
        <w:tab/>
      </w:r>
      <w:r>
        <w:tab/>
        <w:t>or the Standards for VET Regulators</w:t>
      </w:r>
    </w:p>
    <w:p>
      <w:pPr>
        <w:pStyle w:val="BlankClose"/>
      </w:pPr>
    </w:p>
    <w:p>
      <w:pPr>
        <w:pStyle w:val="nzHeading5"/>
      </w:pPr>
      <w:r>
        <w:rPr>
          <w:rStyle w:val="CharSectno"/>
        </w:rPr>
        <w:t>7</w:t>
      </w:r>
      <w:r>
        <w:t>.</w:t>
      </w:r>
      <w:r>
        <w:tab/>
        <w:t>Regulation 8 amended</w:t>
      </w:r>
    </w:p>
    <w:p>
      <w:pPr>
        <w:pStyle w:val="nzSubsection"/>
      </w:pPr>
      <w:r>
        <w:tab/>
      </w:r>
      <w:r>
        <w:tab/>
        <w:t>Delete regulation 8(1) and insert:</w:t>
      </w:r>
    </w:p>
    <w:p>
      <w:pPr>
        <w:pStyle w:val="BlankOpen"/>
      </w:pPr>
    </w:p>
    <w:p>
      <w:pPr>
        <w:pStyle w:val="nzSubsection"/>
      </w:pPr>
      <w:r>
        <w:tab/>
        <w:t>(1)</w:t>
      </w:r>
      <w:r>
        <w:tab/>
        <w:t>In performing its functions under Part 7A of the Act, the Council must have regard to the Standards for VET Regulators.</w:t>
      </w:r>
    </w:p>
    <w:p>
      <w:pPr>
        <w:pStyle w:val="BlankClose"/>
      </w:pPr>
    </w:p>
    <w:p>
      <w:pPr>
        <w:pStyle w:val="nzNotesPerm"/>
      </w:pPr>
      <w:r>
        <w:tab/>
        <w:t>Note:</w:t>
      </w:r>
      <w:r>
        <w:tab/>
        <w:t>The heading to amended regulation 8 is to read:</w:t>
      </w:r>
    </w:p>
    <w:p>
      <w:pPr>
        <w:pStyle w:val="nzNotesPerm"/>
        <w:rPr>
          <w:b/>
        </w:rPr>
      </w:pPr>
      <w:r>
        <w:rPr>
          <w:b/>
        </w:rPr>
        <w:tab/>
      </w:r>
      <w:r>
        <w:rPr>
          <w:b/>
        </w:rPr>
        <w:tab/>
        <w:t>Council to have regard to the Standards for VET Regulators</w:t>
      </w:r>
    </w:p>
    <w:p>
      <w:pPr>
        <w:pStyle w:val="nzHeading5"/>
      </w:pPr>
      <w:r>
        <w:rPr>
          <w:rStyle w:val="CharSectno"/>
        </w:rPr>
        <w:t>8</w:t>
      </w:r>
      <w:r>
        <w:t>.</w:t>
      </w:r>
      <w:r>
        <w:tab/>
        <w:t>Regulation 9 amended</w:t>
      </w:r>
    </w:p>
    <w:p>
      <w:pPr>
        <w:pStyle w:val="nzSubsection"/>
      </w:pPr>
      <w:r>
        <w:tab/>
      </w:r>
      <w:r>
        <w:tab/>
        <w:t>In regulation 9(3) delete “NTIS” and insert:</w:t>
      </w:r>
    </w:p>
    <w:p>
      <w:pPr>
        <w:pStyle w:val="BlankOpen"/>
      </w:pPr>
    </w:p>
    <w:p>
      <w:pPr>
        <w:pStyle w:val="nzSubsection"/>
      </w:pPr>
      <w:r>
        <w:tab/>
      </w:r>
      <w:r>
        <w:tab/>
        <w:t>national register</w:t>
      </w:r>
    </w:p>
    <w:p>
      <w:pPr>
        <w:pStyle w:val="BlankClose"/>
      </w:pPr>
    </w:p>
    <w:p>
      <w:pPr>
        <w:pStyle w:val="nzHeading5"/>
      </w:pPr>
      <w:r>
        <w:rPr>
          <w:rStyle w:val="CharSectno"/>
        </w:rPr>
        <w:t>9</w:t>
      </w:r>
      <w:r>
        <w:t>.</w:t>
      </w:r>
      <w:r>
        <w:tab/>
        <w:t>Regulation 10 amended</w:t>
      </w:r>
    </w:p>
    <w:p>
      <w:pPr>
        <w:pStyle w:val="nzSubsection"/>
      </w:pPr>
      <w:r>
        <w:tab/>
      </w:r>
      <w:r>
        <w:tab/>
        <w:t>Delete regulation 10(1) and (2) and insert:</w:t>
      </w:r>
    </w:p>
    <w:p>
      <w:pPr>
        <w:pStyle w:val="BlankOpen"/>
      </w:pPr>
    </w:p>
    <w:p>
      <w:pPr>
        <w:pStyle w:val="nzSubsection"/>
      </w:pPr>
      <w:r>
        <w:tab/>
        <w:t>(1)</w:t>
      </w:r>
      <w:r>
        <w:tab/>
        <w:t xml:space="preserve">A person may apply to be registered as a training provider under section 58B of the Act — </w:t>
      </w:r>
    </w:p>
    <w:p>
      <w:pPr>
        <w:pStyle w:val="nzIndenta"/>
      </w:pPr>
      <w:r>
        <w:tab/>
        <w:t>(a)</w:t>
      </w:r>
      <w:r>
        <w:tab/>
        <w:t xml:space="preserve">if the person’s principal place of business — </w:t>
      </w:r>
    </w:p>
    <w:p>
      <w:pPr>
        <w:pStyle w:val="nz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nz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nzIndenta"/>
      </w:pPr>
      <w:r>
        <w:tab/>
      </w:r>
      <w:r>
        <w:tab/>
        <w:t>and</w:t>
      </w:r>
    </w:p>
    <w:p>
      <w:pPr>
        <w:pStyle w:val="nzIndenta"/>
      </w:pPr>
      <w:r>
        <w:tab/>
        <w:t>(b)</w:t>
      </w:r>
      <w:r>
        <w:tab/>
        <w:t>the person is not a training organisation to which the Commonwealth Act applies.</w:t>
      </w:r>
    </w:p>
    <w:p>
      <w:pPr>
        <w:pStyle w:val="nz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BlankClose"/>
      </w:pPr>
    </w:p>
    <w:p>
      <w:pPr>
        <w:pStyle w:val="nzHeading5"/>
      </w:pPr>
      <w:r>
        <w:rPr>
          <w:rStyle w:val="CharSectno"/>
        </w:rPr>
        <w:t>10</w:t>
      </w:r>
      <w:r>
        <w:t>.</w:t>
      </w:r>
      <w:r>
        <w:tab/>
        <w:t>Regulation 12 amended</w:t>
      </w:r>
    </w:p>
    <w:p>
      <w:pPr>
        <w:pStyle w:val="nzSubsection"/>
      </w:pPr>
      <w:r>
        <w:tab/>
        <w:t>(1)</w:t>
      </w:r>
      <w:r>
        <w:tab/>
        <w:t>In regulation 12(3) delete “regulation 10(1) applies to the provider” and insert:</w:t>
      </w:r>
    </w:p>
    <w:p>
      <w:pPr>
        <w:pStyle w:val="BlankOpen"/>
      </w:pPr>
    </w:p>
    <w:p>
      <w:pPr>
        <w:pStyle w:val="nzSubsection"/>
      </w:pPr>
      <w:r>
        <w:tab/>
      </w:r>
      <w:r>
        <w:tab/>
        <w:t>the provider satisfies the criteria for making an application for registration under regulation 10(1)</w:t>
      </w:r>
    </w:p>
    <w:p>
      <w:pPr>
        <w:pStyle w:val="BlankClose"/>
      </w:pPr>
    </w:p>
    <w:p>
      <w:pPr>
        <w:pStyle w:val="nzSubsection"/>
      </w:pPr>
      <w:r>
        <w:tab/>
        <w:t>(2)</w:t>
      </w:r>
      <w:r>
        <w:tab/>
        <w:t>Delete regulation 12(4) and insert:</w:t>
      </w:r>
    </w:p>
    <w:p>
      <w:pPr>
        <w:pStyle w:val="BlankOpen"/>
      </w:pPr>
    </w:p>
    <w:p>
      <w:pPr>
        <w:pStyle w:val="nz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BlankClose"/>
      </w:pPr>
    </w:p>
    <w:p>
      <w:pPr>
        <w:pStyle w:val="nzHeading5"/>
      </w:pPr>
      <w:r>
        <w:rPr>
          <w:rStyle w:val="CharSectno"/>
        </w:rPr>
        <w:t>11</w:t>
      </w:r>
      <w:r>
        <w:t>.</w:t>
      </w:r>
      <w:r>
        <w:tab/>
        <w:t>Regulation 13 amended</w:t>
      </w:r>
    </w:p>
    <w:p>
      <w:pPr>
        <w:pStyle w:val="nzSubsection"/>
      </w:pPr>
      <w:r>
        <w:tab/>
      </w:r>
      <w:r>
        <w:tab/>
        <w:t>In regulation 13(2)(b) and (d) after “compliance audit” insert:</w:t>
      </w:r>
    </w:p>
    <w:p>
      <w:pPr>
        <w:pStyle w:val="BlankOpen"/>
      </w:pPr>
    </w:p>
    <w:p>
      <w:pPr>
        <w:pStyle w:val="nzSubsection"/>
      </w:pPr>
      <w:r>
        <w:tab/>
      </w:r>
      <w:r>
        <w:tab/>
        <w:t>or a compliance monitoring audit</w:t>
      </w:r>
    </w:p>
    <w:p>
      <w:pPr>
        <w:pStyle w:val="BlankClose"/>
      </w:pPr>
    </w:p>
    <w:p>
      <w:pPr>
        <w:pStyle w:val="nzHeading5"/>
      </w:pPr>
      <w:r>
        <w:rPr>
          <w:rStyle w:val="CharSectno"/>
        </w:rPr>
        <w:t>12</w:t>
      </w:r>
      <w:r>
        <w:t>.</w:t>
      </w:r>
      <w:r>
        <w:tab/>
        <w:t>Regulation 16 amended</w:t>
      </w:r>
    </w:p>
    <w:p>
      <w:pPr>
        <w:pStyle w:val="nzSubsection"/>
      </w:pPr>
      <w:r>
        <w:tab/>
      </w:r>
      <w:r>
        <w:tab/>
        <w:t>Delete regulation 16(3)(a)(i) and insert:</w:t>
      </w:r>
    </w:p>
    <w:p>
      <w:pPr>
        <w:pStyle w:val="BlankOpen"/>
      </w:pPr>
    </w:p>
    <w:p>
      <w:pPr>
        <w:pStyle w:val="nzIndenti"/>
      </w:pPr>
      <w:r>
        <w:tab/>
        <w:t>(i)</w:t>
      </w:r>
      <w:r>
        <w:tab/>
        <w:t>that the person satisfies the criteria for making an application for registration under regulation 10(1); and</w:t>
      </w:r>
    </w:p>
    <w:p>
      <w:pPr>
        <w:pStyle w:val="BlankClose"/>
      </w:pPr>
    </w:p>
    <w:p>
      <w:pPr>
        <w:pStyle w:val="nzHeading5"/>
      </w:pPr>
      <w:r>
        <w:rPr>
          <w:rStyle w:val="CharSectno"/>
        </w:rPr>
        <w:t>13</w:t>
      </w:r>
      <w:r>
        <w:t>.</w:t>
      </w:r>
      <w:r>
        <w:tab/>
        <w:t>Regulation 17 amended</w:t>
      </w:r>
    </w:p>
    <w:p>
      <w:pPr>
        <w:pStyle w:val="nzSubsection"/>
      </w:pPr>
      <w:r>
        <w:tab/>
        <w:t>(1)</w:t>
      </w:r>
      <w:r>
        <w:tab/>
        <w:t>In regulation 17(3) after “provider’s registration” insert:</w:t>
      </w:r>
    </w:p>
    <w:p>
      <w:pPr>
        <w:pStyle w:val="BlankOpen"/>
      </w:pPr>
    </w:p>
    <w:p>
      <w:pPr>
        <w:pStyle w:val="nzSubsection"/>
      </w:pPr>
      <w:r>
        <w:tab/>
      </w:r>
      <w:r>
        <w:tab/>
        <w:t>at any time</w:t>
      </w:r>
    </w:p>
    <w:p>
      <w:pPr>
        <w:pStyle w:val="BlankClose"/>
      </w:pPr>
    </w:p>
    <w:p>
      <w:pPr>
        <w:pStyle w:val="nzSubsection"/>
      </w:pPr>
      <w:r>
        <w:tab/>
        <w:t>(2)</w:t>
      </w:r>
      <w:r>
        <w:tab/>
        <w:t>In regulation 17(4):</w:t>
      </w:r>
    </w:p>
    <w:p>
      <w:pPr>
        <w:pStyle w:val="nzIndenta"/>
      </w:pPr>
      <w:r>
        <w:tab/>
        <w:t>(a)</w:t>
      </w:r>
      <w:r>
        <w:tab/>
        <w:t>delete “regulation 10(1) applies to the provider” and insert:</w:t>
      </w:r>
    </w:p>
    <w:p>
      <w:pPr>
        <w:pStyle w:val="BlankOpen"/>
      </w:pPr>
    </w:p>
    <w:p>
      <w:pPr>
        <w:pStyle w:val="nzIndenta"/>
      </w:pPr>
      <w:r>
        <w:tab/>
      </w:r>
      <w:r>
        <w:tab/>
        <w:t>the provider satisfies the criteria for making an application for registration under regulation 10(1)</w:t>
      </w:r>
    </w:p>
    <w:p>
      <w:pPr>
        <w:pStyle w:val="BlankClose"/>
      </w:pPr>
    </w:p>
    <w:p>
      <w:pPr>
        <w:pStyle w:val="nzIndenta"/>
      </w:pPr>
      <w:r>
        <w:tab/>
        <w:t>(b)</w:t>
      </w:r>
      <w:r>
        <w:tab/>
        <w:t>in paragraph (b) after “compliance audit” insert:</w:t>
      </w:r>
    </w:p>
    <w:p>
      <w:pPr>
        <w:pStyle w:val="BlankOpen"/>
      </w:pPr>
    </w:p>
    <w:p>
      <w:pPr>
        <w:pStyle w:val="nzIndenta"/>
      </w:pPr>
      <w:r>
        <w:tab/>
      </w:r>
      <w:r>
        <w:tab/>
        <w:t>or a compliance monitoring audit</w:t>
      </w:r>
    </w:p>
    <w:p>
      <w:pPr>
        <w:pStyle w:val="BlankClose"/>
      </w:pPr>
    </w:p>
    <w:p>
      <w:pPr>
        <w:pStyle w:val="nzHeading5"/>
      </w:pPr>
      <w:r>
        <w:rPr>
          <w:rStyle w:val="CharSectno"/>
        </w:rPr>
        <w:t>14</w:t>
      </w:r>
      <w:r>
        <w:t>.</w:t>
      </w:r>
      <w:r>
        <w:tab/>
        <w:t>Regulation 18 amended</w:t>
      </w:r>
    </w:p>
    <w:p>
      <w:pPr>
        <w:pStyle w:val="nzSubsection"/>
        <w:keepNext/>
      </w:pPr>
      <w:r>
        <w:tab/>
        <w:t>(1)</w:t>
      </w:r>
      <w:r>
        <w:tab/>
        <w:t>Delete regulation 18(1) and insert:</w:t>
      </w:r>
    </w:p>
    <w:p>
      <w:pPr>
        <w:pStyle w:val="BlankOpen"/>
      </w:pPr>
    </w:p>
    <w:p>
      <w:pPr>
        <w:pStyle w:val="nz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BlankClose"/>
      </w:pPr>
    </w:p>
    <w:p>
      <w:pPr>
        <w:pStyle w:val="nzSubsection"/>
      </w:pPr>
      <w:r>
        <w:tab/>
        <w:t>(2)</w:t>
      </w:r>
      <w:r>
        <w:tab/>
        <w:t>In regulation 18(3) delete “corresponding law,” insert:</w:t>
      </w:r>
    </w:p>
    <w:p>
      <w:pPr>
        <w:pStyle w:val="BlankOpen"/>
      </w:pPr>
    </w:p>
    <w:p>
      <w:pPr>
        <w:pStyle w:val="nzSubsection"/>
      </w:pPr>
      <w:r>
        <w:tab/>
      </w:r>
      <w:r>
        <w:tab/>
        <w:t>corresponding law or the Commonwealth Act,</w:t>
      </w:r>
    </w:p>
    <w:p>
      <w:pPr>
        <w:pStyle w:val="BlankClose"/>
      </w:pPr>
    </w:p>
    <w:p>
      <w:pPr>
        <w:pStyle w:val="nzHeading5"/>
      </w:pPr>
      <w:r>
        <w:rPr>
          <w:rStyle w:val="CharSectno"/>
        </w:rPr>
        <w:t>15</w:t>
      </w:r>
      <w:r>
        <w:t>.</w:t>
      </w:r>
      <w:r>
        <w:tab/>
        <w:t>Regulation 19 amended</w:t>
      </w:r>
    </w:p>
    <w:p>
      <w:pPr>
        <w:pStyle w:val="nzSubsection"/>
      </w:pPr>
      <w:r>
        <w:tab/>
        <w:t>(1)</w:t>
      </w:r>
      <w:r>
        <w:tab/>
        <w:t>Delete regulation 19(2) and insert:</w:t>
      </w:r>
    </w:p>
    <w:p>
      <w:pPr>
        <w:pStyle w:val="BlankOpen"/>
      </w:pPr>
    </w:p>
    <w:p>
      <w:pPr>
        <w:pStyle w:val="nzSubsection"/>
      </w:pPr>
      <w:r>
        <w:tab/>
        <w:t>(2)</w:t>
      </w:r>
      <w:r>
        <w:tab/>
        <w:t>Under section 58B of the Act, the Council may suspend or cancel a WA registered provider's registration for a reason specified by subregulation (1) even if —</w:t>
      </w:r>
    </w:p>
    <w:p>
      <w:pPr>
        <w:pStyle w:val="nzIndenta"/>
      </w:pPr>
      <w:r>
        <w:tab/>
        <w:t>(a)</w:t>
      </w:r>
      <w:r>
        <w:tab/>
        <w:t>the Council is no longer satisfied that the provider satisfies the criteria for making an application for registration under regulation 10(1); or</w:t>
      </w:r>
    </w:p>
    <w:p>
      <w:pPr>
        <w:pStyle w:val="nzIndenta"/>
      </w:pPr>
      <w:r>
        <w:tab/>
        <w:t>(b)</w:t>
      </w:r>
      <w:r>
        <w:tab/>
        <w:t>the provider has applied to another registering body to be registered as a training provider under a corresponding law or the Commonwealth Act.</w:t>
      </w:r>
    </w:p>
    <w:p>
      <w:pPr>
        <w:pStyle w:val="BlankClose"/>
      </w:pPr>
    </w:p>
    <w:p>
      <w:pPr>
        <w:pStyle w:val="nzSubsection"/>
      </w:pPr>
      <w:r>
        <w:tab/>
        <w:t>(2)</w:t>
      </w:r>
      <w:r>
        <w:tab/>
        <w:t>After regulation 19(4) insert:</w:t>
      </w:r>
    </w:p>
    <w:p>
      <w:pPr>
        <w:pStyle w:val="BlankOpen"/>
      </w:pPr>
    </w:p>
    <w:p>
      <w:pPr>
        <w:pStyle w:val="nzSubsection"/>
      </w:pPr>
      <w:r>
        <w:tab/>
        <w:t>(5A)</w:t>
      </w:r>
      <w:r>
        <w:tab/>
        <w:t>The reasons for the suspension referred to in subregulation (4)(a) must identify specific issues to be addressed by the applicant.</w:t>
      </w:r>
    </w:p>
    <w:p>
      <w:pPr>
        <w:pStyle w:val="BlankClose"/>
      </w:pPr>
    </w:p>
    <w:p>
      <w:pPr>
        <w:pStyle w:val="nzSubsection"/>
      </w:pPr>
      <w:r>
        <w:tab/>
        <w:t>(3)</w:t>
      </w:r>
      <w:r>
        <w:tab/>
        <w:t>In regulation 19(6) delete “the registering body of any other jurisdiction where the provider operates.” and insert:</w:t>
      </w:r>
    </w:p>
    <w:p>
      <w:pPr>
        <w:pStyle w:val="BlankOpen"/>
      </w:pPr>
    </w:p>
    <w:p>
      <w:pPr>
        <w:pStyle w:val="nzSubsection"/>
      </w:pPr>
      <w:r>
        <w:tab/>
      </w:r>
      <w:r>
        <w:tab/>
        <w:t>any registering body that has, or may have, registered the provider under a corresponding law or under the Commonwealth Act.</w:t>
      </w:r>
    </w:p>
    <w:p>
      <w:pPr>
        <w:pStyle w:val="BlankClose"/>
      </w:pPr>
    </w:p>
    <w:p>
      <w:pPr>
        <w:pStyle w:val="nzSubsection"/>
        <w:keepNext/>
      </w:pPr>
      <w:r>
        <w:tab/>
        <w:t>(4)</w:t>
      </w:r>
      <w:r>
        <w:tab/>
        <w:t>After regulation 19(8) insert:</w:t>
      </w:r>
    </w:p>
    <w:p>
      <w:pPr>
        <w:pStyle w:val="BlankOpen"/>
      </w:pPr>
    </w:p>
    <w:p>
      <w:pPr>
        <w:pStyle w:val="nzSubsection"/>
      </w:pPr>
      <w:r>
        <w:tab/>
        <w:t>(9)</w:t>
      </w:r>
      <w:r>
        <w:tab/>
        <w:t>A request by a WA registered provider for the cancellation of its registration must be accompanied by the fee set under regulation 23.</w:t>
      </w:r>
    </w:p>
    <w:p>
      <w:pPr>
        <w:pStyle w:val="BlankClose"/>
      </w:pPr>
    </w:p>
    <w:p>
      <w:pPr>
        <w:pStyle w:val="nzHeading5"/>
      </w:pPr>
      <w:r>
        <w:rPr>
          <w:rStyle w:val="CharSectno"/>
        </w:rPr>
        <w:t>16</w:t>
      </w:r>
      <w:r>
        <w:t>.</w:t>
      </w:r>
      <w:r>
        <w:tab/>
        <w:t>Regulation 22 replaced</w:t>
      </w:r>
    </w:p>
    <w:p>
      <w:pPr>
        <w:pStyle w:val="nzSubsection"/>
      </w:pPr>
      <w:r>
        <w:tab/>
      </w:r>
      <w:r>
        <w:tab/>
        <w:t>Delete regulation 22 and insert:</w:t>
      </w:r>
    </w:p>
    <w:p>
      <w:pPr>
        <w:pStyle w:val="BlankOpen"/>
      </w:pPr>
    </w:p>
    <w:p>
      <w:pPr>
        <w:pStyle w:val="nzHeading5"/>
      </w:pPr>
      <w:r>
        <w:t>22.</w:t>
      </w:r>
      <w:r>
        <w:tab/>
        <w:t>Requests for reassessment of decision to suspend WA registered provider</w:t>
      </w:r>
    </w:p>
    <w:p>
      <w:pPr>
        <w:pStyle w:val="nzSubsection"/>
      </w:pPr>
      <w:r>
        <w:tab/>
        <w:t>(1)</w:t>
      </w:r>
      <w:r>
        <w:tab/>
        <w:t>This regulation applies if the Council has decided to suspend a WA registered provider’s registration under regulation 19.</w:t>
      </w:r>
    </w:p>
    <w:p>
      <w:pPr>
        <w:pStyle w:val="nz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nzSubsection"/>
      </w:pPr>
      <w:r>
        <w:tab/>
        <w:t>(3)</w:t>
      </w:r>
      <w:r>
        <w:tab/>
        <w:t xml:space="preserve">A request by a WA registered provider must — </w:t>
      </w:r>
    </w:p>
    <w:p>
      <w:pPr>
        <w:pStyle w:val="nzIndenta"/>
      </w:pPr>
      <w:r>
        <w:tab/>
        <w:t>(a)</w:t>
      </w:r>
      <w:r>
        <w:tab/>
        <w:t>describe the actions taken by the provider to address the issues identified in the order referred to in subregulation (2); and</w:t>
      </w:r>
    </w:p>
    <w:p>
      <w:pPr>
        <w:pStyle w:val="nzIndenta"/>
      </w:pPr>
      <w:r>
        <w:tab/>
        <w:t>(b)</w:t>
      </w:r>
      <w:r>
        <w:tab/>
        <w:t>provide evidence to demonstrate that those issues have been addressed by the provider; and</w:t>
      </w:r>
    </w:p>
    <w:p>
      <w:pPr>
        <w:pStyle w:val="nzIndenta"/>
      </w:pPr>
      <w:r>
        <w:tab/>
        <w:t>(c)</w:t>
      </w:r>
      <w:r>
        <w:tab/>
        <w:t>be accompanied by the reassessment fee set under regulation 23.</w:t>
      </w:r>
    </w:p>
    <w:p>
      <w:pPr>
        <w:pStyle w:val="BlankClose"/>
      </w:pPr>
    </w:p>
    <w:p>
      <w:pPr>
        <w:pStyle w:val="nzHeading5"/>
      </w:pPr>
      <w:r>
        <w:rPr>
          <w:rStyle w:val="CharSectno"/>
        </w:rPr>
        <w:t>17</w:t>
      </w:r>
      <w:r>
        <w:t>.</w:t>
      </w:r>
      <w:r>
        <w:tab/>
        <w:t>Part 3 Division 3 heading amended</w:t>
      </w:r>
    </w:p>
    <w:p>
      <w:pPr>
        <w:pStyle w:val="nzSubsection"/>
      </w:pPr>
      <w:r>
        <w:tab/>
      </w:r>
      <w:r>
        <w:tab/>
        <w:t>In the heading to Part 3 Division 3 delete “</w:t>
      </w:r>
      <w:r>
        <w:rPr>
          <w:b/>
          <w:sz w:val="26"/>
          <w:szCs w:val="26"/>
        </w:rPr>
        <w:t>Audits o</w:t>
      </w:r>
      <w:r>
        <w:rPr>
          <w:b/>
          <w:spacing w:val="20"/>
          <w:sz w:val="26"/>
          <w:szCs w:val="26"/>
        </w:rPr>
        <w:t>f</w:t>
      </w:r>
      <w:r>
        <w:t>” and insert:</w:t>
      </w:r>
    </w:p>
    <w:p>
      <w:pPr>
        <w:pStyle w:val="BlankOpen"/>
      </w:pPr>
    </w:p>
    <w:p>
      <w:pPr>
        <w:pStyle w:val="nzSubsection"/>
      </w:pPr>
      <w:r>
        <w:tab/>
      </w:r>
      <w:r>
        <w:tab/>
      </w:r>
      <w:r>
        <w:rPr>
          <w:b/>
          <w:sz w:val="26"/>
          <w:szCs w:val="26"/>
        </w:rPr>
        <w:t>Audits of, and investigations into,</w:t>
      </w:r>
    </w:p>
    <w:p>
      <w:pPr>
        <w:pStyle w:val="BlankClose"/>
      </w:pPr>
    </w:p>
    <w:p>
      <w:pPr>
        <w:pStyle w:val="nzHeading5"/>
      </w:pPr>
      <w:r>
        <w:rPr>
          <w:rStyle w:val="CharSectno"/>
        </w:rPr>
        <w:t>18</w:t>
      </w:r>
      <w:r>
        <w:t>.</w:t>
      </w:r>
      <w:r>
        <w:tab/>
        <w:t>Regulation 24 replaced</w:t>
      </w:r>
    </w:p>
    <w:p>
      <w:pPr>
        <w:pStyle w:val="nzSubsection"/>
      </w:pPr>
      <w:r>
        <w:tab/>
      </w:r>
      <w:r>
        <w:tab/>
        <w:t>Delete regulation 24 and insert:</w:t>
      </w:r>
    </w:p>
    <w:p>
      <w:pPr>
        <w:pStyle w:val="BlankOpen"/>
      </w:pPr>
    </w:p>
    <w:p>
      <w:pPr>
        <w:pStyle w:val="nzHeading5"/>
      </w:pPr>
      <w:r>
        <w:t>24.</w:t>
      </w:r>
      <w:r>
        <w:tab/>
        <w:t>Terms used</w:t>
      </w:r>
    </w:p>
    <w:p>
      <w:pPr>
        <w:pStyle w:val="nzSubsection"/>
        <w:keepNext/>
      </w:pPr>
      <w:r>
        <w:tab/>
      </w:r>
      <w:r>
        <w:tab/>
        <w:t>In this Division —</w:t>
      </w:r>
    </w:p>
    <w:p>
      <w:pPr>
        <w:pStyle w:val="nzDefstart"/>
      </w:pPr>
      <w:r>
        <w:tab/>
      </w:r>
      <w:r>
        <w:rPr>
          <w:rStyle w:val="CharDefText"/>
        </w:rPr>
        <w:t>compliance audit</w:t>
      </w:r>
      <w:r>
        <w:t xml:space="preserve"> means an audit to establish whether a training provider meets the relevant registration requirements or is complying with the Act;</w:t>
      </w:r>
    </w:p>
    <w:p>
      <w:pPr>
        <w:pStyle w:val="nzDefstart"/>
      </w:pPr>
      <w:r>
        <w:rPr>
          <w:rStyle w:val="CharDefText"/>
        </w:rPr>
        <w:tab/>
        <w:t xml:space="preserve">compliance monitoring audit </w:t>
      </w:r>
      <w:r>
        <w:t xml:space="preserve">means an audit in the form of a review or examination of all or any particular aspect of a WA registered provider’s operations — </w:t>
      </w:r>
    </w:p>
    <w:p>
      <w:pPr>
        <w:pStyle w:val="nzDefpara"/>
      </w:pPr>
      <w:r>
        <w:tab/>
        <w:t>(a)</w:t>
      </w:r>
      <w:r>
        <w:tab/>
        <w:t>following a compliance audit; or</w:t>
      </w:r>
    </w:p>
    <w:p>
      <w:pPr>
        <w:pStyle w:val="nzDefpara"/>
      </w:pPr>
      <w:r>
        <w:tab/>
        <w:t>(b)</w:t>
      </w:r>
      <w:r>
        <w:tab/>
        <w:t>as part of an investigation of a complaint;</w:t>
      </w:r>
    </w:p>
    <w:p>
      <w:pPr>
        <w:pStyle w:val="nzDefstart"/>
      </w:pPr>
      <w:r>
        <w:rPr>
          <w:rStyle w:val="CharDefText"/>
        </w:rPr>
        <w:tab/>
        <w:t>investigation</w:t>
      </w:r>
      <w:r>
        <w:t>, in relation to a complaint, means an investigation into a WA registered provider conducted by the Council as a result of a complaint made about the provider’s compliance with the AQTF;</w:t>
      </w:r>
    </w:p>
    <w:p>
      <w:pPr>
        <w:pStyle w:val="nzDefstart"/>
      </w:pPr>
      <w:r>
        <w:tab/>
      </w:r>
      <w:r>
        <w:rPr>
          <w:rStyle w:val="CharDefText"/>
        </w:rPr>
        <w:t>official travel costs</w:t>
      </w:r>
      <w:r>
        <w:t xml:space="preserve"> means — </w:t>
      </w:r>
    </w:p>
    <w:p>
      <w:pPr>
        <w:pStyle w:val="nzDefpara"/>
      </w:pPr>
      <w:r>
        <w:tab/>
        <w:t>(a)</w:t>
      </w:r>
      <w:r>
        <w:tab/>
        <w:t>reasonably incurred airfares; and</w:t>
      </w:r>
    </w:p>
    <w:p>
      <w:pPr>
        <w:pStyle w:val="nzDefpara"/>
      </w:pPr>
      <w:r>
        <w:tab/>
        <w:t>(b)</w:t>
      </w:r>
      <w:r>
        <w:tab/>
        <w:t>such other travel expenses which may reasonably be incurred, including but not limited to accommodation, car rental and meals.</w:t>
      </w:r>
    </w:p>
    <w:p>
      <w:pPr>
        <w:pStyle w:val="BlankClose"/>
      </w:pPr>
    </w:p>
    <w:p>
      <w:pPr>
        <w:pStyle w:val="nzHeading5"/>
      </w:pPr>
      <w:r>
        <w:rPr>
          <w:rStyle w:val="CharSectno"/>
        </w:rPr>
        <w:t>19</w:t>
      </w:r>
      <w:r>
        <w:t>.</w:t>
      </w:r>
      <w:r>
        <w:tab/>
        <w:t>Regulation 25 amended</w:t>
      </w:r>
    </w:p>
    <w:p>
      <w:pPr>
        <w:pStyle w:val="nzSubsection"/>
      </w:pPr>
      <w:r>
        <w:tab/>
      </w:r>
      <w:r>
        <w:tab/>
        <w:t>Delete regulation 25(2) and insert:</w:t>
      </w:r>
    </w:p>
    <w:p>
      <w:pPr>
        <w:pStyle w:val="BlankOpen"/>
      </w:pPr>
    </w:p>
    <w:p>
      <w:pPr>
        <w:pStyle w:val="nzSubsection"/>
      </w:pPr>
      <w:r>
        <w:tab/>
        <w:t>(2A)</w:t>
      </w:r>
      <w:r>
        <w:tab/>
        <w:t>The Council may conduct a compliance audit at any time on a training provider if the Council thinks fit having regard to the Act and the relevant registration requirements.</w:t>
      </w:r>
    </w:p>
    <w:p>
      <w:pPr>
        <w:pStyle w:val="nzSubsection"/>
      </w:pPr>
      <w:r>
        <w:tab/>
        <w:t>(2)</w:t>
      </w:r>
      <w:r>
        <w:tab/>
        <w:t>A compliance audit must comply with the Standards for VET Regulators.</w:t>
      </w:r>
    </w:p>
    <w:p>
      <w:pPr>
        <w:pStyle w:val="BlankClose"/>
      </w:pPr>
    </w:p>
    <w:p>
      <w:pPr>
        <w:pStyle w:val="nzNotesPerm"/>
      </w:pPr>
      <w:r>
        <w:tab/>
        <w:t>Note:</w:t>
      </w:r>
      <w:r>
        <w:tab/>
        <w:t>The heading to amended regulation 25 is to read:</w:t>
      </w:r>
    </w:p>
    <w:p>
      <w:pPr>
        <w:pStyle w:val="nzNotesPerm"/>
        <w:rPr>
          <w:b/>
        </w:rPr>
      </w:pPr>
      <w:r>
        <w:rPr>
          <w:b/>
        </w:rPr>
        <w:tab/>
      </w:r>
      <w:r>
        <w:rPr>
          <w:b/>
        </w:rPr>
        <w:tab/>
        <w:t>Compliance audits</w:t>
      </w:r>
    </w:p>
    <w:p>
      <w:pPr>
        <w:pStyle w:val="nzHeading5"/>
      </w:pPr>
      <w:r>
        <w:rPr>
          <w:rStyle w:val="CharSectno"/>
        </w:rPr>
        <w:t>20</w:t>
      </w:r>
      <w:r>
        <w:t>.</w:t>
      </w:r>
      <w:r>
        <w:tab/>
        <w:t>Regulations 26A to 26D inserted</w:t>
      </w:r>
    </w:p>
    <w:p>
      <w:pPr>
        <w:pStyle w:val="nzSubsection"/>
      </w:pPr>
      <w:r>
        <w:tab/>
      </w:r>
      <w:r>
        <w:tab/>
        <w:t>At the end of Part 3 Division 3 insert:</w:t>
      </w:r>
    </w:p>
    <w:p>
      <w:pPr>
        <w:pStyle w:val="BlankOpen"/>
      </w:pPr>
    </w:p>
    <w:p>
      <w:pPr>
        <w:pStyle w:val="nzHeading5"/>
      </w:pPr>
      <w:r>
        <w:t>26A.</w:t>
      </w:r>
      <w:r>
        <w:tab/>
        <w:t>Compliance monitoring audits</w:t>
      </w:r>
    </w:p>
    <w:p>
      <w:pPr>
        <w:pStyle w:val="nzSubsection"/>
      </w:pPr>
      <w:r>
        <w:tab/>
        <w:t>(1)</w:t>
      </w:r>
      <w:r>
        <w:tab/>
        <w:t>An inquiry conducted under section 58D of the Act may be in the form of a compliance monitoring audit on a WA registered provider.</w:t>
      </w:r>
    </w:p>
    <w:p>
      <w:pPr>
        <w:pStyle w:val="nzSubsection"/>
      </w:pPr>
      <w:r>
        <w:tab/>
        <w:t>(2)</w:t>
      </w:r>
      <w:r>
        <w:tab/>
        <w:t xml:space="preserve">The Council may conduct a compliance monitoring audit on a WA registered provider — </w:t>
      </w:r>
    </w:p>
    <w:p>
      <w:pPr>
        <w:pStyle w:val="nzIndenta"/>
      </w:pPr>
      <w:r>
        <w:tab/>
        <w:t>(a)</w:t>
      </w:r>
      <w:r>
        <w:tab/>
        <w:t>if the Council thinks fit after assessing the results of a compliance audit; or</w:t>
      </w:r>
    </w:p>
    <w:p>
      <w:pPr>
        <w:pStyle w:val="nzIndenta"/>
      </w:pPr>
      <w:r>
        <w:tab/>
        <w:t>(b)</w:t>
      </w:r>
      <w:r>
        <w:tab/>
        <w:t>as part of an investigation of a complaint.</w:t>
      </w:r>
    </w:p>
    <w:p>
      <w:pPr>
        <w:pStyle w:val="nzSubsection"/>
      </w:pPr>
      <w:r>
        <w:tab/>
        <w:t>(3)</w:t>
      </w:r>
      <w:r>
        <w:tab/>
        <w:t xml:space="preserve">If the Council conducts a compliance monitoring audit on a WA registered provider, a charge is payable for — </w:t>
      </w:r>
    </w:p>
    <w:p>
      <w:pPr>
        <w:pStyle w:val="nzIndenta"/>
      </w:pPr>
      <w:r>
        <w:tab/>
        <w:t>(a)</w:t>
      </w:r>
      <w:r>
        <w:tab/>
        <w:t xml:space="preserve">the costs and expenses incurred by the Council in conducting the audit, calculated as the sum of — </w:t>
      </w:r>
    </w:p>
    <w:p>
      <w:pPr>
        <w:pStyle w:val="nzIndenti"/>
      </w:pPr>
      <w:r>
        <w:tab/>
        <w:t>(i)</w:t>
      </w:r>
      <w:r>
        <w:tab/>
        <w:t>$1 000; and</w:t>
      </w:r>
    </w:p>
    <w:p>
      <w:pPr>
        <w:pStyle w:val="nzIndenti"/>
      </w:pPr>
      <w:r>
        <w:tab/>
        <w:t>(ii)</w:t>
      </w:r>
      <w:r>
        <w:tab/>
        <w:t>if the audit exceeds 4 hours in length — $250 per subsequent hour; and</w:t>
      </w:r>
    </w:p>
    <w:p>
      <w:pPr>
        <w:pStyle w:val="nzIndenti"/>
      </w:pPr>
      <w:r>
        <w:tab/>
        <w:t>(iii)</w:t>
      </w:r>
      <w:r>
        <w:tab/>
        <w:t>the official travel costs;</w:t>
      </w:r>
    </w:p>
    <w:p>
      <w:pPr>
        <w:pStyle w:val="nzIndenta"/>
      </w:pPr>
      <w:r>
        <w:tab/>
      </w:r>
      <w:r>
        <w:tab/>
        <w:t>and</w:t>
      </w:r>
    </w:p>
    <w:p>
      <w:pPr>
        <w:pStyle w:val="nzIndenta"/>
      </w:pPr>
      <w:r>
        <w:tab/>
        <w:t>(b)</w:t>
      </w:r>
      <w:r>
        <w:tab/>
        <w:t>if any part of the audit is conducted outside Australia — any additional expenses reasonably incurred by the Council relating to that part of the audit.</w:t>
      </w:r>
    </w:p>
    <w:p>
      <w:pPr>
        <w:pStyle w:val="nzSubsection"/>
      </w:pPr>
      <w:r>
        <w:tab/>
        <w:t>(4)</w:t>
      </w:r>
      <w:r>
        <w:tab/>
        <w:t>A charge under subregulation (3) relating to a compliance monitoring audit on a WA registered provider is payable by that provider.</w:t>
      </w:r>
    </w:p>
    <w:p>
      <w:pPr>
        <w:pStyle w:val="nzSubsection"/>
      </w:pPr>
      <w:r>
        <w:tab/>
        <w:t>(5)</w:t>
      </w:r>
      <w:r>
        <w:tab/>
        <w:t>If a charge payable under subregulation (3) is not paid, the amount of the charge may be recovered in a court of competent jurisdiction as a debt due to the State.</w:t>
      </w:r>
    </w:p>
    <w:p>
      <w:pPr>
        <w:pStyle w:val="nzHeading5"/>
      </w:pPr>
      <w:r>
        <w:t>26B.</w:t>
      </w:r>
      <w:r>
        <w:tab/>
        <w:t>Investigations of complaints</w:t>
      </w:r>
    </w:p>
    <w:p>
      <w:pPr>
        <w:pStyle w:val="nzSubsection"/>
      </w:pPr>
      <w:r>
        <w:tab/>
        <w:t>(1)</w:t>
      </w:r>
      <w:r>
        <w:tab/>
        <w:t>An inquiry conducted under section 58D of the Act may be in the form of the investigation of a complaint made about compliance with the AQTF by a WA registered provider.</w:t>
      </w:r>
    </w:p>
    <w:p>
      <w:pPr>
        <w:pStyle w:val="nz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nzSubsection"/>
      </w:pPr>
      <w:r>
        <w:tab/>
        <w:t>(3)</w:t>
      </w:r>
      <w:r>
        <w:tab/>
        <w:t>A contravention of subregulation (2) does not affect the validity of the investigation of a complaint if the contravention —</w:t>
      </w:r>
    </w:p>
    <w:p>
      <w:pPr>
        <w:pStyle w:val="nzIndenta"/>
      </w:pPr>
      <w:r>
        <w:tab/>
        <w:t>(a)</w:t>
      </w:r>
      <w:r>
        <w:tab/>
        <w:t>does not substantially affect the outcome of the investigation; or</w:t>
      </w:r>
    </w:p>
    <w:p>
      <w:pPr>
        <w:pStyle w:val="nzIndenta"/>
      </w:pPr>
      <w:r>
        <w:tab/>
        <w:t>(b)</w:t>
      </w:r>
      <w:r>
        <w:tab/>
        <w:t>arises out of an inconsistency between the National Guidelines for Responding to Complaints about Vocational Education and Training Quality and written laws.</w:t>
      </w:r>
    </w:p>
    <w:p>
      <w:pPr>
        <w:pStyle w:val="nzSubsection"/>
      </w:pPr>
      <w:r>
        <w:tab/>
        <w:t>(4)</w:t>
      </w:r>
      <w:r>
        <w:tab/>
        <w:t xml:space="preserve">If the Council investigates a complaint made about a WA registered provider and finds the complaint substantiated, a charge is payable for — </w:t>
      </w:r>
    </w:p>
    <w:p>
      <w:pPr>
        <w:pStyle w:val="nzIndenta"/>
      </w:pPr>
      <w:r>
        <w:tab/>
        <w:t>(a)</w:t>
      </w:r>
      <w:r>
        <w:tab/>
        <w:t xml:space="preserve">the costs and expenses incurred by the Council in conducting the investigation, calculated as the sum of — </w:t>
      </w:r>
    </w:p>
    <w:p>
      <w:pPr>
        <w:pStyle w:val="nzIndenti"/>
      </w:pPr>
      <w:r>
        <w:tab/>
        <w:t>(i)</w:t>
      </w:r>
      <w:r>
        <w:tab/>
        <w:t>$250 per hour; and</w:t>
      </w:r>
    </w:p>
    <w:p>
      <w:pPr>
        <w:pStyle w:val="nzIndenti"/>
      </w:pPr>
      <w:r>
        <w:tab/>
        <w:t>(ii)</w:t>
      </w:r>
      <w:r>
        <w:tab/>
        <w:t>the official travel costs;</w:t>
      </w:r>
    </w:p>
    <w:p>
      <w:pPr>
        <w:pStyle w:val="nzIndenta"/>
      </w:pPr>
      <w:r>
        <w:tab/>
      </w:r>
      <w:r>
        <w:tab/>
        <w:t>and</w:t>
      </w:r>
    </w:p>
    <w:p>
      <w:pPr>
        <w:pStyle w:val="nzIndenta"/>
      </w:pPr>
      <w:r>
        <w:tab/>
        <w:t>(b)</w:t>
      </w:r>
      <w:r>
        <w:tab/>
        <w:t>if a compliance monitoring audit is conducted as part of the investigation — the charges prescribed under regulation 26A(3)(a); and</w:t>
      </w:r>
    </w:p>
    <w:p>
      <w:pPr>
        <w:pStyle w:val="nz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nzSubsection"/>
      </w:pPr>
      <w:r>
        <w:tab/>
        <w:t>(5)</w:t>
      </w:r>
      <w:r>
        <w:tab/>
        <w:t>A charge under subregulation (4) relating to an investigation of a complaint about a WA registered provider is payable by that provider.</w:t>
      </w:r>
    </w:p>
    <w:p>
      <w:pPr>
        <w:pStyle w:val="nzSubsection"/>
      </w:pPr>
      <w:r>
        <w:tab/>
        <w:t>(6)</w:t>
      </w:r>
      <w:r>
        <w:tab/>
        <w:t>If a charge payable under subregulation (4) is not paid, the amount of the charge may be recovered in a court of competent jurisdiction as a debt due to the State.</w:t>
      </w:r>
    </w:p>
    <w:p>
      <w:pPr>
        <w:pStyle w:val="nzHeading5"/>
      </w:pPr>
      <w:r>
        <w:t>26C.</w:t>
      </w:r>
      <w:r>
        <w:tab/>
        <w:t>Circumstances in which a charge may be waived in whole or in part</w:t>
      </w:r>
    </w:p>
    <w:p>
      <w:pPr>
        <w:pStyle w:val="nzSubsection"/>
      </w:pPr>
      <w:r>
        <w:tab/>
        <w:t>(1)</w:t>
      </w:r>
      <w:r>
        <w:tab/>
        <w:t xml:space="preserve">A charge that would otherwise be payable under this Division may be waived, in whole or in part if, in the opinion of Council — </w:t>
      </w:r>
    </w:p>
    <w:p>
      <w:pPr>
        <w:pStyle w:val="nzIndenta"/>
      </w:pPr>
      <w:r>
        <w:tab/>
        <w:t>(a)</w:t>
      </w:r>
      <w:r>
        <w:tab/>
        <w:t>special or unusual circumstances exist which cause the charge to be unreasonable or inequitable; or</w:t>
      </w:r>
    </w:p>
    <w:p>
      <w:pPr>
        <w:pStyle w:val="nzIndenta"/>
      </w:pPr>
      <w:r>
        <w:tab/>
        <w:t>(b)</w:t>
      </w:r>
      <w:r>
        <w:tab/>
        <w:t>the amount of the charge that remains unpaid is so small that its recovery would be uneconomical to pursue.</w:t>
      </w:r>
    </w:p>
    <w:p>
      <w:pPr>
        <w:pStyle w:val="nzSubsection"/>
      </w:pPr>
      <w:r>
        <w:tab/>
        <w:t>(2)</w:t>
      </w:r>
      <w:r>
        <w:tab/>
        <w:t xml:space="preserve">For the purposes of subregulation (1)(a), the following circumstances do not constitute grounds for granting a waiver — </w:t>
      </w:r>
    </w:p>
    <w:p>
      <w:pPr>
        <w:pStyle w:val="nzIndenta"/>
      </w:pPr>
      <w:r>
        <w:tab/>
        <w:t>(a)</w:t>
      </w:r>
      <w:r>
        <w:tab/>
        <w:t>where the WA registered provider required to pay the charge did not consent to the compliance monitoring audit or investigation that resulted in the imposition of a charge;</w:t>
      </w:r>
    </w:p>
    <w:p>
      <w:pPr>
        <w:pStyle w:val="nzIndenta"/>
      </w:pPr>
      <w:r>
        <w:tab/>
        <w:t>(b)</w:t>
      </w:r>
      <w:r>
        <w:tab/>
        <w:t>where the WA registered provider required to pay the charge does not agree with the outcome of the compliance monitoring audit or investigation that resulted in the imposition of a charge;</w:t>
      </w:r>
    </w:p>
    <w:p>
      <w:pPr>
        <w:pStyle w:val="nzIndenta"/>
      </w:pPr>
      <w:r>
        <w:tab/>
        <w:t>(c)</w:t>
      </w:r>
      <w:r>
        <w:tab/>
        <w:t>where the WA registered provider required to pay the charge ceases to exist, or ceases to be a WA registered provider, or ceases to carry on business as a training provider.</w:t>
      </w:r>
    </w:p>
    <w:p>
      <w:pPr>
        <w:pStyle w:val="nzHeading5"/>
      </w:pPr>
      <w:r>
        <w:t>26D.</w:t>
      </w:r>
      <w:r>
        <w:tab/>
        <w:t>Rounding</w:t>
      </w:r>
    </w:p>
    <w:p>
      <w:pPr>
        <w:pStyle w:val="nz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nzIndenta"/>
      </w:pPr>
      <w:r>
        <w:tab/>
        <w:t>(a)</w:t>
      </w:r>
      <w:r>
        <w:tab/>
        <w:t>if the time taken to complete the compliance monitoring audit or an investigation is less than 30 minutes, the total amount payable will be zero dollars;</w:t>
      </w:r>
    </w:p>
    <w:p>
      <w:pPr>
        <w:pStyle w:val="nzIndenta"/>
      </w:pPr>
      <w:r>
        <w:tab/>
        <w:t>(b)</w:t>
      </w:r>
      <w:r>
        <w:tab/>
        <w:t>if the time taken to complete the compliance monitoring audit or investigation is less than one hour but equal to or greater than 30 minutes, the total amount payable will be $125.</w:t>
      </w:r>
    </w:p>
    <w:p>
      <w:pPr>
        <w:pStyle w:val="BlankClose"/>
      </w:pPr>
    </w:p>
    <w:p>
      <w:pPr>
        <w:pStyle w:val="nzHeading5"/>
      </w:pPr>
      <w:r>
        <w:rPr>
          <w:rStyle w:val="CharSectno"/>
        </w:rPr>
        <w:t>21</w:t>
      </w:r>
      <w:r>
        <w:t>.</w:t>
      </w:r>
      <w:r>
        <w:tab/>
        <w:t>Part 3 Division 4 heading amended</w:t>
      </w:r>
    </w:p>
    <w:p>
      <w:pPr>
        <w:pStyle w:val="nzSubsection"/>
      </w:pPr>
      <w:r>
        <w:tab/>
      </w:r>
      <w:r>
        <w:tab/>
        <w:t>In the heading to Part 3 Division 4 after “</w:t>
      </w:r>
      <w:r>
        <w:rPr>
          <w:b/>
          <w:sz w:val="26"/>
          <w:szCs w:val="26"/>
        </w:rPr>
        <w:t>providers</w:t>
      </w:r>
      <w:r>
        <w:t>” insert:</w:t>
      </w:r>
    </w:p>
    <w:p>
      <w:pPr>
        <w:pStyle w:val="BlankOpen"/>
      </w:pPr>
    </w:p>
    <w:p>
      <w:pPr>
        <w:pStyle w:val="nzSubsection"/>
      </w:pPr>
      <w:r>
        <w:tab/>
      </w:r>
      <w:r>
        <w:tab/>
      </w:r>
      <w:r>
        <w:rPr>
          <w:b/>
          <w:sz w:val="26"/>
          <w:szCs w:val="26"/>
        </w:rPr>
        <w:t>and of the Council</w:t>
      </w:r>
    </w:p>
    <w:p>
      <w:pPr>
        <w:pStyle w:val="BlankClose"/>
      </w:pPr>
    </w:p>
    <w:p>
      <w:pPr>
        <w:pStyle w:val="nzHeading5"/>
      </w:pPr>
      <w:r>
        <w:rPr>
          <w:rStyle w:val="CharSectno"/>
        </w:rPr>
        <w:t>22</w:t>
      </w:r>
      <w:r>
        <w:t>.</w:t>
      </w:r>
      <w:r>
        <w:tab/>
        <w:t>Regulation 28A inserted</w:t>
      </w:r>
    </w:p>
    <w:p>
      <w:pPr>
        <w:pStyle w:val="nzSubsection"/>
      </w:pPr>
      <w:r>
        <w:tab/>
      </w:r>
      <w:r>
        <w:tab/>
        <w:t>At the end of Part 3 Division 4 insert:</w:t>
      </w:r>
    </w:p>
    <w:p>
      <w:pPr>
        <w:pStyle w:val="BlankOpen"/>
      </w:pPr>
    </w:p>
    <w:p>
      <w:pPr>
        <w:pStyle w:val="nzHeading5"/>
      </w:pPr>
      <w:r>
        <w:t>28A.</w:t>
      </w:r>
      <w:r>
        <w:tab/>
        <w:t>Person may obtain from Council certified copies of information</w:t>
      </w:r>
    </w:p>
    <w:p>
      <w:pPr>
        <w:pStyle w:val="nzSubsection"/>
      </w:pPr>
      <w:r>
        <w:tab/>
        <w:t>(1)</w:t>
      </w:r>
      <w:r>
        <w:tab/>
        <w:t xml:space="preserve">A person may make an application under this regulation if the person was a person to whom a course was provided, or a qualification conferred, by a WA registered provider that has — </w:t>
      </w:r>
    </w:p>
    <w:p>
      <w:pPr>
        <w:pStyle w:val="nzIndenta"/>
      </w:pPr>
      <w:r>
        <w:tab/>
        <w:t>(a)</w:t>
      </w:r>
      <w:r>
        <w:tab/>
        <w:t>ceased to operate in WA; or</w:t>
      </w:r>
    </w:p>
    <w:p>
      <w:pPr>
        <w:pStyle w:val="nzIndenta"/>
      </w:pPr>
      <w:r>
        <w:tab/>
        <w:t>(b)</w:t>
      </w:r>
      <w:r>
        <w:tab/>
        <w:t>ceased to be a registered training provider.</w:t>
      </w:r>
    </w:p>
    <w:p>
      <w:pPr>
        <w:pStyle w:val="nz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nzSubsection"/>
      </w:pPr>
      <w:r>
        <w:tab/>
        <w:t>(3)</w:t>
      </w:r>
      <w:r>
        <w:tab/>
        <w:t>An application made to the Council must be in a form approved by the Council and be accompanied by —</w:t>
      </w:r>
    </w:p>
    <w:p>
      <w:pPr>
        <w:pStyle w:val="nzIndenta"/>
      </w:pPr>
      <w:r>
        <w:tab/>
        <w:t>(a)</w:t>
      </w:r>
      <w:r>
        <w:tab/>
        <w:t>any information that the form requires the applicant to provide; and</w:t>
      </w:r>
    </w:p>
    <w:p>
      <w:pPr>
        <w:pStyle w:val="nzIndenta"/>
      </w:pPr>
      <w:r>
        <w:tab/>
        <w:t>(b)</w:t>
      </w:r>
      <w:r>
        <w:tab/>
        <w:t>the application fee being $60 for each certified copy requested.</w:t>
      </w:r>
    </w:p>
    <w:p>
      <w:pPr>
        <w:pStyle w:val="BlankClose"/>
      </w:pPr>
    </w:p>
    <w:p>
      <w:pPr>
        <w:pStyle w:val="nzHeading5"/>
      </w:pPr>
      <w:r>
        <w:rPr>
          <w:rStyle w:val="CharSectno"/>
        </w:rPr>
        <w:t>23</w:t>
      </w:r>
      <w:r>
        <w:t>.</w:t>
      </w:r>
      <w:r>
        <w:tab/>
        <w:t>Regulation 28 amended</w:t>
      </w:r>
    </w:p>
    <w:p>
      <w:pPr>
        <w:pStyle w:val="nzSubsection"/>
      </w:pPr>
      <w:r>
        <w:tab/>
      </w:r>
      <w:r>
        <w:tab/>
        <w:t>In regulation 28(2)(b)(i) delete “$1 425;” and insert:</w:t>
      </w:r>
    </w:p>
    <w:p>
      <w:pPr>
        <w:pStyle w:val="BlankOpen"/>
      </w:pPr>
    </w:p>
    <w:p>
      <w:pPr>
        <w:pStyle w:val="nzSubsection"/>
      </w:pPr>
      <w:r>
        <w:tab/>
      </w:r>
      <w:r>
        <w:tab/>
        <w:t>$2 700;</w:t>
      </w:r>
    </w:p>
    <w:p>
      <w:pPr>
        <w:pStyle w:val="BlankClose"/>
      </w:pPr>
    </w:p>
    <w:p>
      <w:pPr>
        <w:pStyle w:val="nzHeading5"/>
      </w:pPr>
      <w:r>
        <w:rPr>
          <w:rStyle w:val="CharSectno"/>
        </w:rPr>
        <w:t>24</w:t>
      </w:r>
      <w:r>
        <w:t>.</w:t>
      </w:r>
      <w:r>
        <w:tab/>
        <w:t>Regulation 30 amended</w:t>
      </w:r>
    </w:p>
    <w:p>
      <w:pPr>
        <w:pStyle w:val="nzSubsection"/>
      </w:pPr>
      <w:r>
        <w:tab/>
        <w:t>(1)</w:t>
      </w:r>
      <w:r>
        <w:tab/>
        <w:t>In regulation 30(1):</w:t>
      </w:r>
    </w:p>
    <w:p>
      <w:pPr>
        <w:pStyle w:val="nzIndenta"/>
      </w:pPr>
      <w:r>
        <w:tab/>
        <w:t>(a)</w:t>
      </w:r>
      <w:r>
        <w:tab/>
        <w:t>delete paragraph (a) and insert:</w:t>
      </w:r>
    </w:p>
    <w:p>
      <w:pPr>
        <w:pStyle w:val="BlankOpen"/>
      </w:pPr>
    </w:p>
    <w:p>
      <w:pPr>
        <w:pStyle w:val="nzIndenta"/>
      </w:pPr>
      <w:r>
        <w:tab/>
        <w:t>(a)</w:t>
      </w:r>
      <w:r>
        <w:tab/>
        <w:t>it has assessed the VET course in accordance with the Standards for VET Regulators; and</w:t>
      </w:r>
    </w:p>
    <w:p>
      <w:pPr>
        <w:pStyle w:val="BlankClose"/>
      </w:pPr>
    </w:p>
    <w:p>
      <w:pPr>
        <w:pStyle w:val="nzIndenta"/>
      </w:pPr>
      <w:r>
        <w:tab/>
        <w:t>(b)</w:t>
      </w:r>
      <w:r>
        <w:tab/>
        <w:t>in paragraph (b) delete “the accreditation” and insert:</w:t>
      </w:r>
    </w:p>
    <w:p>
      <w:pPr>
        <w:pStyle w:val="BlankOpen"/>
      </w:pPr>
    </w:p>
    <w:p>
      <w:pPr>
        <w:pStyle w:val="nzIndenta"/>
      </w:pPr>
      <w:r>
        <w:tab/>
      </w:r>
      <w:r>
        <w:tab/>
        <w:t>those</w:t>
      </w:r>
    </w:p>
    <w:p>
      <w:pPr>
        <w:pStyle w:val="BlankClose"/>
      </w:pPr>
    </w:p>
    <w:p>
      <w:pPr>
        <w:pStyle w:val="nzIndenta"/>
      </w:pPr>
      <w:r>
        <w:tab/>
        <w:t>(c)</w:t>
      </w:r>
      <w:r>
        <w:tab/>
        <w:t>in paragraph (c) delete “Implementation Handbook”.</w:t>
      </w:r>
    </w:p>
    <w:p>
      <w:pPr>
        <w:pStyle w:val="BlankOpen"/>
      </w:pPr>
    </w:p>
    <w:p>
      <w:pPr>
        <w:pStyle w:val="nzSubsection"/>
      </w:pPr>
      <w:r>
        <w:tab/>
        <w:t>(2)</w:t>
      </w:r>
      <w:r>
        <w:tab/>
        <w:t>Delete regulation 30(2)(b) and insert:</w:t>
      </w:r>
    </w:p>
    <w:p>
      <w:pPr>
        <w:pStyle w:val="BlankOpen"/>
      </w:pPr>
    </w:p>
    <w:p>
      <w:pPr>
        <w:pStyle w:val="nzIndenta"/>
      </w:pPr>
      <w:r>
        <w:tab/>
        <w:t>(b)</w:t>
      </w:r>
      <w:r>
        <w:tab/>
        <w:t>give that person a course accreditation document in accordance with the Standards for VET Regulators;</w:t>
      </w:r>
    </w:p>
    <w:p>
      <w:pPr>
        <w:pStyle w:val="BlankClose"/>
      </w:pPr>
    </w:p>
    <w:p>
      <w:pPr>
        <w:pStyle w:val="nzHeading5"/>
      </w:pPr>
      <w:r>
        <w:rPr>
          <w:rStyle w:val="CharSectno"/>
        </w:rPr>
        <w:t>25</w:t>
      </w:r>
      <w:r>
        <w:t>.</w:t>
      </w:r>
      <w:r>
        <w:tab/>
        <w:t>Regulation 33A inserted</w:t>
      </w:r>
    </w:p>
    <w:p>
      <w:pPr>
        <w:pStyle w:val="nzSubsection"/>
      </w:pPr>
      <w:r>
        <w:tab/>
      </w:r>
      <w:r>
        <w:tab/>
        <w:t>After regulation 32 insert:</w:t>
      </w:r>
    </w:p>
    <w:p>
      <w:pPr>
        <w:pStyle w:val="BlankOpen"/>
      </w:pPr>
    </w:p>
    <w:p>
      <w:pPr>
        <w:pStyle w:val="nzHeading5"/>
      </w:pPr>
      <w:r>
        <w:t>33A.</w:t>
      </w:r>
      <w:r>
        <w:tab/>
        <w:t>Varying accreditation</w:t>
      </w:r>
    </w:p>
    <w:p>
      <w:pPr>
        <w:pStyle w:val="nzSubsection"/>
      </w:pPr>
      <w:r>
        <w:tab/>
        <w:t>(1)</w:t>
      </w:r>
      <w:r>
        <w:tab/>
        <w:t>The Council may at any time vary the accreditation of a WA accredited course.</w:t>
      </w:r>
    </w:p>
    <w:p>
      <w:pPr>
        <w:pStyle w:val="nzSubsection"/>
        <w:keepNext/>
      </w:pPr>
      <w:r>
        <w:tab/>
        <w:t>(2)</w:t>
      </w:r>
      <w:r>
        <w:tab/>
        <w:t xml:space="preserve">The Council may take such action — </w:t>
      </w:r>
    </w:p>
    <w:p>
      <w:pPr>
        <w:pStyle w:val="nzIndenta"/>
      </w:pPr>
      <w:r>
        <w:tab/>
        <w:t>(a)</w:t>
      </w:r>
      <w:r>
        <w:tab/>
        <w:t xml:space="preserve">on its own initiative, if the Council is satisfied that the action is reasonable and — </w:t>
      </w:r>
    </w:p>
    <w:p>
      <w:pPr>
        <w:pStyle w:val="nzIndenti"/>
      </w:pPr>
      <w:r>
        <w:tab/>
        <w:t>(i)</w:t>
      </w:r>
      <w:r>
        <w:tab/>
        <w:t>updates information in the course; or</w:t>
      </w:r>
    </w:p>
    <w:p>
      <w:pPr>
        <w:pStyle w:val="nzIndenti"/>
      </w:pPr>
      <w:r>
        <w:tab/>
        <w:t>(ii)</w:t>
      </w:r>
      <w:r>
        <w:tab/>
        <w:t>corrects false or misleading information in the course; or</w:t>
      </w:r>
    </w:p>
    <w:p>
      <w:pPr>
        <w:pStyle w:val="nzIndenti"/>
      </w:pPr>
      <w:r>
        <w:tab/>
        <w:t>(iii)</w:t>
      </w:r>
      <w:r>
        <w:tab/>
        <w:t>has been requested by an occupational licensing body, or other industry body, that deals with, or has an interest in, matters relating to the course’s content;</w:t>
      </w:r>
    </w:p>
    <w:p>
      <w:pPr>
        <w:pStyle w:val="nzIndenta"/>
      </w:pPr>
      <w:r>
        <w:tab/>
      </w:r>
      <w:r>
        <w:tab/>
        <w:t>or</w:t>
      </w:r>
    </w:p>
    <w:p>
      <w:pPr>
        <w:pStyle w:val="nzIndenta"/>
      </w:pPr>
      <w:r>
        <w:tab/>
        <w:t>(b)</w:t>
      </w:r>
      <w:r>
        <w:tab/>
        <w:t xml:space="preserve">if — </w:t>
      </w:r>
    </w:p>
    <w:p>
      <w:pPr>
        <w:pStyle w:val="nzIndenti"/>
      </w:pPr>
      <w:r>
        <w:tab/>
        <w:t>(i)</w:t>
      </w:r>
      <w:r>
        <w:tab/>
        <w:t>an application is made by the owner of the VET course; and</w:t>
      </w:r>
    </w:p>
    <w:p>
      <w:pPr>
        <w:pStyle w:val="nzIndenti"/>
      </w:pPr>
      <w:r>
        <w:tab/>
        <w:t>(ii)</w:t>
      </w:r>
      <w:r>
        <w:tab/>
        <w:t>the Council is satisfied that it is appropriate to vary the accreditation.</w:t>
      </w:r>
    </w:p>
    <w:p>
      <w:pPr>
        <w:pStyle w:val="nzSubsection"/>
      </w:pPr>
      <w:r>
        <w:tab/>
        <w:t>(3)</w:t>
      </w:r>
      <w:r>
        <w:tab/>
        <w:t xml:space="preserve">An application to vary the accreditation of a WA accredited course must be in a form approved by the Council and be accompanied by — </w:t>
      </w:r>
    </w:p>
    <w:p>
      <w:pPr>
        <w:pStyle w:val="nzIndenta"/>
      </w:pPr>
      <w:r>
        <w:tab/>
        <w:t>(a)</w:t>
      </w:r>
      <w:r>
        <w:tab/>
        <w:t>any information that the form requires the applicant to provide; and</w:t>
      </w:r>
    </w:p>
    <w:p>
      <w:pPr>
        <w:pStyle w:val="nzIndenta"/>
      </w:pPr>
      <w:r>
        <w:tab/>
        <w:t>(b)</w:t>
      </w:r>
      <w:r>
        <w:tab/>
        <w:t>the application fee of $500.</w:t>
      </w:r>
    </w:p>
    <w:p>
      <w:pPr>
        <w:pStyle w:val="nzSubsection"/>
      </w:pPr>
      <w:r>
        <w:tab/>
        <w:t>(4)</w:t>
      </w:r>
      <w:r>
        <w:tab/>
        <w:t>This regulation and regulation 30(1) (as applied by subregulation (6)) do not limit the grounds on which the Council may decide not to grant an application to vary the accreditation of a WA accredited course.</w:t>
      </w:r>
    </w:p>
    <w:p>
      <w:pPr>
        <w:pStyle w:val="nzSubsection"/>
      </w:pPr>
      <w:r>
        <w:tab/>
        <w:t>(5)</w:t>
      </w:r>
      <w:r>
        <w:tab/>
        <w:t>The Council must not grant an application except in accordance with subregulation (2) and regulation 30(1) (as applied by subregulation (6)).</w:t>
      </w:r>
    </w:p>
    <w:p>
      <w:pPr>
        <w:pStyle w:val="nzSubsection"/>
      </w:pPr>
      <w:r>
        <w:tab/>
        <w:t>(6)</w:t>
      </w:r>
      <w:r>
        <w:tab/>
        <w:t>Regulations 29(2), (3) and (5) and 30(1) apply to and in respect of an application to vary the accreditation of a WA accredited course.</w:t>
      </w:r>
    </w:p>
    <w:p>
      <w:pPr>
        <w:pStyle w:val="nzSubsection"/>
      </w:pPr>
      <w:r>
        <w:tab/>
        <w:t>(7)</w:t>
      </w:r>
      <w:r>
        <w:tab/>
        <w:t>If the Council decides to vary the accreditation of a VET course, it must give to the owner of the course —</w:t>
      </w:r>
    </w:p>
    <w:p>
      <w:pPr>
        <w:pStyle w:val="nzIndenta"/>
      </w:pPr>
      <w:r>
        <w:tab/>
        <w:t>(a)</w:t>
      </w:r>
      <w:r>
        <w:tab/>
        <w:t>a course accreditation document in accordance with the Standards for VET Regulators; and</w:t>
      </w:r>
    </w:p>
    <w:p>
      <w:pPr>
        <w:pStyle w:val="nzIndenta"/>
      </w:pPr>
      <w:r>
        <w:tab/>
        <w:t>(b)</w:t>
      </w:r>
      <w:r>
        <w:tab/>
        <w:t>written notice of any condition to which the accreditation as varied is subject.</w:t>
      </w:r>
    </w:p>
    <w:p>
      <w:pPr>
        <w:pStyle w:val="BlankClose"/>
      </w:pPr>
    </w:p>
    <w:p>
      <w:pPr>
        <w:pStyle w:val="nzHeading5"/>
      </w:pPr>
      <w:r>
        <w:rPr>
          <w:rStyle w:val="CharSectno"/>
        </w:rPr>
        <w:t>26</w:t>
      </w:r>
      <w:r>
        <w:t>.</w:t>
      </w:r>
      <w:r>
        <w:tab/>
        <w:t>Regulation 37 amended</w:t>
      </w:r>
    </w:p>
    <w:p>
      <w:pPr>
        <w:pStyle w:val="nzSubsection"/>
      </w:pPr>
      <w:r>
        <w:tab/>
      </w:r>
      <w:r>
        <w:tab/>
        <w:t>In regulation 37(2) delete “AQF Implementation Handbook.” and insert:</w:t>
      </w:r>
    </w:p>
    <w:p>
      <w:pPr>
        <w:pStyle w:val="BlankOpen"/>
      </w:pPr>
    </w:p>
    <w:p>
      <w:pPr>
        <w:pStyle w:val="nzSubsection"/>
      </w:pPr>
      <w:r>
        <w:tab/>
      </w:r>
      <w:r>
        <w:tab/>
        <w:t>AQF.</w:t>
      </w:r>
    </w:p>
    <w:p>
      <w:pPr>
        <w:pStyle w:val="BlankClose"/>
      </w:pPr>
    </w:p>
    <w:p>
      <w:pPr>
        <w:pStyle w:val="nzHeading5"/>
      </w:pPr>
      <w:r>
        <w:rPr>
          <w:rStyle w:val="CharSectno"/>
        </w:rPr>
        <w:t>27</w:t>
      </w:r>
      <w:r>
        <w:t>.</w:t>
      </w:r>
      <w:r>
        <w:tab/>
        <w:t>Schedule 1 amended</w:t>
      </w:r>
    </w:p>
    <w:p>
      <w:pPr>
        <w:pStyle w:val="nzSubsection"/>
      </w:pPr>
      <w:r>
        <w:tab/>
      </w:r>
      <w:r>
        <w:tab/>
        <w:t>In Schedule 1 under the heading “</w:t>
      </w:r>
      <w:r>
        <w:rPr>
          <w:rFonts w:ascii="Arial" w:hAnsi="Arial" w:cs="Arial"/>
          <w:b/>
        </w:rPr>
        <w:t>Information to Help Complete the Training Contract</w:t>
      </w:r>
      <w:r>
        <w:t>” delete “</w:t>
      </w:r>
      <w:r>
        <w:rPr>
          <w:rFonts w:ascii="Arial" w:hAnsi="Arial" w:cs="Arial"/>
          <w:sz w:val="18"/>
          <w:szCs w:val="18"/>
        </w:rPr>
        <w:t>National Training Information Service website (www.ntis.gov.au).</w:t>
      </w:r>
      <w:r>
        <w:t>” and insert:</w:t>
      </w:r>
    </w:p>
    <w:p>
      <w:pPr>
        <w:pStyle w:val="BlankOpen"/>
      </w:pPr>
    </w:p>
    <w:p>
      <w:pPr>
        <w:pStyle w:val="nzSubsection"/>
      </w:pPr>
      <w:r>
        <w:tab/>
      </w:r>
      <w:r>
        <w:tab/>
      </w:r>
      <w:r>
        <w:rPr>
          <w:rFonts w:ascii="Arial" w:hAnsi="Arial" w:cs="Arial"/>
          <w:sz w:val="18"/>
          <w:szCs w:val="18"/>
        </w:rPr>
        <w:t>National Register website (training.gov.au).</w:t>
      </w:r>
    </w:p>
    <w:p>
      <w:pPr>
        <w:pStyle w:val="BlankClose"/>
      </w:pPr>
    </w:p>
    <w:p>
      <w:pPr>
        <w:pStyle w:val="BlankOpen"/>
        <w:rPr>
          <w:snapToGrid w:val="0"/>
        </w:rPr>
      </w:pPr>
    </w:p>
    <w:p>
      <w:pPr>
        <w:pStyle w:val="MiscOpen"/>
        <w:keepNext w:val="0"/>
        <w:spacing w:before="60"/>
        <w:rPr>
          <w:sz w:val="20"/>
        </w:rPr>
      </w:pPr>
      <w:r>
        <w:rPr>
          <w:sz w:val="20"/>
        </w:rPr>
        <w:t>“</w:t>
      </w:r>
    </w:p>
    <w:p/>
    <w:p>
      <w:pPr>
        <w:pStyle w:val="DefinedTerms"/>
      </w:pPr>
    </w:p>
    <w:p>
      <w:pPr>
        <w:pStyle w:val="DefinedTerms"/>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88" w:name="_Toc525042277"/>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 w:name="DefinedTerms"/>
      <w:bookmarkEnd w:id="89"/>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AQF Implementation handbook</w:t>
      </w:r>
      <w:r>
        <w:tab/>
        <w:t>3</w:t>
      </w:r>
    </w:p>
    <w:p>
      <w:pPr>
        <w:pStyle w:val="DefinedTerms"/>
      </w:pPr>
      <w:r>
        <w:t>AQTF</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compliance audit</w:t>
      </w:r>
      <w:r>
        <w:tab/>
        <w:t>7(1), 24</w:t>
      </w:r>
    </w:p>
    <w:p>
      <w:pPr>
        <w:pStyle w:val="DefinedTerms"/>
      </w:pPr>
      <w:r>
        <w:t>complying training plan</w:t>
      </w:r>
      <w:r>
        <w:tab/>
        <w:t>43(1)</w:t>
      </w:r>
    </w:p>
    <w:p>
      <w:pPr>
        <w:pStyle w:val="DefinedTerms"/>
      </w:pPr>
      <w:r>
        <w:t>compulsory education period</w:t>
      </w:r>
      <w:r>
        <w:tab/>
        <w:t>40(1)</w:t>
      </w:r>
    </w:p>
    <w:p>
      <w:pPr>
        <w:pStyle w:val="DefinedTerms"/>
      </w:pPr>
      <w:r>
        <w:t>continuing registration requirements</w:t>
      </w:r>
      <w:r>
        <w:tab/>
        <w:t>7(1)</w:t>
      </w:r>
    </w:p>
    <w:p>
      <w:pPr>
        <w:pStyle w:val="DefinedTerms"/>
      </w:pPr>
      <w:r>
        <w:t>initial registration requirements</w:t>
      </w:r>
      <w:r>
        <w:tab/>
        <w:t>7(1)</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nominated training provider</w:t>
      </w:r>
      <w:r>
        <w:tab/>
        <w:t>34</w:t>
      </w:r>
    </w:p>
    <w:p>
      <w:pPr>
        <w:pStyle w:val="DefinedTerms"/>
      </w:pPr>
      <w:r>
        <w:t>NTIS</w:t>
      </w:r>
      <w:r>
        <w:tab/>
        <w:t>3</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requirements</w:t>
      </w:r>
      <w:r>
        <w:tab/>
        <w:t>7(1)</w:t>
      </w:r>
    </w:p>
    <w:p>
      <w:pPr>
        <w:pStyle w:val="DefinedTerms"/>
      </w:pPr>
      <w:r>
        <w:t>scope of registration</w:t>
      </w:r>
      <w:r>
        <w:tab/>
        <w:t>7(1)</w:t>
      </w:r>
    </w:p>
    <w:p>
      <w:pPr>
        <w:pStyle w:val="DefinedTerms"/>
      </w:pPr>
      <w:r>
        <w:t>suspension notice</w:t>
      </w:r>
      <w:r>
        <w:tab/>
        <w:t>49(4)</w:t>
      </w:r>
    </w:p>
    <w:p>
      <w:pPr>
        <w:pStyle w:val="DefinedTerms"/>
      </w:pPr>
      <w:r>
        <w:t>trade apprentice</w:t>
      </w:r>
      <w:r>
        <w:tab/>
        <w:t>Sch. 2, cl. 1</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6112447"/>
    <w:docVar w:name="WAFER_20131216112447" w:val="RemoveTocBookmarks,RemoveUnusedBookmarks,RemoveLanguageTags,UsedStyles,ResetPageSize,UpdateArrangement"/>
    <w:docVar w:name="WAFER_20131216112447_GUID" w:val="e47ff669-37e0-4ac7-976f-54ef316e87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18355</Words>
  <Characters>96917</Characters>
  <Application>Microsoft Office Word</Application>
  <DocSecurity>0</DocSecurity>
  <Lines>2769</Lines>
  <Paragraphs>1695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2009 - 00-g0-00</dc:title>
  <dc:subject/>
  <dc:creator/>
  <cp:keywords/>
  <dc:description/>
  <cp:lastModifiedBy>svcMRProcess</cp:lastModifiedBy>
  <cp:revision>4</cp:revision>
  <cp:lastPrinted>2009-06-10T03:07:00Z</cp:lastPrinted>
  <dcterms:created xsi:type="dcterms:W3CDTF">2018-09-18T05:54:00Z</dcterms:created>
  <dcterms:modified xsi:type="dcterms:W3CDTF">2018-09-18T05:54:00Z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20131217</vt:lpwstr>
  </property>
  <property fmtid="{D5CDD505-2E9C-101B-9397-08002B2CF9AE}" pid="4" name="AsAtDate">
    <vt:lpwstr>17 Dec 2013</vt:lpwstr>
  </property>
  <property fmtid="{D5CDD505-2E9C-101B-9397-08002B2CF9AE}" pid="5" name="Suffix">
    <vt:lpwstr>00-g0-00</vt:lpwstr>
  </property>
  <property fmtid="{D5CDD505-2E9C-101B-9397-08002B2CF9AE}" pid="6" name="OwlsUID">
    <vt:i4>41125</vt:i4>
  </property>
  <property fmtid="{D5CDD505-2E9C-101B-9397-08002B2CF9AE}" pid="7" name="DocumentType">
    <vt:lpwstr>Reg</vt:lpwstr>
  </property>
</Properties>
</file>