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UpToHere"/>
      <w:bookmarkEnd w:id="1"/>
      <w:r>
        <w:rPr>
          <w:b/>
          <w:bCs/>
          <w:color w:val="FF0000"/>
        </w:rPr>
        <w:t xml:space="preserve">This document has a retrospective amendment effective from 30 Nov 2003, see the </w:t>
      </w:r>
      <w:r>
        <w:rPr>
          <w:b/>
          <w:bCs/>
          <w:i/>
          <w:iCs/>
          <w:color w:val="FF0000"/>
        </w:rPr>
        <w:t>Barrow Island Amendment Act 2015</w:t>
      </w:r>
      <w:r>
        <w:rPr>
          <w:b/>
          <w:bCs/>
          <w:iCs/>
          <w:color w:val="FF0000"/>
        </w:rPr>
        <w:t xml:space="preserve"> s. 5</w:t>
      </w:r>
      <w:r>
        <w:rPr>
          <w:b/>
          <w:bCs/>
          <w:color w:val="FF0000"/>
        </w:rPr>
        <w:t>.  The effect of this retrospective amendment has not been included in this document.  To see the provision as amended by the retrospective amendment see the document as at 9 May 2015.</w:t>
      </w:r>
    </w:p>
    <w:p>
      <w:pPr>
        <w:pStyle w:val="WA"/>
      </w:pP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Barrow Island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Barrow Island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_Toc414960955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_Toc414960956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_Toc414960957 \h </w:instrText>
      </w:r>
      <w:r>
        <w:fldChar w:fldCharType="separate"/>
      </w:r>
      <w:r>
        <w:t>2</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_Toc414960958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Ratification of Agreement</w:t>
      </w:r>
    </w:p>
    <w:p>
      <w:pPr>
        <w:pStyle w:val="TOC8"/>
        <w:rPr>
          <w:rFonts w:asciiTheme="minorHAnsi" w:eastAsiaTheme="minorEastAsia" w:hAnsiTheme="minorHAnsi" w:cstheme="minorBidi"/>
          <w:szCs w:val="22"/>
        </w:rPr>
      </w:pPr>
      <w:r>
        <w:t>5.</w:t>
      </w:r>
      <w:r>
        <w:tab/>
        <w:t>Agreement ratified and implementation authorised</w:t>
      </w:r>
      <w:r>
        <w:tab/>
      </w:r>
      <w:r>
        <w:fldChar w:fldCharType="begin"/>
      </w:r>
      <w:r>
        <w:instrText xml:space="preserve"> PAGEREF _Toc414960960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Use of reserve under the </w:t>
      </w:r>
      <w:r>
        <w:rPr>
          <w:i/>
        </w:rPr>
        <w:t>Land Administration Act 1997</w:t>
      </w:r>
    </w:p>
    <w:p>
      <w:pPr>
        <w:pStyle w:val="TOC8"/>
        <w:rPr>
          <w:rFonts w:asciiTheme="minorHAnsi" w:eastAsiaTheme="minorEastAsia" w:hAnsiTheme="minorHAnsi" w:cstheme="minorBidi"/>
          <w:szCs w:val="22"/>
        </w:rPr>
      </w:pPr>
      <w:r>
        <w:t>6.</w:t>
      </w:r>
      <w:r>
        <w:tab/>
        <w:t>Leasing parts of the reserve</w:t>
      </w:r>
      <w:r>
        <w:tab/>
      </w:r>
      <w:r>
        <w:fldChar w:fldCharType="begin"/>
      </w:r>
      <w:r>
        <w:instrText xml:space="preserve"> PAGEREF _Toc414960962 \h </w:instrText>
      </w:r>
      <w:r>
        <w:fldChar w:fldCharType="separate"/>
      </w:r>
      <w:r>
        <w:t>5</w:t>
      </w:r>
      <w:r>
        <w:fldChar w:fldCharType="end"/>
      </w:r>
    </w:p>
    <w:p>
      <w:pPr>
        <w:pStyle w:val="TOC8"/>
        <w:rPr>
          <w:rFonts w:asciiTheme="minorHAnsi" w:eastAsiaTheme="minorEastAsia" w:hAnsiTheme="minorHAnsi" w:cstheme="minorBidi"/>
          <w:szCs w:val="22"/>
        </w:rPr>
      </w:pPr>
      <w:r>
        <w:t>7.</w:t>
      </w:r>
      <w:r>
        <w:tab/>
        <w:t>Licences affecting the reserve</w:t>
      </w:r>
      <w:r>
        <w:tab/>
      </w:r>
      <w:r>
        <w:fldChar w:fldCharType="begin"/>
      </w:r>
      <w:r>
        <w:instrText xml:space="preserve"> PAGEREF _Toc414960963 \h </w:instrText>
      </w:r>
      <w:r>
        <w:fldChar w:fldCharType="separate"/>
      </w:r>
      <w:r>
        <w:t>7</w:t>
      </w:r>
      <w:r>
        <w:fldChar w:fldCharType="end"/>
      </w:r>
    </w:p>
    <w:p>
      <w:pPr>
        <w:pStyle w:val="TOC8"/>
        <w:rPr>
          <w:rFonts w:asciiTheme="minorHAnsi" w:eastAsiaTheme="minorEastAsia" w:hAnsiTheme="minorHAnsi" w:cstheme="minorBidi"/>
          <w:szCs w:val="22"/>
        </w:rPr>
      </w:pPr>
      <w:r>
        <w:t>8.</w:t>
      </w:r>
      <w:r>
        <w:tab/>
        <w:t>Easements affecting the reserve</w:t>
      </w:r>
      <w:r>
        <w:tab/>
      </w:r>
      <w:r>
        <w:fldChar w:fldCharType="begin"/>
      </w:r>
      <w:r>
        <w:instrText xml:space="preserve"> PAGEREF _Toc414960964 \h </w:instrText>
      </w:r>
      <w:r>
        <w:fldChar w:fldCharType="separate"/>
      </w:r>
      <w:r>
        <w:t>8</w:t>
      </w:r>
      <w:r>
        <w:fldChar w:fldCharType="end"/>
      </w:r>
    </w:p>
    <w:p>
      <w:pPr>
        <w:pStyle w:val="TOC8"/>
        <w:rPr>
          <w:rFonts w:asciiTheme="minorHAnsi" w:eastAsiaTheme="minorEastAsia" w:hAnsiTheme="minorHAnsi" w:cstheme="minorBidi"/>
          <w:szCs w:val="22"/>
        </w:rPr>
      </w:pPr>
      <w:r>
        <w:t>9.</w:t>
      </w:r>
      <w:r>
        <w:tab/>
        <w:t>No more than 332 ha in total of uncleared land to be subject of leases, licences or easements</w:t>
      </w:r>
      <w:r>
        <w:tab/>
      </w:r>
      <w:r>
        <w:fldChar w:fldCharType="begin"/>
      </w:r>
      <w:r>
        <w:instrText xml:space="preserve"> PAGEREF _Toc414960965 \h </w:instrText>
      </w:r>
      <w:r>
        <w:fldChar w:fldCharType="separate"/>
      </w:r>
      <w:r>
        <w:t>9</w:t>
      </w:r>
      <w:r>
        <w:fldChar w:fldCharType="end"/>
      </w:r>
    </w:p>
    <w:p>
      <w:pPr>
        <w:pStyle w:val="TOC8"/>
        <w:rPr>
          <w:rFonts w:asciiTheme="minorHAnsi" w:eastAsiaTheme="minorEastAsia" w:hAnsiTheme="minorHAnsi" w:cstheme="minorBidi"/>
          <w:szCs w:val="22"/>
        </w:rPr>
      </w:pPr>
      <w:r>
        <w:t>10.</w:t>
      </w:r>
      <w:r>
        <w:tab/>
        <w:t>Status and purposes of reserve not affected</w:t>
      </w:r>
      <w:r>
        <w:tab/>
      </w:r>
      <w:r>
        <w:fldChar w:fldCharType="begin"/>
      </w:r>
      <w:r>
        <w:instrText xml:space="preserve"> PAGEREF _Toc414960966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Conveyance and underground disposal of carbon dioxide</w:t>
      </w:r>
    </w:p>
    <w:p>
      <w:pPr>
        <w:pStyle w:val="TOC8"/>
        <w:rPr>
          <w:rFonts w:asciiTheme="minorHAnsi" w:eastAsiaTheme="minorEastAsia" w:hAnsiTheme="minorHAnsi" w:cstheme="minorBidi"/>
          <w:szCs w:val="22"/>
        </w:rPr>
      </w:pPr>
      <w:r>
        <w:t>11.</w:t>
      </w:r>
      <w:r>
        <w:tab/>
      </w:r>
      <w:r>
        <w:rPr>
          <w:i/>
        </w:rPr>
        <w:t>Petroleum Pipelines Act 1969</w:t>
      </w:r>
      <w:r>
        <w:t xml:space="preserve"> applies to pipelines on Barrow Island for conveyance of carbon dioxide</w:t>
      </w:r>
      <w:r>
        <w:tab/>
      </w:r>
      <w:r>
        <w:fldChar w:fldCharType="begin"/>
      </w:r>
      <w:r>
        <w:instrText xml:space="preserve"> PAGEREF _Toc414960968 \h </w:instrText>
      </w:r>
      <w:r>
        <w:fldChar w:fldCharType="separate"/>
      </w:r>
      <w:r>
        <w:t>11</w:t>
      </w:r>
      <w:r>
        <w:fldChar w:fldCharType="end"/>
      </w:r>
    </w:p>
    <w:p>
      <w:pPr>
        <w:pStyle w:val="TOC8"/>
        <w:rPr>
          <w:rFonts w:asciiTheme="minorHAnsi" w:eastAsiaTheme="minorEastAsia" w:hAnsiTheme="minorHAnsi" w:cstheme="minorBidi"/>
          <w:szCs w:val="22"/>
        </w:rPr>
      </w:pPr>
      <w:r>
        <w:t>13.</w:t>
      </w:r>
      <w:r>
        <w:tab/>
        <w:t>Disposal of carbon dioxide underground</w:t>
      </w:r>
      <w:r>
        <w:tab/>
      </w:r>
      <w:r>
        <w:fldChar w:fldCharType="begin"/>
      </w:r>
      <w:r>
        <w:instrText xml:space="preserve"> PAGEREF _Toc414960969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14.</w:t>
      </w:r>
      <w:r>
        <w:tab/>
        <w:t>Requirement to obtain authorisations under other laws not affected</w:t>
      </w:r>
      <w:r>
        <w:tab/>
      </w:r>
      <w:r>
        <w:fldChar w:fldCharType="begin"/>
      </w:r>
      <w:r>
        <w:instrText xml:space="preserve"> PAGEREF _Toc414960971 \h </w:instrText>
      </w:r>
      <w:r>
        <w:fldChar w:fldCharType="separate"/>
      </w:r>
      <w:r>
        <w:t>14</w:t>
      </w:r>
      <w:r>
        <w:fldChar w:fldCharType="end"/>
      </w:r>
    </w:p>
    <w:p>
      <w:pPr>
        <w:pStyle w:val="TOC8"/>
        <w:rPr>
          <w:rFonts w:asciiTheme="minorHAnsi" w:eastAsiaTheme="minorEastAsia" w:hAnsiTheme="minorHAnsi" w:cstheme="minorBidi"/>
          <w:szCs w:val="22"/>
        </w:rPr>
      </w:pPr>
      <w:r>
        <w:t>15.</w:t>
      </w:r>
      <w:r>
        <w:tab/>
        <w:t>Limitations on gas processing projects on Barrow Island</w:t>
      </w:r>
      <w:r>
        <w:tab/>
      </w:r>
      <w:r>
        <w:fldChar w:fldCharType="begin"/>
      </w:r>
      <w:r>
        <w:instrText xml:space="preserve"> PAGEREF _Toc414960972 \h </w:instrText>
      </w:r>
      <w:r>
        <w:fldChar w:fldCharType="separate"/>
      </w:r>
      <w:r>
        <w:t>14</w:t>
      </w:r>
      <w:r>
        <w:fldChar w:fldCharType="end"/>
      </w:r>
    </w:p>
    <w:p>
      <w:pPr>
        <w:pStyle w:val="TOC8"/>
        <w:rPr>
          <w:rFonts w:asciiTheme="minorHAnsi" w:eastAsiaTheme="minorEastAsia" w:hAnsiTheme="minorHAnsi" w:cstheme="minorBidi"/>
          <w:szCs w:val="22"/>
        </w:rPr>
      </w:pPr>
      <w:r>
        <w:t>16.</w:t>
      </w:r>
      <w:r>
        <w:tab/>
        <w:t>Land used for gas processing project purpose is rateable land</w:t>
      </w:r>
      <w:r>
        <w:tab/>
      </w:r>
      <w:r>
        <w:fldChar w:fldCharType="begin"/>
      </w:r>
      <w:r>
        <w:instrText xml:space="preserve"> PAGEREF _Toc414960973 \h </w:instrText>
      </w:r>
      <w:r>
        <w:fldChar w:fldCharType="separate"/>
      </w:r>
      <w:r>
        <w:t>15</w:t>
      </w:r>
      <w:r>
        <w:fldChar w:fldCharType="end"/>
      </w:r>
    </w:p>
    <w:p>
      <w:pPr>
        <w:pStyle w:val="TOC8"/>
        <w:rPr>
          <w:rFonts w:asciiTheme="minorHAnsi" w:eastAsiaTheme="minorEastAsia" w:hAnsiTheme="minorHAnsi" w:cstheme="minorBidi"/>
          <w:szCs w:val="22"/>
        </w:rPr>
      </w:pPr>
      <w:r>
        <w:t>17.</w:t>
      </w:r>
      <w:r>
        <w:tab/>
        <w:t>Regulations</w:t>
      </w:r>
      <w:r>
        <w:tab/>
      </w:r>
      <w:r>
        <w:fldChar w:fldCharType="begin"/>
      </w:r>
      <w:r>
        <w:instrText xml:space="preserve"> PAGEREF _Toc414960974 \h </w:instrText>
      </w:r>
      <w:r>
        <w:fldChar w:fldCharType="separate"/>
      </w:r>
      <w:r>
        <w:t>15</w:t>
      </w:r>
      <w:r>
        <w:fldChar w:fldCharType="end"/>
      </w:r>
    </w:p>
    <w:p>
      <w:pPr>
        <w:pStyle w:val="TOC8"/>
        <w:rPr>
          <w:rFonts w:asciiTheme="minorHAnsi" w:eastAsiaTheme="minorEastAsia" w:hAnsiTheme="minorHAnsi" w:cstheme="minorBidi"/>
          <w:szCs w:val="22"/>
        </w:rPr>
      </w:pPr>
      <w:r>
        <w:t>18.</w:t>
      </w:r>
      <w:r>
        <w:tab/>
        <w:t>Review of Act on cessation of Agreement</w:t>
      </w:r>
      <w:r>
        <w:tab/>
      </w:r>
      <w:r>
        <w:fldChar w:fldCharType="begin"/>
      </w:r>
      <w:r>
        <w:instrText xml:space="preserve"> PAGEREF _Toc414960975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Gorgon Gas Processing and Infrastructure Project Agreement</w:t>
      </w:r>
    </w:p>
    <w:p>
      <w:pPr>
        <w:pStyle w:val="TOC2"/>
        <w:tabs>
          <w:tab w:val="right" w:leader="dot" w:pos="7077"/>
        </w:tabs>
        <w:rPr>
          <w:rFonts w:asciiTheme="minorHAnsi" w:eastAsiaTheme="minorEastAsia" w:hAnsiTheme="minorHAnsi" w:cstheme="minorBidi"/>
          <w:b w:val="0"/>
          <w:sz w:val="22"/>
          <w:szCs w:val="22"/>
        </w:rPr>
      </w:pPr>
      <w:r>
        <w:t>Schedule 2 — 2013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_Toc414960979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0" w:after="480"/>
      </w:pPr>
      <w:r>
        <w:t>Barrow Island Act 2003</w:t>
      </w:r>
    </w:p>
    <w:p>
      <w:pPr>
        <w:pStyle w:val="LongTitle"/>
        <w:suppressLineNumbers/>
        <w:rPr>
          <w:snapToGrid w:val="0"/>
        </w:rPr>
      </w:pPr>
      <w:bookmarkStart w:id="4" w:name="BillCited"/>
      <w:bookmarkEnd w:id="4"/>
      <w:r>
        <w:rPr>
          <w:snapToGrid w:val="0"/>
        </w:rPr>
        <w:t xml:space="preserve">An Act — </w:t>
      </w:r>
    </w:p>
    <w:p>
      <w:pPr>
        <w:pStyle w:val="LongTitle"/>
        <w:numPr>
          <w:ilvl w:val="0"/>
          <w:numId w:val="1"/>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rPr>
          <w:snapToGrid w:val="0"/>
        </w:rPr>
      </w:pPr>
      <w:r>
        <w:rPr>
          <w:snapToGrid w:val="0"/>
        </w:rPr>
        <w:t xml:space="preserve">to make provisions to enable land on Barrow Island (but no more than 332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pStyle w:val="Footnotelongtitle"/>
      </w:pPr>
      <w:r>
        <w:tab/>
        <w:t>[Long title amended by No. 24 of 2013 s. 4.]</w:t>
      </w:r>
    </w:p>
    <w:p>
      <w:pPr>
        <w:pStyle w:val="Heading2"/>
      </w:pPr>
      <w:bookmarkStart w:id="5" w:name="_Toc377369838"/>
      <w:bookmarkStart w:id="6" w:name="_Toc414960916"/>
      <w:bookmarkStart w:id="7" w:name="_Toc414960954"/>
      <w:r>
        <w:rPr>
          <w:rStyle w:val="CharPartNo"/>
        </w:rPr>
        <w:t>Part 1</w:t>
      </w:r>
      <w:r>
        <w:rPr>
          <w:rStyle w:val="CharDivNo"/>
        </w:rPr>
        <w:t> </w:t>
      </w:r>
      <w:r>
        <w:t>—</w:t>
      </w:r>
      <w:r>
        <w:rPr>
          <w:rStyle w:val="CharDivText"/>
        </w:rPr>
        <w:t> </w:t>
      </w:r>
      <w:r>
        <w:rPr>
          <w:rStyle w:val="CharPartText"/>
        </w:rPr>
        <w:t>Preliminary</w:t>
      </w:r>
      <w:bookmarkEnd w:id="5"/>
      <w:bookmarkEnd w:id="6"/>
      <w:bookmarkEnd w:id="7"/>
    </w:p>
    <w:p>
      <w:pPr>
        <w:pStyle w:val="Heading5"/>
        <w:rPr>
          <w:snapToGrid w:val="0"/>
        </w:rPr>
      </w:pPr>
      <w:bookmarkStart w:id="8" w:name="_Toc377369839"/>
      <w:bookmarkStart w:id="9" w:name="_Toc414960955"/>
      <w:r>
        <w:rPr>
          <w:rStyle w:val="CharSectno"/>
        </w:rPr>
        <w:t>1</w:t>
      </w:r>
      <w:r>
        <w:rPr>
          <w:snapToGrid w:val="0"/>
        </w:rPr>
        <w:t>.</w:t>
      </w:r>
      <w:r>
        <w:rPr>
          <w:snapToGrid w:val="0"/>
        </w:rPr>
        <w:tab/>
        <w:t>Short title</w:t>
      </w:r>
      <w:bookmarkEnd w:id="8"/>
      <w:bookmarkEnd w:id="9"/>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0" w:name="_Toc377369840"/>
      <w:bookmarkStart w:id="11" w:name="_Toc414960956"/>
      <w:r>
        <w:rPr>
          <w:rStyle w:val="CharSectno"/>
        </w:rPr>
        <w:t>2</w:t>
      </w:r>
      <w:r>
        <w:rPr>
          <w:snapToGrid w:val="0"/>
        </w:rPr>
        <w:t>.</w:t>
      </w:r>
      <w:r>
        <w:rPr>
          <w:snapToGrid w:val="0"/>
        </w:rPr>
        <w:tab/>
        <w:t>Commencement</w:t>
      </w:r>
      <w:bookmarkEnd w:id="10"/>
      <w:bookmarkEnd w:id="11"/>
    </w:p>
    <w:p>
      <w:pPr>
        <w:pStyle w:val="Subsection"/>
      </w:pPr>
      <w:r>
        <w:tab/>
        <w:t>(1)</w:t>
      </w:r>
      <w:r>
        <w:tab/>
        <w:t>Subject to subsection (2), this Act comes into operation on the day on which it receives the Royal Assent.</w:t>
      </w:r>
    </w:p>
    <w:p>
      <w:pPr>
        <w:pStyle w:val="Ednotesubsection"/>
      </w:pPr>
      <w:r>
        <w:tab/>
        <w:t>[(2)</w:t>
      </w:r>
      <w:r>
        <w:tab/>
        <w:t>deleted]</w:t>
      </w:r>
    </w:p>
    <w:p>
      <w:pPr>
        <w:pStyle w:val="Footnotesection"/>
      </w:pPr>
      <w:r>
        <w:tab/>
        <w:t>[Section 2 amended by No. 13 of 2005 s. 48(2).]</w:t>
      </w:r>
    </w:p>
    <w:p>
      <w:pPr>
        <w:pStyle w:val="Heading5"/>
        <w:rPr>
          <w:snapToGrid w:val="0"/>
        </w:rPr>
      </w:pPr>
      <w:bookmarkStart w:id="12" w:name="_Toc377369841"/>
      <w:bookmarkStart w:id="13" w:name="_Toc414960957"/>
      <w:r>
        <w:rPr>
          <w:rStyle w:val="CharSectno"/>
        </w:rPr>
        <w:t>3</w:t>
      </w:r>
      <w:r>
        <w:rPr>
          <w:snapToGrid w:val="0"/>
        </w:rPr>
        <w:t>.</w:t>
      </w:r>
      <w:r>
        <w:rPr>
          <w:snapToGrid w:val="0"/>
        </w:rPr>
        <w:tab/>
        <w:t>Definitions</w:t>
      </w:r>
      <w:bookmarkEnd w:id="12"/>
      <w:bookmarkEnd w:id="13"/>
    </w:p>
    <w:p>
      <w:pPr>
        <w:pStyle w:val="Subsection"/>
      </w:pPr>
      <w:r>
        <w:tab/>
      </w:r>
      <w:r>
        <w:tab/>
        <w:t xml:space="preserve">In this Act — </w:t>
      </w:r>
    </w:p>
    <w:p>
      <w:pPr>
        <w:pStyle w:val="Defstart"/>
      </w:pPr>
      <w:r>
        <w:tab/>
      </w:r>
      <w:r>
        <w:rPr>
          <w:rStyle w:val="CharDefText"/>
        </w:rPr>
        <w:t>2013 variation agreement</w:t>
      </w:r>
      <w:r>
        <w:t xml:space="preserve"> means the agreement a copy of which is set out in Schedule 2;</w:t>
      </w:r>
    </w:p>
    <w:p>
      <w:pPr>
        <w:pStyle w:val="Defstart"/>
      </w:pPr>
      <w:r>
        <w:rPr>
          <w:b/>
        </w:rPr>
        <w:tab/>
      </w:r>
      <w:r>
        <w:rPr>
          <w:rStyle w:val="CharDefText"/>
        </w:rPr>
        <w:t>Barrow Island lease</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r>
      <w:r>
        <w:rPr>
          <w:rStyle w:val="CharDefText"/>
        </w:rPr>
        <w:t>Barrow Island lessee</w:t>
      </w:r>
      <w:r>
        <w:t xml:space="preserve"> means the lessee under the Barrow Island lease;</w:t>
      </w:r>
    </w:p>
    <w:p>
      <w:pPr>
        <w:pStyle w:val="Defstart"/>
      </w:pPr>
      <w:r>
        <w:rPr>
          <w:b/>
        </w:rPr>
        <w:tab/>
      </w:r>
      <w:r>
        <w:rPr>
          <w:rStyle w:val="CharDefText"/>
        </w:rPr>
        <w:t>BI Act Minister</w:t>
      </w:r>
      <w:r>
        <w:t xml:space="preserve"> means the Minister to whom the administration of this Act is for the time being committed;</w:t>
      </w:r>
    </w:p>
    <w:p>
      <w:pPr>
        <w:pStyle w:val="Defstart"/>
      </w:pPr>
      <w:r>
        <w:rPr>
          <w:b/>
        </w:rPr>
        <w:tab/>
      </w:r>
      <w:r>
        <w:rPr>
          <w:rStyle w:val="CharDefText"/>
        </w:rPr>
        <w:t>CALM Act Minister</w:t>
      </w:r>
      <w:r>
        <w:t xml:space="preserve"> means the Minister to whom the administration of the </w:t>
      </w:r>
      <w:r>
        <w:rPr>
          <w:i/>
        </w:rPr>
        <w:t>Conservation and Land Management Act 1984</w:t>
      </w:r>
      <w:r>
        <w:t xml:space="preserve"> is for the time being committed;</w:t>
      </w:r>
    </w:p>
    <w:p>
      <w:pPr>
        <w:pStyle w:val="Defstart"/>
      </w:pPr>
      <w:r>
        <w:rPr>
          <w:b/>
        </w:rPr>
        <w:tab/>
      </w:r>
      <w:r>
        <w:rPr>
          <w:rStyle w:val="CharDefText"/>
        </w:rPr>
        <w:t>carbon dioxide</w:t>
      </w:r>
      <w:r>
        <w:t xml:space="preserve"> means gases consisting predominantly of carbon dioxide recovered during gas processing on Barrow Island;</w:t>
      </w:r>
    </w:p>
    <w:p>
      <w:pPr>
        <w:pStyle w:val="Defstart"/>
      </w:pPr>
      <w:r>
        <w:rPr>
          <w:b/>
        </w:rPr>
        <w:tab/>
      </w:r>
      <w:r>
        <w:rPr>
          <w:rStyle w:val="CharDefText"/>
        </w:rPr>
        <w:t>gas</w:t>
      </w:r>
      <w:r>
        <w:t xml:space="preserve"> means natural gas and other petroleum;</w:t>
      </w:r>
    </w:p>
    <w:p>
      <w:pPr>
        <w:pStyle w:val="Defstart"/>
      </w:pPr>
      <w:r>
        <w:rPr>
          <w:b/>
        </w:rPr>
        <w:tab/>
      </w:r>
      <w:r>
        <w:rPr>
          <w:rStyle w:val="CharDefText"/>
        </w:rPr>
        <w:t>gas processing project purpose</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r>
      <w:r>
        <w:rPr>
          <w:rStyle w:val="CharDefText"/>
        </w:rPr>
        <w:t>LA Act</w:t>
      </w:r>
      <w:r>
        <w:t xml:space="preserve"> means </w:t>
      </w:r>
      <w:r>
        <w:rPr>
          <w:i/>
        </w:rPr>
        <w:t>Land Administration Act 1997</w:t>
      </w:r>
      <w:r>
        <w:t>;</w:t>
      </w:r>
    </w:p>
    <w:p>
      <w:pPr>
        <w:pStyle w:val="Defstart"/>
      </w:pPr>
      <w:r>
        <w:rPr>
          <w:b/>
        </w:rPr>
        <w:tab/>
      </w:r>
      <w:r>
        <w:rPr>
          <w:rStyle w:val="CharDefText"/>
        </w:rPr>
        <w:t>LA Act Minister</w:t>
      </w:r>
      <w:r>
        <w:t xml:space="preserve"> has the meaning given to “Minister” in the LA Act section 3(1);</w:t>
      </w:r>
    </w:p>
    <w:p>
      <w:pPr>
        <w:pStyle w:val="Defstart"/>
      </w:pPr>
      <w:r>
        <w:tab/>
      </w:r>
      <w:r>
        <w:rPr>
          <w:rStyle w:val="CharDefText"/>
        </w:rPr>
        <w:t>the Agreement</w:t>
      </w:r>
      <w:r>
        <w:t xml:space="preserve"> means the Gorgon Gas Processing and Infrastructure Project Agreement, a copy of which is set out in Schedule 1, and, except in section 5(1), includes the Agreement as varied from time to time in accordance with its provisions and by the 2013 variation agreement;</w:t>
      </w:r>
    </w:p>
    <w:p>
      <w:pPr>
        <w:pStyle w:val="Defstart"/>
      </w:pPr>
      <w:r>
        <w:rPr>
          <w:b/>
        </w:rPr>
        <w:tab/>
      </w:r>
      <w:r>
        <w:rPr>
          <w:rStyle w:val="CharDefText"/>
        </w:rPr>
        <w:t>the reserve</w:t>
      </w:r>
      <w:r>
        <w:t xml:space="preserve"> means class A reserve no. 11648 comprising the whole of Barrow Island that is reserved under the LA Act section 41 for the purpose of conservation of flora and fauna.</w:t>
      </w:r>
    </w:p>
    <w:p>
      <w:pPr>
        <w:pStyle w:val="Footnotesection"/>
      </w:pPr>
      <w:r>
        <w:tab/>
        <w:t>[Section 3 amended by No. 24 of 2013 s. 5.]</w:t>
      </w:r>
    </w:p>
    <w:p>
      <w:pPr>
        <w:pStyle w:val="Heading5"/>
      </w:pPr>
      <w:bookmarkStart w:id="14" w:name="_Toc377369842"/>
      <w:bookmarkStart w:id="15" w:name="_Toc414960958"/>
      <w:r>
        <w:rPr>
          <w:rStyle w:val="CharSectno"/>
        </w:rPr>
        <w:t>4</w:t>
      </w:r>
      <w:r>
        <w:t>.</w:t>
      </w:r>
      <w:r>
        <w:tab/>
        <w:t>Notes not part of the law</w:t>
      </w:r>
      <w:bookmarkEnd w:id="14"/>
      <w:bookmarkEnd w:id="15"/>
    </w:p>
    <w:p>
      <w:pPr>
        <w:pStyle w:val="Subsection"/>
      </w:pPr>
      <w:r>
        <w:tab/>
      </w:r>
      <w:r>
        <w:tab/>
        <w:t>Notes in this Act are provided to assist understanding and do not form part of the Act.</w:t>
      </w:r>
    </w:p>
    <w:p>
      <w:pPr>
        <w:pStyle w:val="Heading2"/>
      </w:pPr>
      <w:bookmarkStart w:id="16" w:name="_Toc377369843"/>
      <w:bookmarkStart w:id="17" w:name="_Toc414960921"/>
      <w:bookmarkStart w:id="18" w:name="_Toc414960959"/>
      <w:r>
        <w:rPr>
          <w:rStyle w:val="CharPartNo"/>
        </w:rPr>
        <w:t>Part 2</w:t>
      </w:r>
      <w:r>
        <w:rPr>
          <w:rStyle w:val="CharDivNo"/>
        </w:rPr>
        <w:t> </w:t>
      </w:r>
      <w:r>
        <w:t>—</w:t>
      </w:r>
      <w:r>
        <w:rPr>
          <w:rStyle w:val="CharDivText"/>
        </w:rPr>
        <w:t> </w:t>
      </w:r>
      <w:r>
        <w:rPr>
          <w:rStyle w:val="CharPartText"/>
        </w:rPr>
        <w:t>Ratification of Agreement</w:t>
      </w:r>
      <w:bookmarkEnd w:id="16"/>
      <w:bookmarkEnd w:id="17"/>
      <w:bookmarkEnd w:id="18"/>
    </w:p>
    <w:p>
      <w:pPr>
        <w:pStyle w:val="Heading5"/>
      </w:pPr>
      <w:bookmarkStart w:id="19" w:name="_Toc377369844"/>
      <w:bookmarkStart w:id="20" w:name="_Toc414960960"/>
      <w:r>
        <w:rPr>
          <w:rStyle w:val="CharSectno"/>
        </w:rPr>
        <w:t>5</w:t>
      </w:r>
      <w:r>
        <w:t>.</w:t>
      </w:r>
      <w:r>
        <w:tab/>
        <w:t>Agreement ratified and implementation authorised</w:t>
      </w:r>
      <w:bookmarkEnd w:id="19"/>
      <w:bookmarkEnd w:id="20"/>
    </w:p>
    <w:p>
      <w:pPr>
        <w:pStyle w:val="Subsection"/>
      </w:pPr>
      <w:r>
        <w:tab/>
        <w:t>(1)</w:t>
      </w:r>
      <w:r>
        <w:tab/>
        <w:t>The Agreement is ratified.</w:t>
      </w:r>
    </w:p>
    <w:p>
      <w:pPr>
        <w:pStyle w:val="Subsection"/>
      </w:pPr>
      <w:r>
        <w:tab/>
        <w:t>(2A)</w:t>
      </w:r>
      <w:r>
        <w:tab/>
        <w:t>The 2013 variation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Footnotesection"/>
      </w:pPr>
      <w:r>
        <w:tab/>
        <w:t>[Section 5 amended by No. 24 of 2013 s. 6.]</w:t>
      </w:r>
    </w:p>
    <w:p>
      <w:pPr>
        <w:pStyle w:val="Heading2"/>
      </w:pPr>
      <w:bookmarkStart w:id="21" w:name="_Toc377369845"/>
      <w:bookmarkStart w:id="22" w:name="_Toc414960923"/>
      <w:bookmarkStart w:id="23" w:name="_Toc414960961"/>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21"/>
      <w:bookmarkEnd w:id="22"/>
      <w:bookmarkEnd w:id="23"/>
    </w:p>
    <w:p>
      <w:pPr>
        <w:pStyle w:val="Heading5"/>
      </w:pPr>
      <w:bookmarkStart w:id="24" w:name="_Toc377369846"/>
      <w:bookmarkStart w:id="25" w:name="_Toc414960962"/>
      <w:r>
        <w:rPr>
          <w:rStyle w:val="CharSectno"/>
        </w:rPr>
        <w:t>6</w:t>
      </w:r>
      <w:r>
        <w:t>.</w:t>
      </w:r>
      <w:r>
        <w:tab/>
        <w:t>Leasing parts of the reserve</w:t>
      </w:r>
      <w:bookmarkEnd w:id="24"/>
      <w:bookmarkEnd w:id="25"/>
    </w:p>
    <w:p>
      <w:pPr>
        <w:pStyle w:val="Subsection"/>
      </w:pPr>
      <w:r>
        <w:tab/>
        <w:t>(1)</w:t>
      </w:r>
      <w:r>
        <w:tab/>
        <w:t>The LA Act Minister may, under the LA Act section 79, grant a lease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Petroleum and Geothermal Energy Resources Act 1967</w:t>
      </w:r>
      <w:r>
        <w:t xml:space="preserve">, the </w:t>
      </w:r>
      <w:r>
        <w:rPr>
          <w:i/>
        </w:rPr>
        <w:t>Petroleum Act 1936</w:t>
      </w:r>
      <w:r>
        <w:t xml:space="preserve"> continues to apply to the Barrow Island lease and renewals of it (see the </w:t>
      </w:r>
      <w:r>
        <w:rPr>
          <w:i/>
        </w:rPr>
        <w:t xml:space="preserve">Petroleum and Geothermal Energy Resources Act 1967 </w:t>
      </w:r>
      <w:r>
        <w:t>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26" w:name="_Toc377369847"/>
      <w:bookmarkStart w:id="27" w:name="_Toc414960963"/>
      <w:r>
        <w:rPr>
          <w:rStyle w:val="CharSectno"/>
        </w:rPr>
        <w:t>7</w:t>
      </w:r>
      <w:r>
        <w:t>.</w:t>
      </w:r>
      <w:r>
        <w:tab/>
        <w:t>Licences affecting the reserve</w:t>
      </w:r>
      <w:bookmarkEnd w:id="26"/>
      <w:bookmarkEnd w:id="27"/>
    </w:p>
    <w:p>
      <w:pPr>
        <w:pStyle w:val="Subsection"/>
      </w:pPr>
      <w:r>
        <w:tab/>
        <w:t>(1)</w:t>
      </w:r>
      <w:r>
        <w:tab/>
        <w:t>The LA Act Minister may, under the LA Act section 91, grant a licence in respect of land that is part of the 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petroleum or geothermal energy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Footnotesection"/>
      </w:pPr>
      <w:r>
        <w:tab/>
        <w:t>[Section 7 amended by No. 35 of 2007 s. 90.]</w:t>
      </w:r>
    </w:p>
    <w:p>
      <w:pPr>
        <w:pStyle w:val="Heading5"/>
      </w:pPr>
      <w:bookmarkStart w:id="28" w:name="_Toc377369848"/>
      <w:bookmarkStart w:id="29" w:name="_Toc414960964"/>
      <w:r>
        <w:rPr>
          <w:rStyle w:val="CharSectno"/>
        </w:rPr>
        <w:t>8</w:t>
      </w:r>
      <w:r>
        <w:t>.</w:t>
      </w:r>
      <w:r>
        <w:tab/>
        <w:t>Easements affecting the reserve</w:t>
      </w:r>
      <w:bookmarkEnd w:id="28"/>
      <w:bookmarkEnd w:id="29"/>
    </w:p>
    <w:p>
      <w:pPr>
        <w:pStyle w:val="Subsection"/>
      </w:pPr>
      <w:r>
        <w:tab/>
        <w:t>(1)</w:t>
      </w:r>
      <w:r>
        <w:tab/>
        <w:t>The LA Act Minister may, under the LA Act section 144, grant an easement in respect of land that is part of the 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30" w:name="_Toc377369849"/>
      <w:bookmarkStart w:id="31" w:name="_Toc414960965"/>
      <w:r>
        <w:rPr>
          <w:rStyle w:val="CharSectno"/>
        </w:rPr>
        <w:t>9</w:t>
      </w:r>
      <w:r>
        <w:t>.</w:t>
      </w:r>
      <w:r>
        <w:tab/>
        <w:t>No more than 332 ha in total of uncleared land to be subject of leases, licences or easements</w:t>
      </w:r>
      <w:bookmarkEnd w:id="30"/>
      <w:bookmarkEnd w:id="31"/>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332 ha.</w:t>
      </w:r>
    </w:p>
    <w:p>
      <w:pPr>
        <w:pStyle w:val="Subsection"/>
      </w:pPr>
      <w:r>
        <w:tab/>
        <w:t>(2)</w:t>
      </w:r>
      <w:r>
        <w:tab/>
        <w:t xml:space="preserve">In subsection (1) — </w:t>
      </w:r>
    </w:p>
    <w:p>
      <w:pPr>
        <w:pStyle w:val="Defstart"/>
      </w:pPr>
      <w:r>
        <w:rPr>
          <w:b/>
        </w:rPr>
        <w:tab/>
      </w:r>
      <w:r>
        <w:rPr>
          <w:rStyle w:val="CharDefText"/>
        </w:rPr>
        <w:t>uncleared land</w:t>
      </w:r>
      <w:r>
        <w:t xml:space="preserve"> means land that is not cleared at the time of the grant, in relation to the land, of a lease referred to in section 6(1), a licence referred to in section 7(1) or an easement referred to in section 8(1).</w:t>
      </w:r>
    </w:p>
    <w:p>
      <w:pPr>
        <w:pStyle w:val="Footnotesection"/>
      </w:pPr>
      <w:r>
        <w:tab/>
        <w:t>[Section 9 amended by No. 24 of 2013 s. 7.]</w:t>
      </w:r>
    </w:p>
    <w:p>
      <w:pPr>
        <w:pStyle w:val="Heading5"/>
      </w:pPr>
      <w:bookmarkStart w:id="32" w:name="_Toc377369850"/>
      <w:bookmarkStart w:id="33" w:name="_Toc414960966"/>
      <w:r>
        <w:rPr>
          <w:rStyle w:val="CharSectno"/>
        </w:rPr>
        <w:t>10</w:t>
      </w:r>
      <w:r>
        <w:t>.</w:t>
      </w:r>
      <w:r>
        <w:tab/>
        <w:t>Status and purposes of reserve not affected</w:t>
      </w:r>
      <w:bookmarkEnd w:id="32"/>
      <w:bookmarkEnd w:id="33"/>
    </w:p>
    <w:p>
      <w:pPr>
        <w:pStyle w:val="Subsection"/>
        <w:rPr>
          <w:i/>
        </w:rPr>
      </w:pPr>
      <w:r>
        <w:tab/>
        <w:t>(1)</w:t>
      </w:r>
      <w:r>
        <w:tab/>
        <w:t>Despite the grant of a lease referred to in section 6(1), a licence referred to in section 7(1)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34" w:name="_Toc377369851"/>
      <w:bookmarkStart w:id="35" w:name="_Toc414960929"/>
      <w:bookmarkStart w:id="36" w:name="_Toc414960967"/>
      <w:r>
        <w:rPr>
          <w:rStyle w:val="CharPartNo"/>
        </w:rPr>
        <w:t>Part 4</w:t>
      </w:r>
      <w:r>
        <w:rPr>
          <w:rStyle w:val="CharDivNo"/>
        </w:rPr>
        <w:t> </w:t>
      </w:r>
      <w:r>
        <w:t>—</w:t>
      </w:r>
      <w:r>
        <w:rPr>
          <w:rStyle w:val="CharDivText"/>
        </w:rPr>
        <w:t> </w:t>
      </w:r>
      <w:r>
        <w:rPr>
          <w:rStyle w:val="CharPartText"/>
        </w:rPr>
        <w:t>Conveyance and underground disposal of carbon dioxide</w:t>
      </w:r>
      <w:bookmarkEnd w:id="34"/>
      <w:bookmarkEnd w:id="35"/>
      <w:bookmarkEnd w:id="36"/>
    </w:p>
    <w:p>
      <w:pPr>
        <w:pStyle w:val="Heading5"/>
      </w:pPr>
      <w:bookmarkStart w:id="37" w:name="_Toc377369852"/>
      <w:bookmarkStart w:id="38" w:name="_Toc414960968"/>
      <w:r>
        <w:rPr>
          <w:rStyle w:val="CharSectno"/>
        </w:rPr>
        <w:t>11</w:t>
      </w:r>
      <w:r>
        <w:t>.</w:t>
      </w:r>
      <w:r>
        <w:tab/>
      </w:r>
      <w:r>
        <w:rPr>
          <w:i/>
        </w:rPr>
        <w:t>Petroleum Pipelines Act 1969</w:t>
      </w:r>
      <w:r>
        <w:t xml:space="preserve"> applies to pipelines on Barrow Island for conveyance of carbon dioxide</w:t>
      </w:r>
      <w:bookmarkEnd w:id="37"/>
      <w:bookmarkEnd w:id="38"/>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r>
        <w:rPr>
          <w:rStyle w:val="CharSectno"/>
        </w:rPr>
        <w:t>[</w:t>
      </w:r>
      <w:r>
        <w:rPr>
          <w:rStyle w:val="CharSectno"/>
          <w:b/>
        </w:rPr>
        <w:t>12</w:t>
      </w:r>
      <w:r>
        <w:rPr>
          <w:b/>
        </w:rPr>
        <w:t>.</w:t>
      </w:r>
      <w:r>
        <w:tab/>
        <w:t>Deleted by No. 13 of 2005 s. 48(3)</w:t>
      </w:r>
      <w:r>
        <w:rPr>
          <w:vertAlign w:val="superscript"/>
        </w:rPr>
        <w:t> 2</w:t>
      </w:r>
      <w:r>
        <w:t>.]</w:t>
      </w:r>
    </w:p>
    <w:p>
      <w:pPr>
        <w:pStyle w:val="Heading5"/>
      </w:pPr>
      <w:bookmarkStart w:id="39" w:name="_Toc377369853"/>
      <w:bookmarkStart w:id="40" w:name="_Toc414960969"/>
      <w:r>
        <w:rPr>
          <w:rStyle w:val="CharSectno"/>
        </w:rPr>
        <w:t>13</w:t>
      </w:r>
      <w:r>
        <w:t>.</w:t>
      </w:r>
      <w:r>
        <w:tab/>
        <w:t>Disposal of carbon dioxide underground</w:t>
      </w:r>
      <w:bookmarkEnd w:id="39"/>
      <w:bookmarkEnd w:id="40"/>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41" w:name="_Toc377369854"/>
      <w:bookmarkStart w:id="42" w:name="_Toc414960932"/>
      <w:bookmarkStart w:id="43" w:name="_Toc414960970"/>
      <w:r>
        <w:rPr>
          <w:rStyle w:val="CharPartNo"/>
        </w:rPr>
        <w:t>Part 5</w:t>
      </w:r>
      <w:r>
        <w:rPr>
          <w:rStyle w:val="CharDivNo"/>
        </w:rPr>
        <w:t> </w:t>
      </w:r>
      <w:r>
        <w:t>—</w:t>
      </w:r>
      <w:r>
        <w:rPr>
          <w:rStyle w:val="CharDivText"/>
        </w:rPr>
        <w:t> </w:t>
      </w:r>
      <w:r>
        <w:rPr>
          <w:rStyle w:val="CharPartText"/>
        </w:rPr>
        <w:t>Miscellaneous</w:t>
      </w:r>
      <w:bookmarkEnd w:id="41"/>
      <w:bookmarkEnd w:id="42"/>
      <w:bookmarkEnd w:id="43"/>
    </w:p>
    <w:p>
      <w:pPr>
        <w:pStyle w:val="Heading5"/>
      </w:pPr>
      <w:bookmarkStart w:id="44" w:name="_Toc377369855"/>
      <w:bookmarkStart w:id="45" w:name="_Toc414960971"/>
      <w:r>
        <w:rPr>
          <w:rStyle w:val="CharSectno"/>
        </w:rPr>
        <w:t>14</w:t>
      </w:r>
      <w:r>
        <w:t>.</w:t>
      </w:r>
      <w:r>
        <w:tab/>
        <w:t>Requirement to obtain authorisations under other laws not affected</w:t>
      </w:r>
      <w:bookmarkEnd w:id="44"/>
      <w:bookmarkEnd w:id="45"/>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11)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46" w:name="_Toc377369856"/>
      <w:bookmarkStart w:id="47" w:name="_Toc414960972"/>
      <w:r>
        <w:rPr>
          <w:rStyle w:val="CharSectno"/>
        </w:rPr>
        <w:t>15</w:t>
      </w:r>
      <w:r>
        <w:t>.</w:t>
      </w:r>
      <w:r>
        <w:tab/>
        <w:t>Limitations on gas processing projects on Barrow Island</w:t>
      </w:r>
      <w:bookmarkEnd w:id="46"/>
      <w:bookmarkEnd w:id="47"/>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48" w:name="_Toc377369857"/>
      <w:bookmarkStart w:id="49" w:name="_Toc414960973"/>
      <w:r>
        <w:rPr>
          <w:rStyle w:val="CharSectno"/>
        </w:rPr>
        <w:t>16</w:t>
      </w:r>
      <w:r>
        <w:t>.</w:t>
      </w:r>
      <w:r>
        <w:tab/>
        <w:t>Land used for gas processing project purpose is rateable land</w:t>
      </w:r>
      <w:bookmarkEnd w:id="48"/>
      <w:bookmarkEnd w:id="49"/>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50" w:name="_Toc377369858"/>
      <w:bookmarkStart w:id="51" w:name="_Toc414960974"/>
      <w:r>
        <w:rPr>
          <w:rStyle w:val="CharSectno"/>
        </w:rPr>
        <w:t>17</w:t>
      </w:r>
      <w:r>
        <w:t>.</w:t>
      </w:r>
      <w:r>
        <w:tab/>
        <w:t>Regulations</w:t>
      </w:r>
      <w:bookmarkEnd w:id="50"/>
      <w:bookmarkEnd w:id="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2" w:name="_Toc377369859"/>
      <w:bookmarkStart w:id="53" w:name="_Toc414960975"/>
      <w:r>
        <w:rPr>
          <w:rStyle w:val="CharSectno"/>
        </w:rPr>
        <w:t>18</w:t>
      </w:r>
      <w:r>
        <w:t>.</w:t>
      </w:r>
      <w:r>
        <w:tab/>
        <w:t>Review of Act on cessation of Agreement</w:t>
      </w:r>
      <w:bookmarkEnd w:id="52"/>
      <w:bookmarkEnd w:id="53"/>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 w:name="_Toc377369860"/>
      <w:bookmarkStart w:id="55" w:name="_Toc414960938"/>
      <w:bookmarkStart w:id="56" w:name="_Toc414960976"/>
      <w:r>
        <w:rPr>
          <w:rStyle w:val="CharSchNo"/>
        </w:rPr>
        <w:t>Schedule 1</w:t>
      </w:r>
      <w:r>
        <w:t xml:space="preserve"> — </w:t>
      </w:r>
      <w:r>
        <w:rPr>
          <w:rStyle w:val="CharSchText"/>
        </w:rPr>
        <w:t>Gorgon Gas Processing and Infrastructure Project Agreement</w:t>
      </w:r>
      <w:bookmarkEnd w:id="54"/>
      <w:bookmarkEnd w:id="55"/>
      <w:bookmarkEnd w:id="56"/>
    </w:p>
    <w:p>
      <w:pPr>
        <w:pStyle w:val="yShoulderClause"/>
      </w:pPr>
      <w:r>
        <w:t>[s. 3]</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airport and heliport facilities;</w:t>
      </w:r>
    </w:p>
    <w:p>
      <w:pPr>
        <w:pStyle w:val="yMiscellaneousBody"/>
        <w:tabs>
          <w:tab w:val="left" w:pos="709"/>
          <w:tab w:val="left" w:pos="1560"/>
        </w:tabs>
        <w:ind w:left="2268" w:hanging="2268"/>
      </w:pPr>
      <w:r>
        <w:tab/>
      </w:r>
      <w:r>
        <w:tab/>
        <w:t>(n)</w:t>
      </w:r>
      <w:r>
        <w:tab/>
        <w:t>any other works, service or facilities desired by the Joint Venturers;</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The provisions of subclause (1) shall not apply to matters the subject of clause 17.</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57" w:name="Temp"/>
      <w:bookmarkEnd w:id="57"/>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pPr>
      <w:r>
        <w:tab/>
      </w:r>
      <w:r>
        <w:tab/>
        <w:t>(a)</w:t>
      </w:r>
      <w:r>
        <w:tab/>
        <w:t xml:space="preserve">The formation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pPr>
      <w:r>
        <w:tab/>
      </w:r>
      <w:r>
        <w:tab/>
        <w:t>(b)</w:t>
      </w:r>
      <w: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pPr>
      <w:r>
        <w:tab/>
      </w:r>
      <w:r>
        <w:tab/>
        <w:t>(c)</w:t>
      </w:r>
      <w: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pPr>
      <w:r>
        <w:tab/>
      </w:r>
      <w:r>
        <w:tab/>
        <w:t>(d)</w:t>
      </w:r>
      <w: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pPr>
      <w:r>
        <w:tab/>
      </w:r>
      <w:r>
        <w:tab/>
        <w:t>(e)</w:t>
      </w:r>
      <w:r>
        <w:tab/>
        <w:t>The matters to be coordinated by the BICC are:</w:t>
      </w:r>
    </w:p>
    <w:p>
      <w:pPr>
        <w:pStyle w:val="yMiscellaneousBody"/>
        <w:tabs>
          <w:tab w:val="left" w:pos="709"/>
          <w:tab w:val="left" w:pos="1560"/>
          <w:tab w:val="left" w:pos="2268"/>
        </w:tabs>
        <w:ind w:left="2977" w:hanging="2977"/>
      </w:pPr>
      <w:r>
        <w:tab/>
      </w:r>
      <w:r>
        <w:tab/>
      </w:r>
      <w:r>
        <w:tab/>
        <w:t>(i)</w:t>
      </w:r>
      <w:r>
        <w:tab/>
        <w:t>providing a single point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pPr>
      <w:r>
        <w:tab/>
      </w:r>
      <w:r>
        <w:tab/>
      </w:r>
      <w:r>
        <w:tab/>
        <w:t>(ii)</w:t>
      </w:r>
      <w: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pPr>
      <w:r>
        <w:tab/>
      </w:r>
      <w:r>
        <w:tab/>
      </w:r>
      <w:r>
        <w:tab/>
        <w:t>(iii)</w:t>
      </w:r>
      <w: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pPr>
      <w:r>
        <w:tab/>
      </w:r>
      <w:r>
        <w:tab/>
      </w:r>
      <w:r>
        <w:tab/>
        <w:t>(iv)</w:t>
      </w:r>
      <w: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tab/>
      </w:r>
      <w:r>
        <w:tab/>
      </w:r>
      <w:r>
        <w:tab/>
        <w:t>(v)</w:t>
      </w:r>
      <w:r>
        <w:tab/>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The BICC Participants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report progress on these matters to the Minister on an annual basis or more often as may be required by the Minister.</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law, regulation or order.</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pStyle w:val="yScheduleHeading"/>
      </w:pPr>
      <w:bookmarkStart w:id="58" w:name="_Toc377369861"/>
      <w:bookmarkStart w:id="59" w:name="_Toc414960939"/>
      <w:bookmarkStart w:id="60" w:name="_Toc414960977"/>
      <w:r>
        <w:rPr>
          <w:rStyle w:val="CharSchNo"/>
        </w:rPr>
        <w:t>Schedule 2</w:t>
      </w:r>
      <w:r>
        <w:t> — </w:t>
      </w:r>
      <w:r>
        <w:rPr>
          <w:rStyle w:val="CharSchText"/>
        </w:rPr>
        <w:t>2013 variation agreement</w:t>
      </w:r>
      <w:bookmarkEnd w:id="58"/>
      <w:bookmarkEnd w:id="59"/>
      <w:bookmarkEnd w:id="60"/>
    </w:p>
    <w:p>
      <w:pPr>
        <w:pStyle w:val="yShoulderClause"/>
      </w:pPr>
      <w:r>
        <w:t>[s. 3]</w:t>
      </w:r>
    </w:p>
    <w:p>
      <w:pPr>
        <w:pStyle w:val="yFootnoteheading"/>
      </w:pPr>
      <w:r>
        <w:tab/>
        <w:t>[Heading inserted by No. 24 of 2013 s. 8.]</w:t>
      </w:r>
    </w:p>
    <w:p>
      <w:pPr>
        <w:pStyle w:val="yMiscellaneousBody"/>
        <w:jc w:val="center"/>
      </w:pPr>
      <w:r>
        <w:rPr>
          <w:b/>
        </w:rPr>
        <w:t>2013</w:t>
      </w:r>
    </w:p>
    <w:p>
      <w:pPr>
        <w:pStyle w:val="yMiscellaneousBody"/>
        <w:jc w:val="center"/>
      </w:pPr>
    </w:p>
    <w:p>
      <w:pPr>
        <w:pStyle w:val="yMiscellaneousBody"/>
        <w:jc w:val="center"/>
        <w:rPr>
          <w:b/>
        </w:rPr>
      </w:pPr>
      <w:r>
        <w:rPr>
          <w:b/>
        </w:rPr>
        <w:t>THE HONOURABLE COLIN JAMES BARNETT</w:t>
      </w:r>
    </w:p>
    <w:p>
      <w:pPr>
        <w:pStyle w:val="yMiscellaneousBody"/>
        <w:jc w:val="center"/>
        <w:rPr>
          <w:b/>
        </w:rPr>
      </w:pPr>
      <w:r>
        <w:rPr>
          <w:b/>
        </w:rPr>
        <w:t>PREMIER OF THE STATE OF WESTERN AUSTRALIA</w:t>
      </w:r>
    </w:p>
    <w:p>
      <w:pPr>
        <w:pStyle w:val="yMiscellaneousBody"/>
        <w:jc w:val="center"/>
      </w:pPr>
    </w:p>
    <w:p>
      <w:pPr>
        <w:pStyle w:val="yMiscellaneousBody"/>
        <w:jc w:val="center"/>
        <w:rPr>
          <w:b/>
        </w:rPr>
      </w:pPr>
      <w:r>
        <w:rPr>
          <w:b/>
        </w:rPr>
        <w:t>AND</w:t>
      </w:r>
    </w:p>
    <w:p>
      <w:pPr>
        <w:pStyle w:val="yMiscellaneousBody"/>
        <w:jc w:val="center"/>
        <w:rPr>
          <w:b/>
        </w:rPr>
      </w:pPr>
    </w:p>
    <w:p>
      <w:pPr>
        <w:pStyle w:val="yMiscellaneousBody"/>
        <w:jc w:val="center"/>
        <w:rPr>
          <w:b/>
        </w:rPr>
      </w:pPr>
      <w:r>
        <w:rPr>
          <w:b/>
        </w:rPr>
        <w:t>CHEVRON (TAPL) PTY LTD</w:t>
      </w:r>
    </w:p>
    <w:p>
      <w:pPr>
        <w:pStyle w:val="yMiscellaneousBody"/>
        <w:jc w:val="center"/>
        <w:rPr>
          <w:b/>
        </w:rPr>
      </w:pPr>
      <w:r>
        <w:rPr>
          <w:b/>
        </w:rPr>
        <w:t>ABN 18 081 647 047</w:t>
      </w:r>
    </w:p>
    <w:p>
      <w:pPr>
        <w:pStyle w:val="yMiscellaneousBody"/>
        <w:jc w:val="center"/>
        <w:rPr>
          <w:b/>
        </w:rPr>
      </w:pPr>
    </w:p>
    <w:p>
      <w:pPr>
        <w:pStyle w:val="yMiscellaneousBody"/>
        <w:jc w:val="center"/>
        <w:rPr>
          <w:b/>
        </w:rPr>
      </w:pPr>
      <w:r>
        <w:rPr>
          <w:b/>
        </w:rPr>
        <w:t>MOBIL AUSTRALIA RESOURCES COMPANY PTY LIMITED</w:t>
      </w:r>
    </w:p>
    <w:p>
      <w:pPr>
        <w:pStyle w:val="yMiscellaneousBody"/>
        <w:jc w:val="center"/>
        <w:rPr>
          <w:b/>
        </w:rPr>
      </w:pPr>
      <w:r>
        <w:rPr>
          <w:b/>
        </w:rPr>
        <w:t>ABN 38 000 113 217</w:t>
      </w:r>
    </w:p>
    <w:p>
      <w:pPr>
        <w:pStyle w:val="yMiscellaneousBody"/>
        <w:jc w:val="center"/>
        <w:rPr>
          <w:b/>
        </w:rPr>
      </w:pPr>
    </w:p>
    <w:p>
      <w:pPr>
        <w:pStyle w:val="yMiscellaneousBody"/>
        <w:jc w:val="center"/>
        <w:rPr>
          <w:b/>
        </w:rPr>
      </w:pPr>
      <w:r>
        <w:rPr>
          <w:b/>
        </w:rPr>
        <w:t>SHELL DEVELOPMENT (AUSTRALIA) PROPRIETARY LIMITED</w:t>
      </w:r>
    </w:p>
    <w:p>
      <w:pPr>
        <w:pStyle w:val="yMiscellaneousBody"/>
        <w:jc w:val="center"/>
        <w:rPr>
          <w:b/>
        </w:rPr>
      </w:pPr>
      <w:r>
        <w:rPr>
          <w:b/>
        </w:rPr>
        <w:t>ABN 14 009 663 576</w:t>
      </w:r>
    </w:p>
    <w:p>
      <w:pPr>
        <w:pStyle w:val="yMiscellaneousBody"/>
        <w:jc w:val="center"/>
        <w:rPr>
          <w:b/>
        </w:rPr>
      </w:pPr>
    </w:p>
    <w:p>
      <w:pPr>
        <w:pStyle w:val="yMiscellaneousBody"/>
        <w:jc w:val="center"/>
        <w:rPr>
          <w:b/>
        </w:rPr>
      </w:pPr>
      <w:r>
        <w:rPr>
          <w:b/>
        </w:rPr>
        <w:t>OSAKA GAS GORGON PTY LTD</w:t>
      </w:r>
    </w:p>
    <w:p>
      <w:pPr>
        <w:pStyle w:val="yMiscellaneousBody"/>
        <w:jc w:val="center"/>
        <w:rPr>
          <w:b/>
        </w:rPr>
      </w:pPr>
      <w:r>
        <w:rPr>
          <w:b/>
        </w:rPr>
        <w:t>ABN 13 139 074 847</w:t>
      </w:r>
    </w:p>
    <w:p>
      <w:pPr>
        <w:pStyle w:val="yMiscellaneousBody"/>
        <w:jc w:val="center"/>
        <w:rPr>
          <w:b/>
        </w:rPr>
      </w:pPr>
    </w:p>
    <w:p>
      <w:pPr>
        <w:pStyle w:val="yMiscellaneousBody"/>
        <w:jc w:val="center"/>
        <w:rPr>
          <w:b/>
        </w:rPr>
      </w:pPr>
      <w:r>
        <w:rPr>
          <w:b/>
        </w:rPr>
        <w:t>TOKYO GAS GORGON PTY LTD</w:t>
      </w:r>
    </w:p>
    <w:p>
      <w:pPr>
        <w:pStyle w:val="yMiscellaneousBody"/>
        <w:jc w:val="center"/>
        <w:rPr>
          <w:b/>
        </w:rPr>
      </w:pPr>
      <w:r>
        <w:rPr>
          <w:b/>
        </w:rPr>
        <w:t>ABN 16 138 592 042</w:t>
      </w:r>
    </w:p>
    <w:p>
      <w:pPr>
        <w:pStyle w:val="yMiscellaneousBody"/>
        <w:jc w:val="center"/>
        <w:rPr>
          <w:b/>
        </w:rPr>
      </w:pPr>
    </w:p>
    <w:p>
      <w:pPr>
        <w:pStyle w:val="yMiscellaneousBody"/>
        <w:jc w:val="center"/>
        <w:rPr>
          <w:b/>
        </w:rPr>
      </w:pPr>
      <w:r>
        <w:rPr>
          <w:b/>
        </w:rPr>
        <w:t>CHUBU ELECTRIC POWER GORGON PTY LTD</w:t>
      </w:r>
    </w:p>
    <w:p>
      <w:pPr>
        <w:pStyle w:val="yMiscellaneousBody"/>
        <w:jc w:val="center"/>
        <w:rPr>
          <w:b/>
        </w:rPr>
      </w:pPr>
      <w:r>
        <w:rPr>
          <w:b/>
        </w:rPr>
        <w:t>ABN 94 140 107 464</w:t>
      </w:r>
    </w:p>
    <w:p>
      <w:pPr>
        <w:pStyle w:val="yMiscellaneousBody"/>
        <w:jc w:val="center"/>
        <w:rPr>
          <w:b/>
        </w:rPr>
      </w:pPr>
    </w:p>
    <w:p>
      <w:pPr>
        <w:pStyle w:val="yMiscellaneousBody"/>
        <w:jc w:val="center"/>
        <w:rPr>
          <w:b/>
        </w:rPr>
      </w:pPr>
    </w:p>
    <w:p>
      <w:pPr>
        <w:pStyle w:val="yMiscellaneousBody"/>
        <w:jc w:val="center"/>
        <w:rPr>
          <w:b/>
        </w:rPr>
      </w:pPr>
      <w:r>
        <w:rPr>
          <w:b/>
        </w:rPr>
        <w:t>GORGON GAS PROCESSING AND INFRASTRUCTURE PROJECT AGREEMENT 2003</w:t>
      </w:r>
    </w:p>
    <w:p>
      <w:pPr>
        <w:pStyle w:val="yMiscellaneousBody"/>
        <w:jc w:val="center"/>
        <w:rPr>
          <w:b/>
        </w:rPr>
      </w:pPr>
      <w:r>
        <w:rPr>
          <w:b/>
        </w:rPr>
        <w:t>RATIFIED VARIATION AGREEMENT</w:t>
      </w:r>
    </w:p>
    <w:p>
      <w:pPr>
        <w:pStyle w:val="yMiscellaneousBody"/>
        <w:jc w:val="center"/>
        <w:rPr>
          <w:b/>
        </w:rPr>
      </w:pPr>
    </w:p>
    <w:p>
      <w:pPr>
        <w:pStyle w:val="yMiscellaneousBody"/>
        <w:jc w:val="center"/>
        <w:rPr>
          <w:b/>
        </w:rPr>
      </w:pPr>
    </w:p>
    <w:p>
      <w:pPr>
        <w:pStyle w:val="yMiscellaneousBody"/>
        <w:spacing w:before="0"/>
        <w:jc w:val="center"/>
        <w:rPr>
          <w:b/>
        </w:rPr>
      </w:pPr>
    </w:p>
    <w:p>
      <w:pPr>
        <w:pStyle w:val="yMiscellaneousBody"/>
        <w:spacing w:before="0"/>
        <w:jc w:val="center"/>
      </w:pPr>
      <w:r>
        <w:t>[Solicitor’s details]</w:t>
      </w:r>
    </w:p>
    <w:p>
      <w:pPr>
        <w:pStyle w:val="yMiscellaneousBody"/>
      </w:pPr>
    </w:p>
    <w:p>
      <w:pPr>
        <w:pStyle w:val="yMiscellaneousBody"/>
      </w:pPr>
      <w:r>
        <w:rPr>
          <w:b/>
        </w:rPr>
        <w:t>THIS AGREEMENT</w:t>
      </w:r>
      <w:r>
        <w:t xml:space="preserve"> is made this 21</w:t>
      </w:r>
      <w:r>
        <w:rPr>
          <w:vertAlign w:val="superscript"/>
        </w:rPr>
        <w:t>st</w:t>
      </w:r>
      <w:r>
        <w:t xml:space="preserve"> day of October 2013</w:t>
      </w:r>
    </w:p>
    <w:p>
      <w:pPr>
        <w:pStyle w:val="yMiscellaneousBody"/>
      </w:pPr>
    </w:p>
    <w:p>
      <w:pPr>
        <w:pStyle w:val="yMiscellaneousBody"/>
        <w:rPr>
          <w:b/>
        </w:rPr>
      </w:pPr>
      <w:r>
        <w:rPr>
          <w:b/>
        </w:rPr>
        <w:t>BETWEEN</w:t>
      </w:r>
    </w:p>
    <w:p>
      <w:pPr>
        <w:pStyle w:val="yMiscellaneousBody"/>
      </w:pPr>
    </w:p>
    <w:p>
      <w:pPr>
        <w:pStyle w:val="yMiscellaneousBody"/>
      </w:pPr>
      <w:r>
        <w:rPr>
          <w:b/>
        </w:rPr>
        <w:t>THE HONOURABLE COLIN JAMES BARNETT</w:t>
      </w:r>
      <w:r>
        <w:t xml:space="preserve"> MLA., Premier of the State of Western Australia acting for and on behalf of the said State and instrumentalities thereof from time to time (</w:t>
      </w:r>
      <w:r>
        <w:rPr>
          <w:b/>
        </w:rPr>
        <w:t>State</w:t>
      </w:r>
      <w:r>
        <w:t>)</w:t>
      </w:r>
    </w:p>
    <w:p>
      <w:pPr>
        <w:pStyle w:val="yMiscellaneousBody"/>
        <w:rPr>
          <w:b/>
        </w:rPr>
      </w:pPr>
      <w:r>
        <w:rPr>
          <w:b/>
        </w:rPr>
        <w:t>AND</w:t>
      </w:r>
    </w:p>
    <w:p>
      <w:pPr>
        <w:pStyle w:val="yMiscellaneousBody"/>
      </w:pPr>
      <w:r>
        <w:rPr>
          <w:b/>
        </w:rPr>
        <w:t>CHEVRON (TAPL) PTY LTD</w:t>
      </w:r>
      <w:r>
        <w:t xml:space="preserve"> ABN 18 081 647 047 of Level 24, 250 St Georges Terrace, Perth, Western Australia, </w:t>
      </w:r>
      <w:r>
        <w:rPr>
          <w:b/>
        </w:rPr>
        <w:t xml:space="preserve">MOBIL AUSTRALIA RESOURCES COMPANY PTY LIMITED </w:t>
      </w:r>
      <w:r>
        <w:t xml:space="preserve">ABN 38 000 113 217 of 12 Riverside Quay, Southbank, Melbourne, Victoria, </w:t>
      </w:r>
      <w:r>
        <w:rPr>
          <w:b/>
        </w:rPr>
        <w:t xml:space="preserve">SHELL DEVELOPMENT (AUSTRALIA) PROPRIETARY LIMITED </w:t>
      </w:r>
      <w:r>
        <w:t xml:space="preserve">ABN 14 009 663 576 of Level 3, 2 Victoria Avenue, Perth, Western Australia, </w:t>
      </w:r>
      <w:r>
        <w:rPr>
          <w:b/>
        </w:rPr>
        <w:t xml:space="preserve">OSAKA GAS GORGON PTY LTD </w:t>
      </w:r>
      <w:r>
        <w:t xml:space="preserve">ABN 13 139 074 847 of Level 16, 108 St Georges Terrace, Perth, Western Australia, </w:t>
      </w:r>
      <w:r>
        <w:rPr>
          <w:b/>
        </w:rPr>
        <w:t xml:space="preserve">TOKYO GAS GORGON PTY LTD </w:t>
      </w:r>
      <w:r>
        <w:t xml:space="preserve">ABN 16 138 592 042 of Level 21, Exchange Plaza, 2 The Esplanade, Perth, Western Australia and </w:t>
      </w:r>
      <w:r>
        <w:rPr>
          <w:b/>
        </w:rPr>
        <w:t xml:space="preserve">CHUBU ELECTRIC POWER GORGON PTY LTD </w:t>
      </w:r>
      <w:r>
        <w:t>ABN 94 140 107 464 of Level 22, St Martins Tower, 44 St Georges Terrace, Perth, Western Australia  (together with their successors and permitted assigns collectively called the "</w:t>
      </w:r>
      <w:r>
        <w:rPr>
          <w:b/>
        </w:rPr>
        <w:t>Joint Venturers</w:t>
      </w:r>
      <w:r>
        <w:t xml:space="preserve">"). </w:t>
      </w:r>
    </w:p>
    <w:p>
      <w:pPr>
        <w:pStyle w:val="yMiscellaneousBody"/>
        <w:rPr>
          <w:b/>
        </w:rPr>
      </w:pPr>
    </w:p>
    <w:p>
      <w:pPr>
        <w:pStyle w:val="yMiscellaneousBody"/>
        <w:rPr>
          <w:b/>
        </w:rPr>
      </w:pPr>
      <w:r>
        <w:rPr>
          <w:b/>
        </w:rPr>
        <w:t>RECITALS</w:t>
      </w:r>
    </w:p>
    <w:p>
      <w:pPr>
        <w:pStyle w:val="yMiscellaneousBody"/>
        <w:tabs>
          <w:tab w:val="left" w:pos="567"/>
          <w:tab w:val="left" w:pos="1134"/>
          <w:tab w:val="left" w:pos="1701"/>
        </w:tabs>
        <w:ind w:left="567" w:hanging="567"/>
      </w:pPr>
      <w:r>
        <w:rPr>
          <w:b/>
        </w:rPr>
        <w:t>A.</w:t>
      </w:r>
      <w:r>
        <w:tab/>
        <w:t xml:space="preserve">The State and the Joint Venturers are now the parties to the agreement dated 9 September 2003, the execution of which by the State was ratified by the </w:t>
      </w:r>
      <w:r>
        <w:rPr>
          <w:i/>
        </w:rPr>
        <w:t>Barrow Island Act 2003</w:t>
      </w:r>
      <w:r>
        <w:t xml:space="preserve"> and which as subsequently varied by agreement dated 9 September 2009 is referred to in this Agreement as the "</w:t>
      </w:r>
      <w:r>
        <w:rPr>
          <w:b/>
        </w:rPr>
        <w:t>Principal Agreement</w:t>
      </w:r>
      <w:r>
        <w:t>".</w:t>
      </w:r>
    </w:p>
    <w:p>
      <w:pPr>
        <w:pStyle w:val="yMiscellaneousBody"/>
        <w:tabs>
          <w:tab w:val="left" w:pos="567"/>
          <w:tab w:val="left" w:pos="1134"/>
          <w:tab w:val="left" w:pos="1701"/>
        </w:tabs>
        <w:ind w:left="567" w:hanging="567"/>
      </w:pPr>
      <w:r>
        <w:rPr>
          <w:b/>
        </w:rPr>
        <w:t>B.</w:t>
      </w:r>
      <w:r>
        <w:tab/>
        <w:t>The State and the Joint Venturers wish to vary the Principal Agreement on the terms and conditions of this Agreement.</w:t>
      </w:r>
    </w:p>
    <w:p>
      <w:pPr>
        <w:pStyle w:val="yMiscellaneousBody"/>
        <w:tabs>
          <w:tab w:val="left" w:pos="567"/>
          <w:tab w:val="left" w:pos="1134"/>
          <w:tab w:val="left" w:pos="1701"/>
        </w:tabs>
      </w:pPr>
    </w:p>
    <w:p>
      <w:pPr>
        <w:pStyle w:val="yMiscellaneousBody"/>
        <w:tabs>
          <w:tab w:val="left" w:pos="567"/>
          <w:tab w:val="left" w:pos="1134"/>
          <w:tab w:val="left" w:pos="1701"/>
        </w:tabs>
        <w:rPr>
          <w:b/>
        </w:rPr>
      </w:pPr>
      <w:r>
        <w:rPr>
          <w:b/>
        </w:rPr>
        <w:t>THE PARTIES AGREE</w:t>
      </w:r>
      <w:r>
        <w:t xml:space="preserve"> as follows</w:t>
      </w:r>
      <w:r>
        <w:rPr>
          <w:b/>
        </w:rPr>
        <w:t>:</w:t>
      </w:r>
    </w:p>
    <w:p>
      <w:pPr>
        <w:pStyle w:val="yMiscellaneousBody"/>
        <w:tabs>
          <w:tab w:val="left" w:pos="567"/>
          <w:tab w:val="left" w:pos="1134"/>
          <w:tab w:val="left" w:pos="1701"/>
        </w:tabs>
        <w:ind w:left="567" w:hanging="567"/>
      </w:pPr>
      <w:r>
        <w:rPr>
          <w:b/>
        </w:rP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s>
        <w:ind w:left="1134" w:hanging="1134"/>
      </w:pPr>
      <w:r>
        <w:rPr>
          <w:b/>
        </w:rPr>
        <w:t>2.</w:t>
      </w:r>
      <w:r>
        <w:tab/>
        <w:t>(1)</w:t>
      </w:r>
      <w:r>
        <w:tab/>
        <w:t>This Agreement, other than this clause and clause 1, does not come into operation except in accordance with subclause (2).</w:t>
      </w:r>
    </w:p>
    <w:p>
      <w:pPr>
        <w:pStyle w:val="yMiscellaneousBody"/>
        <w:tabs>
          <w:tab w:val="left" w:pos="567"/>
          <w:tab w:val="left" w:pos="1134"/>
          <w:tab w:val="left" w:pos="1701"/>
        </w:tabs>
        <w:ind w:left="1134" w:hanging="1134"/>
      </w:pPr>
      <w:r>
        <w:tab/>
        <w:t>(2)</w:t>
      </w:r>
      <w:r>
        <w:tab/>
        <w:t>This Agreement, other than this clause and clause 1, comes into operation on the day on which it is ratified by an Act of the Parliament of Western Australia unless, before that day, it terminates under subclause (4).</w:t>
      </w:r>
    </w:p>
    <w:p>
      <w:pPr>
        <w:pStyle w:val="yMiscellaneousBody"/>
        <w:tabs>
          <w:tab w:val="left" w:pos="567"/>
          <w:tab w:val="left" w:pos="1134"/>
          <w:tab w:val="left" w:pos="1701"/>
        </w:tabs>
        <w:ind w:left="1134" w:hanging="1134"/>
      </w:pPr>
      <w:r>
        <w:tab/>
        <w:t>(3)</w:t>
      </w:r>
      <w:r>
        <w:tab/>
        <w:t>The State must introduce in the Parliament of Western Australia before 31 December 2013, or a later date agreed between the parties to this Agreement, a Bill to ratify this Agreement and must endeavour to secure its passage as an Act.</w:t>
      </w:r>
    </w:p>
    <w:p>
      <w:pPr>
        <w:pStyle w:val="yMiscellaneousBody"/>
        <w:tabs>
          <w:tab w:val="left" w:pos="567"/>
          <w:tab w:val="left" w:pos="1134"/>
          <w:tab w:val="left" w:pos="1701"/>
        </w:tabs>
        <w:ind w:left="1134" w:hanging="1134"/>
      </w:pPr>
      <w:r>
        <w:tab/>
        <w:t>(4)</w:t>
      </w:r>
      <w:r>
        <w:tab/>
        <w:t>If by 30 June 2014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left" w:pos="567"/>
          <w:tab w:val="left" w:pos="1134"/>
          <w:tab w:val="left" w:pos="1701"/>
        </w:tabs>
      </w:pPr>
      <w:r>
        <w:rPr>
          <w:b/>
        </w:rPr>
        <w:t>3.</w:t>
      </w:r>
      <w:r>
        <w:tab/>
        <w:t>The Principal Agreement is hereby varied as follows:</w:t>
      </w:r>
    </w:p>
    <w:p>
      <w:pPr>
        <w:pStyle w:val="yMiscellaneousBody"/>
        <w:tabs>
          <w:tab w:val="left" w:pos="567"/>
          <w:tab w:val="left" w:pos="1134"/>
          <w:tab w:val="left" w:pos="1701"/>
        </w:tabs>
        <w:ind w:left="1134" w:hanging="1134"/>
      </w:pPr>
      <w:r>
        <w:tab/>
        <w:t>(1)</w:t>
      </w:r>
      <w:r>
        <w:tab/>
        <w:t>in clause 1 in the definition of "Gas Processing Area" by deleting "300" and substituting "332";</w:t>
      </w:r>
    </w:p>
    <w:p>
      <w:pPr>
        <w:pStyle w:val="yMiscellaneousBody"/>
        <w:tabs>
          <w:tab w:val="left" w:pos="567"/>
          <w:tab w:val="left" w:pos="1134"/>
          <w:tab w:val="left" w:pos="1701"/>
        </w:tabs>
      </w:pPr>
      <w:r>
        <w:tab/>
        <w:t>(2)</w:t>
      </w:r>
      <w:r>
        <w:tab/>
        <w:t>in clause 5(1) by deleting "300" and substituting "332";</w:t>
      </w:r>
    </w:p>
    <w:p>
      <w:pPr>
        <w:pStyle w:val="yMiscellaneousBody"/>
        <w:tabs>
          <w:tab w:val="left" w:pos="567"/>
          <w:tab w:val="left" w:pos="1134"/>
          <w:tab w:val="left" w:pos="1701"/>
        </w:tabs>
        <w:ind w:left="1134" w:hanging="1134"/>
      </w:pPr>
      <w:r>
        <w:tab/>
        <w:t>(3)</w:t>
      </w:r>
      <w:r>
        <w:tab/>
        <w:t>in clause 6 by inserting after subclause (11) the following new subclause:</w:t>
      </w:r>
    </w:p>
    <w:p>
      <w:pPr>
        <w:pStyle w:val="yMiscellaneousBody"/>
        <w:tabs>
          <w:tab w:val="left" w:pos="567"/>
          <w:tab w:val="left" w:pos="1134"/>
          <w:tab w:val="left" w:pos="1701"/>
        </w:tabs>
        <w:ind w:left="1701" w:hanging="1701"/>
      </w:pPr>
      <w:r>
        <w:tab/>
      </w:r>
      <w:r>
        <w:tab/>
        <w:t>"(12)</w:t>
      </w:r>
      <w:r>
        <w:tab/>
        <w:t>If the Minister considers it reasonable and appropriate to do so the Minister may approve pursuant to clause 8(7) (including as applying pursuant to clause 10(3)) variations to any approved proposals to which a subclause (10) permission relates to provide for the grant (including by variation of any existing titles) to the Joint Venturers under the LA Act and in accordance with this Agreement of leases, licences and easements in respect of land within the Gas Processing Area beyond that otherwise allowed by the subclause (10) permission."; and</w:t>
      </w:r>
    </w:p>
    <w:p>
      <w:pPr>
        <w:pStyle w:val="yMiscellaneousBody"/>
        <w:tabs>
          <w:tab w:val="left" w:pos="567"/>
          <w:tab w:val="left" w:pos="1134"/>
          <w:tab w:val="left" w:pos="1701"/>
        </w:tabs>
      </w:pPr>
      <w:r>
        <w:tab/>
        <w:t>(4)</w:t>
      </w:r>
      <w:r>
        <w:tab/>
        <w:t>in clause 22(1) by deleting " 300" and substituting "332".</w:t>
      </w:r>
    </w:p>
    <w:p>
      <w:pPr>
        <w:pStyle w:val="yMiscellaneousBody"/>
      </w:pPr>
    </w:p>
    <w:p>
      <w:pPr>
        <w:pStyle w:val="yMiscellaneousBody"/>
      </w:pPr>
    </w:p>
    <w:p>
      <w:pPr>
        <w:pStyle w:val="yMiscellaneousBody"/>
      </w:pPr>
      <w:r>
        <w:rPr>
          <w:b/>
        </w:rPr>
        <w:t>EXECUTED</w:t>
      </w:r>
      <w:r>
        <w:t xml:space="preserve"> as a deed.</w:t>
      </w:r>
    </w:p>
    <w:p>
      <w:pPr>
        <w:pStyle w:val="yMiscellaneousBody"/>
      </w:pPr>
    </w:p>
    <w:p>
      <w:pPr>
        <w:pStyle w:val="yMiscellaneousBody"/>
        <w:rPr>
          <w:b/>
        </w:rPr>
      </w:pPr>
    </w:p>
    <w:p>
      <w:pPr>
        <w:pStyle w:val="yMiscellaneousBody"/>
        <w:spacing w:before="0"/>
      </w:pPr>
      <w:r>
        <w:rPr>
          <w:b/>
        </w:rPr>
        <w:t>SIGNED</w:t>
      </w:r>
      <w:r>
        <w:t xml:space="preserve"> by </w:t>
      </w:r>
      <w:r>
        <w:rPr>
          <w:b/>
        </w:rPr>
        <w:t>THE HONOURABLE</w:t>
      </w:r>
      <w:r>
        <w:tab/>
      </w:r>
      <w:r>
        <w:tab/>
        <w:t>)</w:t>
      </w:r>
    </w:p>
    <w:p>
      <w:pPr>
        <w:pStyle w:val="yMiscellaneousBody"/>
        <w:spacing w:before="0"/>
      </w:pPr>
      <w:r>
        <w:rPr>
          <w:b/>
        </w:rPr>
        <w:t>COLIN JAMES BARNETT</w:t>
      </w:r>
      <w:r>
        <w:tab/>
      </w:r>
      <w:r>
        <w:tab/>
        <w:t>)       [Signature]</w:t>
      </w:r>
    </w:p>
    <w:p>
      <w:pPr>
        <w:pStyle w:val="yMiscellaneousBody"/>
        <w:spacing w:before="0"/>
      </w:pPr>
      <w:r>
        <w:t>in the presence of:</w:t>
      </w:r>
      <w:r>
        <w:tab/>
      </w:r>
      <w:r>
        <w:tab/>
      </w:r>
      <w:r>
        <w:tab/>
        <w:t>)</w:t>
      </w:r>
    </w:p>
    <w:p>
      <w:pPr>
        <w:pStyle w:val="yMiscellaneousBody"/>
        <w:tabs>
          <w:tab w:val="left" w:pos="3969"/>
        </w:tabs>
      </w:pPr>
      <w:r>
        <w:rPr>
          <w:u w:val="single"/>
        </w:rPr>
        <w:t>[Signature]</w:t>
      </w:r>
      <w:r>
        <w:rPr>
          <w:u w:val="single"/>
        </w:rPr>
        <w:tab/>
      </w:r>
    </w:p>
    <w:p>
      <w:pPr>
        <w:pStyle w:val="yMiscellaneousBody"/>
        <w:spacing w:before="0"/>
      </w:pPr>
      <w:r>
        <w:t>Witness:</w:t>
      </w:r>
    </w:p>
    <w:p>
      <w:pPr>
        <w:pStyle w:val="yMiscellaneousBody"/>
        <w:spacing w:before="0"/>
      </w:pPr>
      <w:r>
        <w:t>Name: Nicole Henderson</w:t>
      </w:r>
    </w:p>
    <w:p>
      <w:pPr>
        <w:pStyle w:val="yMiscellaneousBody"/>
      </w:pPr>
    </w:p>
    <w:p>
      <w:pPr>
        <w:pStyle w:val="yMiscellaneousBody"/>
      </w:pPr>
    </w:p>
    <w:p>
      <w:pPr>
        <w:pStyle w:val="yMiscellaneousBody"/>
        <w:keepNext/>
        <w:spacing w:before="0"/>
      </w:pPr>
      <w:r>
        <w:rPr>
          <w:b/>
        </w:rPr>
        <w:t xml:space="preserve">EXECUTED </w:t>
      </w:r>
      <w:r>
        <w:t xml:space="preserve">by </w:t>
      </w:r>
      <w:r>
        <w:rPr>
          <w:b/>
        </w:rPr>
        <w:t>CHEVRON (TAPL) PTY</w:t>
      </w:r>
      <w:r>
        <w:t xml:space="preserve"> </w:t>
      </w:r>
      <w:r>
        <w:tab/>
        <w:t>)</w:t>
      </w:r>
    </w:p>
    <w:p>
      <w:pPr>
        <w:pStyle w:val="yMiscellaneousBody"/>
        <w:keepNext/>
        <w:spacing w:before="0"/>
      </w:pPr>
      <w:r>
        <w:rPr>
          <w:b/>
        </w:rPr>
        <w:t>LTD</w:t>
      </w:r>
      <w:r>
        <w:t xml:space="preserve"> 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Roy J. Krzywosinski</w:t>
      </w:r>
      <w:r>
        <w:rPr>
          <w:u w:val="single"/>
        </w:rPr>
        <w:tab/>
      </w:r>
      <w:r>
        <w:tab/>
      </w:r>
      <w:r>
        <w:rPr>
          <w:u w:val="single"/>
        </w:rPr>
        <w:t>Marcia H Decter</w:t>
      </w:r>
      <w:r>
        <w:rPr>
          <w:u w:val="single"/>
        </w:rPr>
        <w:tab/>
      </w:r>
    </w:p>
    <w:p>
      <w:pPr>
        <w:pStyle w:val="yMiscellaneousBody"/>
        <w:tabs>
          <w:tab w:val="left" w:pos="3402"/>
          <w:tab w:val="left" w:pos="3969"/>
        </w:tabs>
        <w:spacing w:before="0"/>
      </w:pPr>
      <w:r>
        <w:t>Name of Director</w:t>
      </w:r>
      <w:r>
        <w:tab/>
      </w:r>
      <w:r>
        <w:tab/>
        <w:t>Name of Director/Secretary</w:t>
      </w:r>
    </w:p>
    <w:p>
      <w:pPr>
        <w:pStyle w:val="yMiscellaneousBody"/>
        <w:rPr>
          <w:b/>
        </w:rPr>
      </w:pPr>
    </w:p>
    <w:p>
      <w:pPr>
        <w:pStyle w:val="yMiscellaneousBody"/>
        <w:spacing w:before="0"/>
      </w:pPr>
      <w:r>
        <w:rPr>
          <w:b/>
        </w:rPr>
        <w:t xml:space="preserve">EXECUTED </w:t>
      </w:r>
      <w:r>
        <w:t xml:space="preserve">by </w:t>
      </w:r>
      <w:r>
        <w:rPr>
          <w:b/>
        </w:rPr>
        <w:t>MOBIL AUSTRALIA</w:t>
      </w:r>
      <w:r>
        <w:tab/>
        <w:t>)</w:t>
      </w:r>
    </w:p>
    <w:p>
      <w:pPr>
        <w:pStyle w:val="yMiscellaneousBody"/>
        <w:spacing w:before="0"/>
      </w:pPr>
      <w:r>
        <w:rPr>
          <w:b/>
        </w:rPr>
        <w:t>RESOURCES COMPANY PTY LIMITED</w:t>
      </w:r>
      <w:r>
        <w:tab/>
        <w:t>)</w:t>
      </w:r>
    </w:p>
    <w:p>
      <w:pPr>
        <w:pStyle w:val="yMiscellaneousBody"/>
        <w:spacing w:before="0"/>
      </w:pPr>
      <w:r>
        <w:t>by its undersigned Attorney who has not</w:t>
      </w:r>
      <w:r>
        <w:tab/>
        <w:t>)</w:t>
      </w:r>
    </w:p>
    <w:p>
      <w:pPr>
        <w:pStyle w:val="yMiscellaneousBody"/>
        <w:spacing w:before="0"/>
      </w:pPr>
      <w:r>
        <w:t xml:space="preserve">received any notice of revocation of the Power </w:t>
      </w:r>
      <w:r>
        <w:tab/>
        <w:t>)</w:t>
      </w:r>
    </w:p>
    <w:p>
      <w:pPr>
        <w:pStyle w:val="yMiscellaneousBody"/>
        <w:spacing w:before="0"/>
      </w:pPr>
      <w:r>
        <w:t>of Attorney under which this deed is signed:</w:t>
      </w:r>
      <w:r>
        <w:tab/>
        <w:t>)</w:t>
      </w:r>
    </w:p>
    <w:p>
      <w:pPr>
        <w:pStyle w:val="yMiscellaneousBody"/>
        <w:spacing w:before="0"/>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Attorney</w:t>
      </w:r>
      <w:r>
        <w:tab/>
      </w:r>
      <w:r>
        <w:tab/>
        <w:t>Signature of Witness</w:t>
      </w:r>
    </w:p>
    <w:p>
      <w:pPr>
        <w:pStyle w:val="yMiscellaneousBody"/>
      </w:pPr>
    </w:p>
    <w:p>
      <w:pPr>
        <w:pStyle w:val="yMiscellaneousBody"/>
        <w:tabs>
          <w:tab w:val="left" w:pos="3402"/>
          <w:tab w:val="left" w:pos="3969"/>
          <w:tab w:val="left" w:pos="6804"/>
        </w:tabs>
        <w:rPr>
          <w:u w:val="single"/>
        </w:rPr>
      </w:pPr>
      <w:r>
        <w:rPr>
          <w:u w:val="single"/>
        </w:rPr>
        <w:t>Luke P Musgrave</w:t>
      </w:r>
      <w:r>
        <w:rPr>
          <w:u w:val="single"/>
        </w:rPr>
        <w:tab/>
      </w:r>
      <w:r>
        <w:tab/>
      </w:r>
      <w:r>
        <w:rPr>
          <w:u w:val="single"/>
        </w:rPr>
        <w:t>Robyn Eileen Susan Wheatland</w:t>
      </w:r>
    </w:p>
    <w:p>
      <w:pPr>
        <w:pStyle w:val="yMiscellaneousBody"/>
        <w:tabs>
          <w:tab w:val="left" w:pos="3402"/>
          <w:tab w:val="left" w:pos="3969"/>
        </w:tabs>
        <w:spacing w:before="0"/>
      </w:pPr>
      <w:r>
        <w:t>Name of Attorney</w:t>
      </w:r>
      <w:r>
        <w:tab/>
      </w:r>
      <w:r>
        <w:tab/>
        <w:t>Name of Witness</w:t>
      </w:r>
    </w:p>
    <w:p>
      <w:pPr>
        <w:pStyle w:val="yMiscellaneousBody"/>
        <w:rPr>
          <w:b/>
        </w:rPr>
      </w:pPr>
    </w:p>
    <w:p>
      <w:pPr>
        <w:pStyle w:val="yMiscellaneousBody"/>
        <w:rPr>
          <w:b/>
        </w:rPr>
      </w:pPr>
    </w:p>
    <w:p>
      <w:pPr>
        <w:pStyle w:val="yMiscellaneousBody"/>
        <w:rPr>
          <w:b/>
        </w:rPr>
      </w:pPr>
    </w:p>
    <w:p>
      <w:pPr>
        <w:pStyle w:val="yMiscellaneousBody"/>
        <w:spacing w:before="0"/>
        <w:rPr>
          <w:b/>
        </w:rPr>
      </w:pPr>
      <w:r>
        <w:rPr>
          <w:b/>
        </w:rPr>
        <w:t xml:space="preserve">EXECUTED </w:t>
      </w:r>
      <w:r>
        <w:t xml:space="preserve">by </w:t>
      </w:r>
      <w:r>
        <w:rPr>
          <w:b/>
        </w:rPr>
        <w:t xml:space="preserve">SHELL DEVELOPMENT </w:t>
      </w:r>
      <w:r>
        <w:rPr>
          <w:b/>
        </w:rPr>
        <w:tab/>
      </w:r>
      <w:r>
        <w:t>)</w:t>
      </w:r>
    </w:p>
    <w:p>
      <w:pPr>
        <w:pStyle w:val="yMiscellaneousBody"/>
        <w:spacing w:before="0"/>
      </w:pPr>
      <w:r>
        <w:rPr>
          <w:b/>
        </w:rPr>
        <w:t>(AUSTRALIA) PROPRIETARY LIMITED</w:t>
      </w:r>
      <w:r>
        <w:tab/>
        <w:t>)</w:t>
      </w:r>
    </w:p>
    <w:p>
      <w:pPr>
        <w:pStyle w:val="yMiscellaneousBody"/>
        <w:spacing w:before="0"/>
      </w:pPr>
      <w:r>
        <w:t xml:space="preserve">in accordance with section 127(1) of the </w:t>
      </w:r>
      <w:r>
        <w:tab/>
        <w:t>)</w:t>
      </w:r>
    </w:p>
    <w:p>
      <w:pPr>
        <w:pStyle w:val="yMiscellaneousBody"/>
        <w:spacing w:before="0"/>
      </w:pPr>
      <w:r>
        <w:rPr>
          <w:i/>
        </w:rPr>
        <w:t>Corporations Act 2001</w:t>
      </w:r>
      <w:r>
        <w:t xml:space="preserve"> (Cth) by authority of its</w:t>
      </w:r>
      <w:r>
        <w:tab/>
        <w:t>)</w:t>
      </w:r>
    </w:p>
    <w:p>
      <w:pPr>
        <w:pStyle w:val="yMiscellaneousBody"/>
        <w:spacing w:before="0"/>
      </w:pPr>
      <w:r>
        <w:t>Directors:</w:t>
      </w:r>
      <w:r>
        <w:tab/>
      </w:r>
      <w:r>
        <w:tab/>
      </w:r>
      <w:r>
        <w:tab/>
      </w:r>
      <w:r>
        <w:tab/>
        <w:t>)</w:t>
      </w:r>
    </w:p>
    <w:p>
      <w:pPr>
        <w:pStyle w:val="yMiscellaneousBody"/>
      </w:pPr>
    </w:p>
    <w:p>
      <w:pPr>
        <w:pStyle w:val="yMiscellaneousBody"/>
        <w:keepNext/>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 xml:space="preserve">Signature of </w:t>
      </w:r>
      <w:r>
        <w:rPr>
          <w:strike/>
        </w:rPr>
        <w:t>Director</w:t>
      </w:r>
      <w:r>
        <w:t>/Secretary</w:t>
      </w:r>
    </w:p>
    <w:p>
      <w:pPr>
        <w:pStyle w:val="yMiscellaneousBody"/>
        <w:keepNext/>
        <w:tabs>
          <w:tab w:val="left" w:pos="3402"/>
        </w:tabs>
      </w:pPr>
    </w:p>
    <w:p>
      <w:pPr>
        <w:pStyle w:val="yMiscellaneousBody"/>
        <w:tabs>
          <w:tab w:val="left" w:pos="3402"/>
          <w:tab w:val="left" w:pos="3969"/>
          <w:tab w:val="left" w:pos="6804"/>
        </w:tabs>
        <w:rPr>
          <w:u w:val="single"/>
        </w:rPr>
      </w:pPr>
      <w:r>
        <w:rPr>
          <w:u w:val="single"/>
        </w:rPr>
        <w:t>Cassandra Jane Chinkin</w:t>
      </w:r>
      <w:r>
        <w:rPr>
          <w:u w:val="single"/>
        </w:rPr>
        <w:tab/>
      </w:r>
      <w:r>
        <w:tab/>
      </w:r>
      <w:r>
        <w:rPr>
          <w:u w:val="single"/>
        </w:rPr>
        <w:t>Peter Lorbeer</w:t>
      </w:r>
      <w:r>
        <w:rPr>
          <w:u w:val="single"/>
        </w:rPr>
        <w:tab/>
      </w:r>
    </w:p>
    <w:p>
      <w:pPr>
        <w:pStyle w:val="yMiscellaneousBody"/>
        <w:tabs>
          <w:tab w:val="left" w:pos="3402"/>
          <w:tab w:val="left" w:pos="3969"/>
        </w:tabs>
        <w:spacing w:before="0"/>
      </w:pPr>
      <w:r>
        <w:t>Name of Director</w:t>
      </w:r>
      <w:r>
        <w:tab/>
      </w:r>
      <w:r>
        <w:tab/>
        <w:t xml:space="preserve">Name of </w:t>
      </w:r>
      <w:r>
        <w:rPr>
          <w:strike/>
        </w:rPr>
        <w:t>Director</w:t>
      </w:r>
      <w:r>
        <w:t>/Secretary</w:t>
      </w:r>
    </w:p>
    <w:p>
      <w:pPr>
        <w:pStyle w:val="yMiscellaneousBody"/>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OSAKA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with section 127(1) of the</w:t>
      </w:r>
      <w:r>
        <w:rPr>
          <w:i/>
        </w:rPr>
        <w:t xml:space="preserve"> 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Yasuo Kato</w:t>
      </w:r>
      <w:r>
        <w:rPr>
          <w:u w:val="single"/>
        </w:rPr>
        <w:tab/>
      </w:r>
      <w:r>
        <w:tab/>
      </w:r>
      <w:r>
        <w:rPr>
          <w:u w:val="single"/>
        </w:rPr>
        <w:t>Keiji Takemori</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tabs>
          <w:tab w:val="left" w:pos="3402"/>
        </w:tabs>
        <w:rPr>
          <w:b/>
        </w:rPr>
      </w:pPr>
    </w:p>
    <w:p>
      <w:pPr>
        <w:pStyle w:val="yMiscellaneousBody"/>
        <w:rPr>
          <w:b/>
        </w:rPr>
      </w:pPr>
    </w:p>
    <w:p>
      <w:pPr>
        <w:pStyle w:val="yMiscellaneousBody"/>
        <w:rPr>
          <w:b/>
        </w:rPr>
      </w:pPr>
    </w:p>
    <w:p>
      <w:pPr>
        <w:pStyle w:val="yMiscellaneousBody"/>
        <w:spacing w:before="0"/>
      </w:pPr>
      <w:r>
        <w:rPr>
          <w:b/>
        </w:rPr>
        <w:t xml:space="preserve">EXECUTED </w:t>
      </w:r>
      <w:r>
        <w:t xml:space="preserve">by </w:t>
      </w:r>
      <w:r>
        <w:rPr>
          <w:b/>
        </w:rPr>
        <w:t>TOKYO GAS</w:t>
      </w:r>
      <w:r>
        <w:t xml:space="preserve"> </w:t>
      </w:r>
      <w:r>
        <w:tab/>
      </w:r>
      <w:r>
        <w:tab/>
        <w:t>)</w:t>
      </w:r>
    </w:p>
    <w:p>
      <w:pPr>
        <w:pStyle w:val="yMiscellaneousBody"/>
        <w:spacing w:before="0"/>
      </w:pPr>
      <w:r>
        <w:rPr>
          <w:b/>
        </w:rPr>
        <w:t>GORGON PTY LTD</w:t>
      </w:r>
      <w:r>
        <w:t xml:space="preserve"> in accordance </w:t>
      </w:r>
      <w:r>
        <w:tab/>
      </w:r>
      <w:r>
        <w:tab/>
        <w:t>)</w:t>
      </w:r>
    </w:p>
    <w:p>
      <w:pPr>
        <w:pStyle w:val="yMiscellaneousBody"/>
        <w:spacing w:before="0"/>
      </w:pPr>
      <w:r>
        <w:t xml:space="preserve">with section 127(1) of the </w:t>
      </w:r>
      <w:r>
        <w:rPr>
          <w:i/>
        </w:rPr>
        <w:t>Corporations</w:t>
      </w:r>
      <w:r>
        <w:rPr>
          <w:i/>
        </w:rPr>
        <w:tab/>
      </w:r>
      <w:r>
        <w:t>)</w:t>
      </w:r>
    </w:p>
    <w:p>
      <w:pPr>
        <w:pStyle w:val="yMiscellaneousBody"/>
        <w:spacing w:before="0"/>
      </w:pPr>
      <w:r>
        <w:rPr>
          <w:i/>
        </w:rPr>
        <w:t>Act 2001</w:t>
      </w:r>
      <w:r>
        <w:t xml:space="preserve"> (Cth) by authority of its</w:t>
      </w:r>
      <w:r>
        <w:tab/>
      </w:r>
      <w:r>
        <w:tab/>
        <w:t>)</w:t>
      </w:r>
    </w:p>
    <w:p>
      <w:pPr>
        <w:pStyle w:val="yMiscellaneousBody"/>
        <w:spacing w:before="0"/>
      </w:pPr>
      <w:r>
        <w:t>Directors:</w:t>
      </w:r>
      <w:r>
        <w:tab/>
      </w:r>
      <w:r>
        <w:tab/>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tabs>
          <w:tab w:val="left" w:pos="3402"/>
          <w:tab w:val="left" w:pos="4111"/>
        </w:tabs>
      </w:pPr>
    </w:p>
    <w:p>
      <w:pPr>
        <w:pStyle w:val="yMiscellaneousBody"/>
        <w:tabs>
          <w:tab w:val="left" w:pos="3402"/>
          <w:tab w:val="left" w:pos="3969"/>
          <w:tab w:val="left" w:pos="6804"/>
        </w:tabs>
        <w:rPr>
          <w:u w:val="single"/>
        </w:rPr>
      </w:pPr>
      <w:r>
        <w:rPr>
          <w:u w:val="single"/>
        </w:rPr>
        <w:t>Koichi Tanimura</w:t>
      </w:r>
      <w:r>
        <w:rPr>
          <w:u w:val="single"/>
        </w:rPr>
        <w:tab/>
      </w:r>
      <w:r>
        <w:tab/>
      </w:r>
      <w:r>
        <w:rPr>
          <w:u w:val="single"/>
        </w:rPr>
        <w:t>Chris Rumley</w:t>
      </w:r>
      <w:r>
        <w:rPr>
          <w:u w:val="single"/>
        </w:rPr>
        <w:tab/>
      </w:r>
    </w:p>
    <w:p>
      <w:pPr>
        <w:pStyle w:val="yMiscellaneousBody"/>
        <w:tabs>
          <w:tab w:val="left" w:pos="3402"/>
          <w:tab w:val="left" w:pos="3969"/>
        </w:tabs>
        <w:spacing w:before="0"/>
      </w:pPr>
      <w:r>
        <w:t>Name of Director</w:t>
      </w:r>
      <w:r>
        <w:tab/>
      </w:r>
      <w:r>
        <w:tab/>
        <w:t>Name of Director/</w:t>
      </w:r>
      <w:r>
        <w:rPr>
          <w:strike/>
        </w:rPr>
        <w:t>Secretary</w:t>
      </w:r>
    </w:p>
    <w:p>
      <w:pPr>
        <w:pStyle w:val="yMiscellaneousBody"/>
        <w:spacing w:before="0"/>
      </w:pPr>
    </w:p>
    <w:p>
      <w:pPr>
        <w:pStyle w:val="yMiscellaneousBody"/>
      </w:pPr>
    </w:p>
    <w:p>
      <w:pPr>
        <w:pStyle w:val="yMiscellaneousBody"/>
      </w:pPr>
    </w:p>
    <w:p>
      <w:pPr>
        <w:pStyle w:val="yMiscellaneousBody"/>
        <w:spacing w:before="0"/>
      </w:pPr>
      <w:r>
        <w:rPr>
          <w:b/>
        </w:rPr>
        <w:t xml:space="preserve">EXECUTED </w:t>
      </w:r>
      <w:r>
        <w:t xml:space="preserve">by </w:t>
      </w:r>
      <w:r>
        <w:rPr>
          <w:b/>
        </w:rPr>
        <w:t>CHUBU</w:t>
      </w:r>
      <w:r>
        <w:t xml:space="preserve"> </w:t>
      </w:r>
      <w:r>
        <w:tab/>
      </w:r>
      <w:r>
        <w:tab/>
        <w:t>)</w:t>
      </w:r>
    </w:p>
    <w:p>
      <w:pPr>
        <w:pStyle w:val="yMiscellaneousBody"/>
        <w:spacing w:before="0"/>
        <w:rPr>
          <w:b/>
        </w:rPr>
      </w:pPr>
      <w:r>
        <w:rPr>
          <w:b/>
        </w:rPr>
        <w:t>ELECTRIC POWER GORGON</w:t>
      </w:r>
      <w:r>
        <w:rPr>
          <w:b/>
        </w:rPr>
        <w:tab/>
      </w:r>
      <w:r>
        <w:rPr>
          <w:b/>
        </w:rPr>
        <w:tab/>
      </w:r>
      <w:r>
        <w:t>)</w:t>
      </w:r>
    </w:p>
    <w:p>
      <w:pPr>
        <w:pStyle w:val="yMiscellaneousBody"/>
        <w:spacing w:before="0"/>
      </w:pPr>
      <w:r>
        <w:rPr>
          <w:b/>
        </w:rPr>
        <w:t>PTY LTD</w:t>
      </w:r>
      <w:r>
        <w:t xml:space="preserve"> in accordance with section</w:t>
      </w:r>
      <w:r>
        <w:tab/>
      </w:r>
      <w:r>
        <w:tab/>
        <w:t>)</w:t>
      </w:r>
    </w:p>
    <w:p>
      <w:pPr>
        <w:pStyle w:val="yMiscellaneousBody"/>
        <w:spacing w:before="0"/>
      </w:pPr>
      <w:r>
        <w:t>127(1) of the</w:t>
      </w:r>
      <w:r>
        <w:rPr>
          <w:i/>
        </w:rPr>
        <w:t xml:space="preserve"> Corporations Act 2001</w:t>
      </w:r>
      <w:r>
        <w:tab/>
      </w:r>
      <w:r>
        <w:tab/>
        <w:t>)</w:t>
      </w:r>
    </w:p>
    <w:p>
      <w:pPr>
        <w:pStyle w:val="yMiscellaneousBody"/>
        <w:spacing w:before="0"/>
      </w:pPr>
      <w:r>
        <w:t>(Cth) by authority of its Directors:</w:t>
      </w:r>
      <w:r>
        <w:tab/>
      </w:r>
      <w:r>
        <w:tab/>
        <w:t>)</w:t>
      </w:r>
    </w:p>
    <w:p>
      <w:pPr>
        <w:pStyle w:val="yMiscellaneousBody"/>
      </w:pPr>
    </w:p>
    <w:p>
      <w:pPr>
        <w:pStyle w:val="yMiscellaneousBody"/>
        <w:tabs>
          <w:tab w:val="left" w:pos="3402"/>
          <w:tab w:val="left" w:pos="3969"/>
          <w:tab w:val="left" w:pos="6804"/>
        </w:tabs>
        <w:rPr>
          <w:u w:val="single"/>
        </w:rPr>
      </w:pPr>
      <w:r>
        <w:rPr>
          <w:u w:val="single"/>
        </w:rPr>
        <w:t>[Signature]</w:t>
      </w:r>
      <w:r>
        <w:rPr>
          <w:u w:val="single"/>
        </w:rPr>
        <w:tab/>
      </w:r>
      <w:r>
        <w:tab/>
      </w:r>
      <w:r>
        <w:rPr>
          <w:u w:val="single"/>
        </w:rPr>
        <w:t>[Signature]</w:t>
      </w:r>
      <w:r>
        <w:rPr>
          <w:u w:val="single"/>
        </w:rPr>
        <w:tab/>
      </w:r>
    </w:p>
    <w:p>
      <w:pPr>
        <w:pStyle w:val="yMiscellaneousBody"/>
        <w:tabs>
          <w:tab w:val="left" w:pos="3402"/>
          <w:tab w:val="left" w:pos="3969"/>
        </w:tabs>
        <w:spacing w:before="0"/>
      </w:pPr>
      <w:r>
        <w:t>Signature of Director</w:t>
      </w:r>
      <w:r>
        <w:tab/>
      </w:r>
      <w:r>
        <w:tab/>
        <w:t>Signature of Director/</w:t>
      </w:r>
      <w:r>
        <w:rPr>
          <w:strike/>
        </w:rPr>
        <w:t>Secretary</w:t>
      </w:r>
    </w:p>
    <w:p>
      <w:pPr>
        <w:pStyle w:val="yMiscellaneousBody"/>
      </w:pPr>
    </w:p>
    <w:p>
      <w:pPr>
        <w:pStyle w:val="yMiscellaneousBody"/>
        <w:tabs>
          <w:tab w:val="left" w:pos="3402"/>
          <w:tab w:val="left" w:pos="3969"/>
          <w:tab w:val="left" w:pos="6804"/>
        </w:tabs>
        <w:rPr>
          <w:u w:val="single"/>
        </w:rPr>
      </w:pPr>
      <w:r>
        <w:rPr>
          <w:u w:val="single"/>
        </w:rPr>
        <w:t>Yuta Kano</w:t>
      </w:r>
      <w:r>
        <w:rPr>
          <w:u w:val="single"/>
        </w:rPr>
        <w:tab/>
      </w:r>
      <w:r>
        <w:tab/>
      </w:r>
      <w:r>
        <w:rPr>
          <w:u w:val="single"/>
        </w:rPr>
        <w:t>Akira Mikami</w:t>
      </w:r>
      <w:r>
        <w:rPr>
          <w:u w:val="single"/>
        </w:rPr>
        <w:tab/>
      </w:r>
    </w:p>
    <w:p>
      <w:pPr>
        <w:pStyle w:val="yMiscellaneousBody"/>
        <w:tabs>
          <w:tab w:val="left" w:pos="3402"/>
          <w:tab w:val="left" w:pos="3969"/>
        </w:tabs>
        <w:spacing w:before="0"/>
      </w:pPr>
      <w:r>
        <w:t>Name of Director</w:t>
      </w:r>
      <w:r>
        <w:tab/>
      </w:r>
      <w:r>
        <w:tab/>
        <w:t>Name of Director/Secretary</w:t>
      </w:r>
    </w:p>
    <w:p>
      <w:pPr>
        <w:pStyle w:val="yFootnotesection"/>
      </w:pPr>
      <w:r>
        <w:tab/>
        <w:t>[Schedule 2 inserted by No. 24 of 2013 s. 8.]</w:t>
      </w: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2" w:name="_Toc377369862"/>
      <w:bookmarkStart w:id="63" w:name="_Toc414960940"/>
      <w:bookmarkStart w:id="64" w:name="_Toc414960978"/>
      <w:r>
        <w:t>Notes</w:t>
      </w:r>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w:t>
      </w:r>
    </w:p>
    <w:p>
      <w:pPr>
        <w:pStyle w:val="nHeading3"/>
        <w:rPr>
          <w:snapToGrid w:val="0"/>
        </w:rPr>
      </w:pPr>
      <w:bookmarkStart w:id="65" w:name="_Toc377369863"/>
      <w:bookmarkStart w:id="66" w:name="_Toc414960979"/>
      <w:r>
        <w:rPr>
          <w:snapToGrid w:val="0"/>
        </w:rP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tcBorders>
              <w:top w:val="single" w:sz="8" w:space="0" w:color="auto"/>
              <w:bottom w:val="single" w:sz="8" w:space="0" w:color="auto"/>
            </w:tcBorders>
          </w:tcPr>
          <w:p>
            <w:pPr>
              <w:pStyle w:val="nTable"/>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before="100"/>
            </w:pPr>
            <w:r>
              <w:rPr>
                <w:i/>
                <w:noProof/>
                <w:snapToGrid w:val="0"/>
              </w:rPr>
              <w:t>Barrow Island Act 2003</w:t>
            </w:r>
            <w:r>
              <w:rPr>
                <w:i/>
                <w:noProof/>
                <w:snapToGrid w:val="0"/>
                <w:vertAlign w:val="superscript"/>
              </w:rPr>
              <w:t> 2</w:t>
            </w:r>
          </w:p>
        </w:tc>
        <w:tc>
          <w:tcPr>
            <w:tcW w:w="1134" w:type="dxa"/>
          </w:tcPr>
          <w:p>
            <w:pPr>
              <w:pStyle w:val="nTable"/>
              <w:spacing w:before="100"/>
            </w:pPr>
            <w:r>
              <w:t>61 of 2003</w:t>
            </w:r>
          </w:p>
        </w:tc>
        <w:tc>
          <w:tcPr>
            <w:tcW w:w="1134" w:type="dxa"/>
          </w:tcPr>
          <w:p>
            <w:pPr>
              <w:pStyle w:val="nTable"/>
              <w:spacing w:before="100"/>
            </w:pPr>
            <w:r>
              <w:t>20 Nov 2003</w:t>
            </w:r>
          </w:p>
        </w:tc>
        <w:tc>
          <w:tcPr>
            <w:tcW w:w="2551" w:type="dxa"/>
          </w:tcPr>
          <w:p>
            <w:pPr>
              <w:pStyle w:val="nTable"/>
              <w:spacing w:before="100"/>
            </w:pPr>
            <w:r>
              <w:t>Act other than s. 12: 20 Nov 2003 (see s. 2);</w:t>
            </w:r>
          </w:p>
          <w:p>
            <w:pPr>
              <w:pStyle w:val="nTable"/>
              <w:spacing w:before="0"/>
            </w:pPr>
            <w:r>
              <w:t>s. 12 repealed by No. 13 of 2005 s. 48(3)</w:t>
            </w:r>
          </w:p>
        </w:tc>
      </w:tr>
      <w:tr>
        <w:tc>
          <w:tcPr>
            <w:tcW w:w="2268" w:type="dxa"/>
          </w:tcPr>
          <w:p>
            <w:pPr>
              <w:pStyle w:val="nTable"/>
              <w:spacing w:before="100"/>
              <w:rPr>
                <w:i/>
                <w:noProof/>
                <w:snapToGrid w:val="0"/>
              </w:rPr>
            </w:pPr>
            <w:r>
              <w:rPr>
                <w:i/>
                <w:noProof/>
                <w:snapToGrid w:val="0"/>
              </w:rPr>
              <w:t>Petroleum Legislation Amendment and Repeal Act 2005</w:t>
            </w:r>
            <w:r>
              <w:rPr>
                <w:iCs/>
                <w:noProof/>
                <w:snapToGrid w:val="0"/>
              </w:rPr>
              <w:t xml:space="preserve"> s. 48</w:t>
            </w:r>
            <w:r>
              <w:rPr>
                <w:iCs/>
                <w:noProof/>
                <w:snapToGrid w:val="0"/>
                <w:vertAlign w:val="superscript"/>
              </w:rPr>
              <w:t> </w:t>
            </w:r>
          </w:p>
        </w:tc>
        <w:tc>
          <w:tcPr>
            <w:tcW w:w="1134" w:type="dxa"/>
          </w:tcPr>
          <w:p>
            <w:pPr>
              <w:pStyle w:val="nTable"/>
              <w:spacing w:before="100"/>
            </w:pPr>
            <w:r>
              <w:t>13 of 2005</w:t>
            </w:r>
          </w:p>
        </w:tc>
        <w:tc>
          <w:tcPr>
            <w:tcW w:w="1134" w:type="dxa"/>
          </w:tcPr>
          <w:p>
            <w:pPr>
              <w:pStyle w:val="nTable"/>
              <w:spacing w:before="100"/>
            </w:pPr>
            <w:r>
              <w:t>1 Sep 2005</w:t>
            </w:r>
          </w:p>
        </w:tc>
        <w:tc>
          <w:tcPr>
            <w:tcW w:w="2551" w:type="dxa"/>
          </w:tcPr>
          <w:p>
            <w:pPr>
              <w:pStyle w:val="nTable"/>
              <w:spacing w:before="100"/>
              <w:rPr>
                <w:i/>
                <w:iCs/>
              </w:rPr>
            </w:pPr>
            <w:r>
              <w:t xml:space="preserve">28 Mar 2007 (see s. 2 and </w:t>
            </w:r>
            <w:r>
              <w:rPr>
                <w:i/>
                <w:iCs/>
              </w:rPr>
              <w:t xml:space="preserve">Gazette </w:t>
            </w:r>
            <w:r>
              <w:t>27 Mar 2007 p. 1405)</w:t>
            </w:r>
          </w:p>
        </w:tc>
      </w:tr>
      <w:tr>
        <w:tc>
          <w:tcPr>
            <w:tcW w:w="2268" w:type="dxa"/>
          </w:tcPr>
          <w:p>
            <w:pPr>
              <w:pStyle w:val="nTable"/>
              <w:spacing w:before="100"/>
              <w:rPr>
                <w:i/>
                <w:noProof/>
                <w:snapToGrid w:val="0"/>
              </w:rPr>
            </w:pPr>
            <w:r>
              <w:rPr>
                <w:i/>
                <w:snapToGrid w:val="0"/>
              </w:rPr>
              <w:t>Petroleum Amendment Act 2007</w:t>
            </w:r>
            <w:r>
              <w:rPr>
                <w:iCs/>
                <w:snapToGrid w:val="0"/>
              </w:rPr>
              <w:t xml:space="preserve"> s. 90</w:t>
            </w:r>
            <w:r>
              <w:t> </w:t>
            </w:r>
          </w:p>
        </w:tc>
        <w:tc>
          <w:tcPr>
            <w:tcW w:w="1134" w:type="dxa"/>
          </w:tcPr>
          <w:p>
            <w:pPr>
              <w:pStyle w:val="nTable"/>
              <w:spacing w:before="100"/>
            </w:pPr>
            <w:r>
              <w:t>35 of 2007</w:t>
            </w:r>
          </w:p>
        </w:tc>
        <w:tc>
          <w:tcPr>
            <w:tcW w:w="1134" w:type="dxa"/>
          </w:tcPr>
          <w:p>
            <w:pPr>
              <w:pStyle w:val="nTable"/>
              <w:spacing w:before="100"/>
            </w:pPr>
            <w:r>
              <w:t>21 Dec 2007</w:t>
            </w:r>
          </w:p>
        </w:tc>
        <w:tc>
          <w:tcPr>
            <w:tcW w:w="2551" w:type="dxa"/>
          </w:tcPr>
          <w:p>
            <w:pPr>
              <w:pStyle w:val="nTable"/>
              <w:spacing w:before="100"/>
            </w:pPr>
            <w:r>
              <w:t xml:space="preserve">19 Jan 2008 (see s. 2(b) and </w:t>
            </w:r>
            <w:r>
              <w:rPr>
                <w:i/>
                <w:iCs/>
              </w:rPr>
              <w:t>Gazette</w:t>
            </w:r>
            <w:r>
              <w:t xml:space="preserve"> 18 Jan 2008 p. 147)</w:t>
            </w:r>
          </w:p>
        </w:tc>
      </w:tr>
      <w:tr>
        <w:tc>
          <w:tcPr>
            <w:tcW w:w="2268" w:type="dxa"/>
            <w:tcBorders>
              <w:bottom w:val="single" w:sz="4" w:space="0" w:color="auto"/>
            </w:tcBorders>
          </w:tcPr>
          <w:p>
            <w:pPr>
              <w:pStyle w:val="nTable"/>
              <w:spacing w:before="100"/>
              <w:rPr>
                <w:i/>
                <w:snapToGrid w:val="0"/>
              </w:rPr>
            </w:pPr>
            <w:r>
              <w:rPr>
                <w:i/>
                <w:snapToGrid w:val="0"/>
              </w:rPr>
              <w:t>Barrow Island Amendment Act 2013</w:t>
            </w:r>
          </w:p>
        </w:tc>
        <w:tc>
          <w:tcPr>
            <w:tcW w:w="1134" w:type="dxa"/>
            <w:tcBorders>
              <w:bottom w:val="single" w:sz="4" w:space="0" w:color="auto"/>
            </w:tcBorders>
          </w:tcPr>
          <w:p>
            <w:pPr>
              <w:pStyle w:val="nTable"/>
              <w:spacing w:before="100"/>
            </w:pPr>
            <w:r>
              <w:t>24 of 2013</w:t>
            </w:r>
          </w:p>
        </w:tc>
        <w:tc>
          <w:tcPr>
            <w:tcW w:w="1134" w:type="dxa"/>
            <w:tcBorders>
              <w:bottom w:val="single" w:sz="4" w:space="0" w:color="auto"/>
            </w:tcBorders>
          </w:tcPr>
          <w:p>
            <w:pPr>
              <w:pStyle w:val="nTable"/>
              <w:spacing w:before="100"/>
            </w:pPr>
            <w:r>
              <w:t>18 Dec 2013</w:t>
            </w:r>
          </w:p>
        </w:tc>
        <w:tc>
          <w:tcPr>
            <w:tcW w:w="2551" w:type="dxa"/>
            <w:tcBorders>
              <w:bottom w:val="single" w:sz="4" w:space="0" w:color="auto"/>
            </w:tcBorders>
          </w:tcPr>
          <w:p>
            <w:pPr>
              <w:pStyle w:val="nTable"/>
              <w:spacing w:before="100"/>
              <w:rPr>
                <w:i/>
              </w:rPr>
            </w:pPr>
            <w:r>
              <w:t>s. 1 and 2: 18 Dec 2013 (see s. 2(a));</w:t>
            </w:r>
            <w:r>
              <w:br/>
              <w:t>Act other than s. 1 and 2: 19 Dec 2013 see s. 2(b))</w:t>
            </w:r>
          </w:p>
        </w:tc>
      </w:tr>
    </w:tbl>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8" w:name="_Toc414960980"/>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2013 variation agreement</w:t>
      </w:r>
      <w:r>
        <w:tab/>
        <w:t>3</w:t>
      </w:r>
    </w:p>
    <w:p>
      <w:pPr>
        <w:pStyle w:val="DefinedTerms"/>
      </w:pPr>
      <w:r>
        <w:t>Barrow Island lease</w:t>
      </w:r>
      <w:r>
        <w:tab/>
        <w:t>3</w:t>
      </w:r>
    </w:p>
    <w:p>
      <w:pPr>
        <w:pStyle w:val="DefinedTerms"/>
      </w:pPr>
      <w:r>
        <w:t>Barrow Island lessee</w:t>
      </w:r>
      <w:r>
        <w:tab/>
        <w:t>3</w:t>
      </w:r>
    </w:p>
    <w:p>
      <w:pPr>
        <w:pStyle w:val="DefinedTerms"/>
      </w:pPr>
      <w:r>
        <w:t>BI Act Minister</w:t>
      </w:r>
      <w:r>
        <w:tab/>
        <w:t>3</w:t>
      </w:r>
    </w:p>
    <w:p>
      <w:pPr>
        <w:pStyle w:val="DefinedTerms"/>
      </w:pPr>
      <w:r>
        <w:t>CALM Act Minister</w:t>
      </w:r>
      <w:r>
        <w:tab/>
        <w:t>3</w:t>
      </w:r>
    </w:p>
    <w:p>
      <w:pPr>
        <w:pStyle w:val="DefinedTerms"/>
      </w:pPr>
      <w:r>
        <w:t>carbon dioxide</w:t>
      </w:r>
      <w:r>
        <w:tab/>
        <w:t>3</w:t>
      </w:r>
    </w:p>
    <w:p>
      <w:pPr>
        <w:pStyle w:val="DefinedTerms"/>
      </w:pPr>
      <w:r>
        <w:t>gas</w:t>
      </w:r>
      <w:r>
        <w:tab/>
        <w:t>3</w:t>
      </w:r>
    </w:p>
    <w:p>
      <w:pPr>
        <w:pStyle w:val="DefinedTerms"/>
      </w:pPr>
      <w:r>
        <w:t>gas processing project purpose</w:t>
      </w:r>
      <w:r>
        <w:tab/>
        <w:t>3</w:t>
      </w:r>
    </w:p>
    <w:p>
      <w:pPr>
        <w:pStyle w:val="DefinedTerms"/>
      </w:pPr>
      <w:r>
        <w:t>LA Act</w:t>
      </w:r>
      <w:r>
        <w:tab/>
        <w:t>3</w:t>
      </w:r>
    </w:p>
    <w:p>
      <w:pPr>
        <w:pStyle w:val="DefinedTerms"/>
      </w:pPr>
      <w:r>
        <w:t>LA Act Minister</w:t>
      </w:r>
      <w:r>
        <w:tab/>
        <w:t>3</w:t>
      </w:r>
    </w:p>
    <w:p>
      <w:pPr>
        <w:pStyle w:val="DefinedTerms"/>
      </w:pPr>
      <w:r>
        <w:t>the Agreement</w:t>
      </w:r>
      <w:r>
        <w:tab/>
        <w:t>3</w:t>
      </w:r>
    </w:p>
    <w:p>
      <w:pPr>
        <w:pStyle w:val="DefinedTerms"/>
      </w:pPr>
      <w:r>
        <w:t>the reserve</w:t>
      </w:r>
      <w:r>
        <w:tab/>
        <w:t>3</w:t>
      </w:r>
    </w:p>
    <w:p>
      <w:pPr>
        <w:pStyle w:val="DefinedTerms"/>
      </w:pPr>
      <w:r>
        <w:t>uncleared land</w:t>
      </w:r>
      <w:r>
        <w:tab/>
        <w:t>9(2)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A1B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26C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32B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D27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6E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FD2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5DAC9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4113817"/>
    <w:docVar w:name="WAFER_20131219142125" w:val="RemoveTocBookmarks,RemoveUnusedBookmarks,RemoveLanguageTags,UsedStyles,ResetPageSize,UpdateArrangement"/>
    <w:docVar w:name="WAFER_20131219142125_GUID" w:val="c8bd90ba-8267-491f-9ff8-477fbbdfbad3"/>
    <w:docVar w:name="WAFER_20140113093436" w:val="RemoveTocBookmarks,RemoveUnusedBookmarks,RemoveLanguageTags,UsedStyles,ResetPageSize,UpdateArrangement"/>
    <w:docVar w:name="WAFER_20140113093436_GUID" w:val="c43cdab0-c6dd-4c2e-93e7-52fa2aa17420"/>
    <w:docVar w:name="WAFER_20140113094301" w:val="RemoveTocBookmarks,RunningHeaders"/>
    <w:docVar w:name="WAFER_20140113094301_GUID" w:val="721d4863-8cba-43d4-9949-0b20184f69b6"/>
    <w:docVar w:name="WAFER_20150324113817" w:val="ResetPageSize,UpdateArrangement,UpdateNTable"/>
    <w:docVar w:name="WAFER_20150324113817_GUID" w:val="cb154d16-8fbd-4e6d-946f-6001baf2d9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17999</Words>
  <Characters>89639</Characters>
  <Application>Microsoft Office Word</Application>
  <DocSecurity>0</DocSecurity>
  <Lines>2358</Lines>
  <Paragraphs>854</Paragraphs>
  <ScaleCrop>false</ScaleCrop>
  <HeadingPairs>
    <vt:vector size="2" baseType="variant">
      <vt:variant>
        <vt:lpstr>Title</vt:lpstr>
      </vt:variant>
      <vt:variant>
        <vt:i4>1</vt:i4>
      </vt:variant>
    </vt:vector>
  </HeadingPairs>
  <TitlesOfParts>
    <vt:vector size="1" baseType="lpstr">
      <vt:lpstr>Barrow Island Act 2003</vt:lpstr>
    </vt:vector>
  </TitlesOfParts>
  <Manager/>
  <Company/>
  <LinksUpToDate>false</LinksUpToDate>
  <CharactersWithSpaces>106784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2003 - 00-e0-04</dc:title>
  <dc:subject/>
  <dc:creator/>
  <cp:keywords/>
  <dc:description/>
  <cp:lastModifiedBy>svcMRProcess</cp:lastModifiedBy>
  <cp:revision>4</cp:revision>
  <cp:lastPrinted>2007-03-27T04:35:00Z</cp:lastPrinted>
  <dcterms:created xsi:type="dcterms:W3CDTF">2020-02-13T10:20:00Z</dcterms:created>
  <dcterms:modified xsi:type="dcterms:W3CDTF">2020-02-13T10:20:00Z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20131219</vt:lpwstr>
  </property>
  <property fmtid="{D5CDD505-2E9C-101B-9397-08002B2CF9AE}" pid="4" name="DocumentType">
    <vt:lpwstr>Act</vt:lpwstr>
  </property>
  <property fmtid="{D5CDD505-2E9C-101B-9397-08002B2CF9AE}" pid="5" name="OwlsUID">
    <vt:i4>6988</vt:i4>
  </property>
  <property fmtid="{D5CDD505-2E9C-101B-9397-08002B2CF9AE}" pid="6" name="AsAtDate">
    <vt:lpwstr>19 Dec 2013</vt:lpwstr>
  </property>
  <property fmtid="{D5CDD505-2E9C-101B-9397-08002B2CF9AE}" pid="7" name="Suffix">
    <vt:lpwstr>00-e0-04</vt:lpwstr>
  </property>
</Properties>
</file>