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20.xml" ContentType="application/vnd.openxmlformats-officedocument.wordprocessingml.header+xml"/>
  <Override PartName="/word/footer12.xml" ContentType="application/vnd.openxmlformats-officedocument.wordprocessingml.foot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pacing w:before="120" w:after="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6" name="Picture 6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martTag w:uri="urn:schemas-microsoft-com:office:smarttags" w:element="State">
        <w:smartTag w:uri="urn:schemas-microsoft-com:office:smarttags" w:element="place">
          <w:r>
            <w:t>Western Australia</w:t>
          </w:r>
        </w:smartTag>
      </w:smartTag>
    </w:p>
    <w:p>
      <w:pPr>
        <w:pStyle w:val="PrincipalActReg"/>
        <w:spacing w:before="2600" w:after="0"/>
      </w:pPr>
      <w:r>
        <w:rPr>
          <w:snapToGrid w:val="0"/>
        </w:rPr>
        <w:t>Construction Industry Portable Paid Long Service Leave Act 1985</w:t>
      </w:r>
    </w:p>
    <w:p>
      <w:pPr>
        <w:pStyle w:val="NameofActRegPage1"/>
        <w:spacing w:before="1800" w:after="420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Construction Industry Portable Paid Long Service Leave Regulations 1986</w:t>
      </w:r>
      <w:r>
        <w:fldChar w:fldCharType="end"/>
      </w:r>
    </w:p>
    <w:p>
      <w:pPr>
        <w:jc w:val="center"/>
        <w:rPr>
          <w:b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spacing w:before="120"/>
      </w:pPr>
      <w:smartTag w:uri="urn:schemas-microsoft-com:office:smarttags" w:element="State">
        <w:smartTag w:uri="urn:schemas-microsoft-com:office:smarttags" w:element="place">
          <w:r>
            <w:lastRenderedPageBreak/>
            <w:t>Western Australia</w:t>
          </w:r>
        </w:smartTag>
      </w:smartTag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Construction Industry Portable Paid Long Service Leave Regulations 1986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2,2,nHeading 2,2,zHeading 2,3,zyScheduleHeading,3,zyHeading 2,3,Heading 3,4,yHeading 3,4,zHeading 3,5,zyHeading 3,5,Heading 4,6,yHeading 4,6,zHeading 4,7,zyHeading 4,7,Heading 5,8,nHeading 3,8,yHeading 5,8,zHeading 5,9,zyHeading 5,9" \t "nHeading 2,2,nHeading 3,8" \n "2</w:instrText>
      </w:r>
      <w:r>
        <w:noBreakHyphen/>
        <w:instrText xml:space="preserve">7" \w \* MERGEFORMAT </w:instrText>
      </w:r>
      <w:r>
        <w:fldChar w:fldCharType="separate"/>
      </w:r>
      <w: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r>
        <w:tab/>
      </w:r>
      <w:r>
        <w:fldChar w:fldCharType="begin"/>
      </w:r>
      <w:r>
        <w:instrText xml:space="preserve"> PAGEREF _Toc377371793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napToGrid w:val="0"/>
        </w:rPr>
        <w:t>.</w:t>
      </w:r>
      <w:r>
        <w:rPr>
          <w:snapToGrid w:val="0"/>
        </w:rPr>
        <w:tab/>
        <w:t>Prescribed awards</w:t>
      </w:r>
      <w:r>
        <w:tab/>
      </w:r>
      <w:r>
        <w:fldChar w:fldCharType="begin"/>
      </w:r>
      <w:r>
        <w:instrText xml:space="preserve"> PAGEREF _Toc377371794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>
        <w:rPr>
          <w:snapToGrid w:val="0"/>
        </w:rPr>
        <w:t>.</w:t>
      </w:r>
      <w:r>
        <w:rPr>
          <w:snapToGrid w:val="0"/>
        </w:rPr>
        <w:tab/>
        <w:t>Prescribed classifications of work</w:t>
      </w:r>
      <w:r>
        <w:tab/>
      </w:r>
      <w:r>
        <w:fldChar w:fldCharType="begin"/>
      </w:r>
      <w:r>
        <w:instrText xml:space="preserve"> PAGEREF _Toc377371795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</w:t>
      </w:r>
      <w:r>
        <w:rPr>
          <w:snapToGrid w:val="0"/>
        </w:rPr>
        <w:t>.</w:t>
      </w:r>
      <w:r>
        <w:rPr>
          <w:snapToGrid w:val="0"/>
        </w:rPr>
        <w:tab/>
        <w:t>Common seal</w:t>
      </w:r>
      <w:r>
        <w:tab/>
      </w:r>
      <w:r>
        <w:fldChar w:fldCharType="begin"/>
      </w:r>
      <w:r>
        <w:instrText xml:space="preserve"> PAGEREF _Toc377371796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</w:t>
      </w:r>
      <w:r>
        <w:rPr>
          <w:snapToGrid w:val="0"/>
        </w:rPr>
        <w:t>.</w:t>
      </w:r>
      <w:r>
        <w:rPr>
          <w:snapToGrid w:val="0"/>
        </w:rPr>
        <w:tab/>
        <w:t>Amount of notifiable contracts</w:t>
      </w:r>
      <w:r>
        <w:tab/>
      </w:r>
      <w:r>
        <w:fldChar w:fldCharType="begin"/>
      </w:r>
      <w:r>
        <w:instrText xml:space="preserve"> PAGEREF _Toc377371797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5A.</w:t>
      </w:r>
      <w:r>
        <w:tab/>
        <w:t>Prescribed corresponding laws</w:t>
      </w:r>
      <w:r>
        <w:tab/>
      </w:r>
      <w:r>
        <w:fldChar w:fldCharType="begin"/>
      </w:r>
      <w:r>
        <w:instrText xml:space="preserve"> PAGEREF _Toc377371798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6</w:t>
      </w:r>
      <w:r>
        <w:rPr>
          <w:snapToGrid w:val="0"/>
        </w:rPr>
        <w:t>.</w:t>
      </w:r>
      <w:r>
        <w:rPr>
          <w:snapToGrid w:val="0"/>
        </w:rPr>
        <w:tab/>
        <w:t>Prescribed period for section 31</w:t>
      </w:r>
      <w:r>
        <w:tab/>
      </w:r>
      <w:r>
        <w:fldChar w:fldCharType="begin"/>
      </w:r>
      <w:r>
        <w:instrText xml:space="preserve"> PAGEREF _Toc377371799 \h </w:instrText>
      </w:r>
      <w:r>
        <w:fldChar w:fldCharType="separate"/>
      </w:r>
      <w:r>
        <w:t>3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7</w:t>
      </w:r>
      <w:r>
        <w:rPr>
          <w:snapToGrid w:val="0"/>
        </w:rPr>
        <w:t>.</w:t>
      </w:r>
      <w:r>
        <w:rPr>
          <w:snapToGrid w:val="0"/>
        </w:rPr>
        <w:tab/>
        <w:t>Information required for section 32</w:t>
      </w:r>
      <w:r>
        <w:tab/>
      </w:r>
      <w:r>
        <w:fldChar w:fldCharType="begin"/>
      </w:r>
      <w:r>
        <w:instrText xml:space="preserve"> PAGEREF _Toc377371800 \h </w:instrText>
      </w:r>
      <w:r>
        <w:fldChar w:fldCharType="separate"/>
      </w:r>
      <w:r>
        <w:t>3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8</w:t>
      </w:r>
      <w:r>
        <w:rPr>
          <w:snapToGrid w:val="0"/>
        </w:rPr>
        <w:t>.</w:t>
      </w:r>
      <w:r>
        <w:rPr>
          <w:snapToGrid w:val="0"/>
        </w:rPr>
        <w:tab/>
        <w:t>Amount prescribed for section 34</w:t>
      </w:r>
      <w:r>
        <w:tab/>
      </w:r>
      <w:r>
        <w:fldChar w:fldCharType="begin"/>
      </w:r>
      <w:r>
        <w:instrText xml:space="preserve"> PAGEREF _Toc377371801 \h </w:instrText>
      </w:r>
      <w:r>
        <w:fldChar w:fldCharType="separate"/>
      </w:r>
      <w:r>
        <w:t>3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9</w:t>
      </w:r>
      <w:r>
        <w:rPr>
          <w:snapToGrid w:val="0"/>
        </w:rPr>
        <w:t>.</w:t>
      </w:r>
      <w:r>
        <w:rPr>
          <w:snapToGrid w:val="0"/>
        </w:rPr>
        <w:tab/>
        <w:t>Certificate of appointment of inspector</w:t>
      </w:r>
      <w:r>
        <w:tab/>
      </w:r>
      <w:r>
        <w:fldChar w:fldCharType="begin"/>
      </w:r>
      <w:r>
        <w:instrText xml:space="preserve"> PAGEREF _Toc377371802 \h </w:instrText>
      </w:r>
      <w:r>
        <w:fldChar w:fldCharType="separate"/>
      </w:r>
      <w:r>
        <w:t>4</w:t>
      </w:r>
      <w:r>
        <w:fldChar w:fldCharType="end"/>
      </w:r>
    </w:p>
    <w:p>
      <w:pPr>
        <w:pStyle w:val="TOC2"/>
        <w:tabs>
          <w:tab w:val="right" w:leader="dot" w:pos="7086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Schedule 1 — Prescribed awards and classifications of work</w:t>
      </w:r>
    </w:p>
    <w:p>
      <w:pPr>
        <w:pStyle w:val="TOC4"/>
        <w:tabs>
          <w:tab w:val="right" w:leader="dot" w:pos="7086"/>
        </w:tabs>
        <w:rPr>
          <w:rFonts w:asciiTheme="minorHAnsi" w:eastAsiaTheme="minorEastAsia" w:hAnsiTheme="minorHAnsi" w:cstheme="minorBidi"/>
          <w:b w:val="0"/>
          <w:szCs w:val="22"/>
        </w:rPr>
      </w:pPr>
      <w:r>
        <w:t>Division 1</w:t>
      </w:r>
      <w:r>
        <w:rPr>
          <w:b w:val="0"/>
        </w:rPr>
        <w:t> — </w:t>
      </w:r>
      <w:r>
        <w:t xml:space="preserve">Awards given continuing effect under the </w:t>
      </w:r>
      <w:r>
        <w:rPr>
          <w:i/>
        </w:rPr>
        <w:t>Fair Work (Transitional Provisions and Consequential Amendments) Act 2009</w:t>
      </w:r>
      <w:r>
        <w:t xml:space="preserve"> (Commonwealth)</w:t>
      </w:r>
    </w:p>
    <w:p>
      <w:pPr>
        <w:pStyle w:val="TOC4"/>
        <w:tabs>
          <w:tab w:val="right" w:leader="dot" w:pos="7086"/>
        </w:tabs>
        <w:rPr>
          <w:rFonts w:asciiTheme="minorHAnsi" w:eastAsiaTheme="minorEastAsia" w:hAnsiTheme="minorHAnsi" w:cstheme="minorBidi"/>
          <w:b w:val="0"/>
          <w:szCs w:val="22"/>
        </w:rPr>
      </w:pPr>
      <w:r>
        <w:t>Division 2</w:t>
      </w:r>
      <w:r>
        <w:rPr>
          <w:b w:val="0"/>
        </w:rPr>
        <w:t> — </w:t>
      </w:r>
      <w:r>
        <w:t xml:space="preserve">Awards under the </w:t>
      </w:r>
      <w:r>
        <w:rPr>
          <w:i/>
        </w:rPr>
        <w:t>Industrial Relations Act 1979</w:t>
      </w:r>
    </w:p>
    <w:p>
      <w:pPr>
        <w:pStyle w:val="TOC2"/>
        <w:tabs>
          <w:tab w:val="right" w:leader="dot" w:pos="7086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Schedule 2</w:t>
      </w:r>
    </w:p>
    <w:p>
      <w:pPr>
        <w:pStyle w:val="TOC2"/>
        <w:tabs>
          <w:tab w:val="right" w:leader="dot" w:pos="7086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rPr>
          <w:snapToGrid w:val="0"/>
        </w:rPr>
        <w:tab/>
        <w:t>Compilation table</w:t>
      </w:r>
      <w:r>
        <w:tab/>
      </w:r>
      <w:r>
        <w:fldChar w:fldCharType="begin"/>
      </w:r>
      <w:r>
        <w:instrText xml:space="preserve"> PAGEREF _Toc377371808 \h </w:instrText>
      </w:r>
      <w:r>
        <w:fldChar w:fldCharType="separate"/>
      </w:r>
      <w:r>
        <w:t>10</w:t>
      </w:r>
      <w:r>
        <w:fldChar w:fldCharType="end"/>
      </w:r>
    </w:p>
    <w:p>
      <w:pPr>
        <w:pStyle w:val="TOC2"/>
        <w:tabs>
          <w:tab w:val="right" w:leader="dot" w:pos="7086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Defined terms</w:t>
      </w:r>
    </w:p>
    <w:p>
      <w:r>
        <w:fldChar w:fldCharType="end"/>
      </w:r>
    </w:p>
    <w:p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spacing w:before="120"/>
      </w:pPr>
      <w:smartTag w:uri="urn:schemas-microsoft-com:office:smarttags" w:element="State">
        <w:smartTag w:uri="urn:schemas-microsoft-com:office:smarttags" w:element="place">
          <w:r>
            <w:t>Western Australia</w:t>
          </w:r>
        </w:smartTag>
      </w:smartTag>
    </w:p>
    <w:p>
      <w:pPr>
        <w:pStyle w:val="PrincipalActReg"/>
        <w:rPr>
          <w:snapToGrid w:val="0"/>
        </w:rPr>
      </w:pPr>
      <w:r>
        <w:rPr>
          <w:snapToGrid w:val="0"/>
        </w:rPr>
        <w:t>Construction Industry Portable Paid Long Service Leave Act 1985</w:t>
      </w:r>
    </w:p>
    <w:p>
      <w:pPr>
        <w:pStyle w:val="NameofActReg"/>
        <w:spacing w:after="400"/>
      </w:pPr>
      <w:r>
        <w:t>Construction Industry Portable Paid Long Service Leave Regulations 1986</w:t>
      </w:r>
    </w:p>
    <w:p>
      <w:pPr>
        <w:pStyle w:val="Heading5"/>
        <w:rPr>
          <w:snapToGrid w:val="0"/>
        </w:rPr>
      </w:pPr>
      <w:bookmarkStart w:id="1" w:name="_Toc377371793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1"/>
      <w:r>
        <w:rPr>
          <w:snapToGrid w:val="0"/>
        </w:rPr>
        <w:t xml:space="preserve"> </w:t>
      </w:r>
    </w:p>
    <w:p>
      <w:pPr>
        <w:pStyle w:val="Subsection"/>
        <w:spacing w:before="120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Construction Industry Portable Paid Long Service Leave Regulations 1986</w:t>
      </w:r>
      <w:r>
        <w:rPr>
          <w:snapToGrid w:val="0"/>
        </w:rPr>
        <w:t xml:space="preserve"> </w:t>
      </w:r>
      <w:r>
        <w:rPr>
          <w:snapToGrid w:val="0"/>
          <w:vertAlign w:val="superscript"/>
        </w:rPr>
        <w:t>1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2" w:name="_Toc377371794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Prescribed awards</w:t>
      </w:r>
      <w:bookmarkEnd w:id="2"/>
      <w:r>
        <w:rPr>
          <w:snapToGrid w:val="0"/>
        </w:rPr>
        <w:t xml:space="preserve"> </w:t>
      </w:r>
    </w:p>
    <w:p>
      <w:pPr>
        <w:pStyle w:val="Subsection"/>
        <w:spacing w:before="120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awards mentioned in Schedule 1 are prescribed under section 3(4)(b) of the Act.</w:t>
      </w:r>
    </w:p>
    <w:p>
      <w:pPr>
        <w:pStyle w:val="Footnotesection"/>
      </w:pPr>
      <w:r>
        <w:tab/>
        <w:t>[Regulation 2 amended in Gazette 20 Feb 2004 p. 603; 10 Jul 2012 p. 3057.]</w:t>
      </w:r>
    </w:p>
    <w:p>
      <w:pPr>
        <w:pStyle w:val="Heading5"/>
        <w:rPr>
          <w:snapToGrid w:val="0"/>
        </w:rPr>
      </w:pPr>
      <w:bookmarkStart w:id="3" w:name="_Toc377371795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Prescribed classifications of work</w:t>
      </w:r>
      <w:bookmarkEnd w:id="3"/>
      <w:r>
        <w:rPr>
          <w:snapToGrid w:val="0"/>
        </w:rPr>
        <w:t xml:space="preserve"> </w:t>
      </w:r>
    </w:p>
    <w:p>
      <w:pPr>
        <w:pStyle w:val="Subsection"/>
        <w:spacing w:before="120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Subject to subregulation (2), all classifications of work referred to in an award mentioned in Schedule 1 are prescribed under section 3(4)(a) of the Act.</w:t>
      </w:r>
    </w:p>
    <w:p>
      <w:pPr>
        <w:pStyle w:val="Subsection"/>
        <w:spacing w:before="120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Where an exception, condition or limitation appears opposite the reference to an award, the classifications of work are so prescribed subject to that exception, condition or limitation.</w:t>
      </w:r>
    </w:p>
    <w:p>
      <w:pPr>
        <w:pStyle w:val="Subsection"/>
        <w:spacing w:before="120"/>
        <w:rPr>
          <w:snapToGrid w:val="0"/>
        </w:rPr>
      </w:pPr>
      <w:r>
        <w:rPr>
          <w:snapToGrid w:val="0"/>
        </w:rPr>
        <w:tab/>
        <w:t>(3)</w:t>
      </w:r>
      <w:r>
        <w:rPr>
          <w:snapToGrid w:val="0"/>
        </w:rPr>
        <w:tab/>
        <w:t xml:space="preserve">In Schedule 1 </w:t>
      </w:r>
      <w:r>
        <w:rPr>
          <w:rStyle w:val="CharDefText"/>
        </w:rPr>
        <w:t>temporary employee</w:t>
      </w:r>
      <w:r>
        <w:rPr>
          <w:snapToGrid w:val="0"/>
        </w:rPr>
        <w:t xml:space="preserve"> means a person who does not hold a permanent position but whose continuity of employment depends on the availability of work.</w:t>
      </w:r>
    </w:p>
    <w:p>
      <w:pPr>
        <w:pStyle w:val="Footnotesection"/>
      </w:pPr>
      <w:r>
        <w:tab/>
        <w:t>[Regulation 3 amended in Gazette 10 Jul 2012 p. 3057.]</w:t>
      </w:r>
    </w:p>
    <w:p>
      <w:pPr>
        <w:pStyle w:val="Heading5"/>
        <w:rPr>
          <w:snapToGrid w:val="0"/>
        </w:rPr>
      </w:pPr>
      <w:bookmarkStart w:id="4" w:name="_Toc377371796"/>
      <w:r>
        <w:rPr>
          <w:rStyle w:val="CharSectno"/>
        </w:rPr>
        <w:t>4</w:t>
      </w:r>
      <w:r>
        <w:rPr>
          <w:snapToGrid w:val="0"/>
        </w:rPr>
        <w:t>.</w:t>
      </w:r>
      <w:r>
        <w:rPr>
          <w:snapToGrid w:val="0"/>
        </w:rPr>
        <w:tab/>
        <w:t>Common seal</w:t>
      </w:r>
      <w:bookmarkEnd w:id="4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The common seal of the Board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shall be kept in the custody of the chief executive officer;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shall be affixed to a document only on the authority of a resolution of the Board and in the presence of not less than 2 members.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Each such member shall sign the document to attest that the common seal was duly affixed to it.</w:t>
      </w:r>
    </w:p>
    <w:p>
      <w:pPr>
        <w:pStyle w:val="Heading5"/>
        <w:rPr>
          <w:snapToGrid w:val="0"/>
        </w:rPr>
      </w:pPr>
      <w:bookmarkStart w:id="5" w:name="_Toc377371797"/>
      <w:r>
        <w:rPr>
          <w:rStyle w:val="CharSectno"/>
        </w:rPr>
        <w:t>5</w:t>
      </w:r>
      <w:r>
        <w:rPr>
          <w:snapToGrid w:val="0"/>
        </w:rPr>
        <w:t>.</w:t>
      </w:r>
      <w:r>
        <w:rPr>
          <w:snapToGrid w:val="0"/>
        </w:rPr>
        <w:tab/>
        <w:t>Amount of notifiable contracts</w:t>
      </w:r>
      <w:bookmarkEnd w:id="5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prescribed amount for the purposes of section 17 of the Act is $40 000.</w:t>
      </w:r>
    </w:p>
    <w:p>
      <w:pPr>
        <w:pStyle w:val="Heading5"/>
      </w:pPr>
      <w:bookmarkStart w:id="6" w:name="_Toc377371798"/>
      <w:r>
        <w:rPr>
          <w:rStyle w:val="CharSectno"/>
        </w:rPr>
        <w:t>5A</w:t>
      </w:r>
      <w:r>
        <w:t>.</w:t>
      </w:r>
      <w:r>
        <w:tab/>
        <w:t>Prescribed corresponding laws</w:t>
      </w:r>
      <w:bookmarkEnd w:id="6"/>
    </w:p>
    <w:p>
      <w:pPr>
        <w:pStyle w:val="Subsection"/>
      </w:pPr>
      <w:r>
        <w:tab/>
      </w:r>
      <w:r>
        <w:tab/>
        <w:t xml:space="preserve">Each of the following laws is prescribed as a corresponding law for the purposes of section 29A of the Act — </w:t>
      </w:r>
    </w:p>
    <w:p>
      <w:pPr>
        <w:pStyle w:val="Indenta"/>
      </w:pPr>
      <w:r>
        <w:tab/>
        <w:t>(a)</w:t>
      </w:r>
      <w:r>
        <w:tab/>
        <w:t xml:space="preserve">the </w:t>
      </w:r>
      <w:r>
        <w:rPr>
          <w:i/>
        </w:rPr>
        <w:t>Building and Construction Industry Long Service Payments Act 1986</w:t>
      </w:r>
      <w:r>
        <w:t xml:space="preserve"> (</w:t>
      </w:r>
      <w:smartTag w:uri="urn:schemas-microsoft-com:office:smarttags" w:element="place">
        <w:smartTag w:uri="urn:schemas-microsoft-com:office:smarttags" w:element="State">
          <w:r>
            <w:t>New South Wales</w:t>
          </w:r>
        </w:smartTag>
      </w:smartTag>
      <w:r>
        <w:t>);</w:t>
      </w:r>
    </w:p>
    <w:p>
      <w:pPr>
        <w:pStyle w:val="Indenta"/>
      </w:pPr>
      <w:r>
        <w:tab/>
        <w:t>(b)</w:t>
      </w:r>
      <w:r>
        <w:tab/>
        <w:t xml:space="preserve">the </w:t>
      </w:r>
      <w:r>
        <w:rPr>
          <w:i/>
        </w:rPr>
        <w:t>Building and Construction Industry (Portable Long Service Leave) Act 1991</w:t>
      </w:r>
      <w:r>
        <w:t xml:space="preserve"> (</w:t>
      </w:r>
      <w:smartTag w:uri="urn:schemas-microsoft-com:office:smarttags" w:element="place">
        <w:smartTag w:uri="urn:schemas-microsoft-com:office:smarttags" w:element="State">
          <w:r>
            <w:t>Queensland</w:t>
          </w:r>
        </w:smartTag>
      </w:smartTag>
      <w:r>
        <w:t>);</w:t>
      </w:r>
    </w:p>
    <w:p>
      <w:pPr>
        <w:pStyle w:val="Indenta"/>
      </w:pPr>
      <w:r>
        <w:tab/>
        <w:t>(c)</w:t>
      </w:r>
      <w:r>
        <w:tab/>
        <w:t xml:space="preserve">the </w:t>
      </w:r>
      <w:r>
        <w:rPr>
          <w:i/>
        </w:rPr>
        <w:t>Construction Industry Long Service Leave Act 1997</w:t>
      </w:r>
      <w:r>
        <w:t xml:space="preserve"> (</w:t>
      </w:r>
      <w:smartTag w:uri="urn:schemas-microsoft-com:office:smarttags" w:element="place">
        <w:smartTag w:uri="urn:schemas-microsoft-com:office:smarttags" w:element="State">
          <w:r>
            <w:t>Victoria</w:t>
          </w:r>
        </w:smartTag>
      </w:smartTag>
      <w:r>
        <w:t>);</w:t>
      </w:r>
    </w:p>
    <w:p>
      <w:pPr>
        <w:pStyle w:val="Indenta"/>
      </w:pPr>
      <w:r>
        <w:tab/>
        <w:t>(d)</w:t>
      </w:r>
      <w:r>
        <w:tab/>
        <w:t xml:space="preserve">the </w:t>
      </w:r>
      <w:r>
        <w:rPr>
          <w:i/>
        </w:rPr>
        <w:t>Construction Industry (Long Service) Act 1997</w:t>
      </w:r>
      <w:r>
        <w:t xml:space="preserve"> (</w:t>
      </w:r>
      <w:smartTag w:uri="urn:schemas-microsoft-com:office:smarttags" w:element="place">
        <w:smartTag w:uri="urn:schemas-microsoft-com:office:smarttags" w:element="State">
          <w:r>
            <w:t>Tasmania</w:t>
          </w:r>
        </w:smartTag>
      </w:smartTag>
      <w:r>
        <w:t>);</w:t>
      </w:r>
    </w:p>
    <w:p>
      <w:pPr>
        <w:pStyle w:val="Indenta"/>
      </w:pPr>
      <w:r>
        <w:tab/>
        <w:t>(e)</w:t>
      </w:r>
      <w:r>
        <w:tab/>
        <w:t xml:space="preserve">the </w:t>
      </w:r>
      <w:r>
        <w:rPr>
          <w:i/>
        </w:rPr>
        <w:t>Construction Industry Long Service Leave and Benefits Act</w:t>
      </w:r>
      <w:r>
        <w:t xml:space="preserve"> (</w:t>
      </w:r>
      <w:smartTag w:uri="urn:schemas-microsoft-com:office:smarttags" w:element="place">
        <w:smartTag w:uri="urn:schemas-microsoft-com:office:smarttags" w:element="State">
          <w:r>
            <w:t>Northern Territory</w:t>
          </w:r>
        </w:smartTag>
      </w:smartTag>
      <w:r>
        <w:t>);</w:t>
      </w:r>
    </w:p>
    <w:p>
      <w:pPr>
        <w:pStyle w:val="Indenta"/>
      </w:pPr>
      <w:r>
        <w:tab/>
        <w:t>(f)</w:t>
      </w:r>
      <w:r>
        <w:tab/>
        <w:t xml:space="preserve">the </w:t>
      </w:r>
      <w:bookmarkStart w:id="7" w:name="RuleErr_1"/>
      <w:r>
        <w:rPr>
          <w:i/>
        </w:rPr>
        <w:t>Construction Industry Long Service Leave Act 1987</w:t>
      </w:r>
      <w:bookmarkEnd w:id="7"/>
      <w:r>
        <w:t xml:space="preserve"> (</w:t>
      </w:r>
      <w:smartTag w:uri="urn:schemas-microsoft-com:office:smarttags" w:element="place">
        <w:smartTag w:uri="urn:schemas-microsoft-com:office:smarttags" w:element="State">
          <w:r>
            <w:t>South Australia</w:t>
          </w:r>
        </w:smartTag>
      </w:smartTag>
      <w:r>
        <w:t>);</w:t>
      </w:r>
    </w:p>
    <w:p>
      <w:pPr>
        <w:pStyle w:val="Indenta"/>
        <w:keepNext/>
      </w:pPr>
      <w:r>
        <w:tab/>
        <w:t>(g)</w:t>
      </w:r>
      <w:r>
        <w:tab/>
        <w:t xml:space="preserve">the </w:t>
      </w:r>
      <w:bookmarkStart w:id="8" w:name="RuleErr_2"/>
      <w:r>
        <w:rPr>
          <w:i/>
        </w:rPr>
        <w:t>Long Service Leave (Portable Schemes) Act 2009</w:t>
      </w:r>
      <w:bookmarkEnd w:id="8"/>
      <w:r>
        <w:t xml:space="preserve"> (</w:t>
      </w:r>
      <w:smartTag w:uri="urn:schemas-microsoft-com:office:smarttags" w:element="place">
        <w:smartTag w:uri="urn:schemas-microsoft-com:office:smarttags" w:element="State">
          <w:r>
            <w:t>Australian Capital Territory</w:t>
          </w:r>
        </w:smartTag>
      </w:smartTag>
      <w:r>
        <w:t>) except to the extent to which it does not relate to the construction industry.</w:t>
      </w:r>
    </w:p>
    <w:p>
      <w:pPr>
        <w:pStyle w:val="Footnotesection"/>
        <w:spacing w:before="80"/>
        <w:ind w:left="890" w:hanging="890"/>
      </w:pPr>
      <w:r>
        <w:tab/>
        <w:t>[Regulation 5A inserted in Gazette 30 Dec 2011 p. 5574-5.]</w:t>
      </w:r>
    </w:p>
    <w:p>
      <w:pPr>
        <w:pStyle w:val="Heading5"/>
        <w:spacing w:before="260"/>
        <w:rPr>
          <w:snapToGrid w:val="0"/>
        </w:rPr>
      </w:pPr>
      <w:bookmarkStart w:id="9" w:name="_Toc377371799"/>
      <w:r>
        <w:rPr>
          <w:rStyle w:val="CharSectno"/>
        </w:rPr>
        <w:t>6</w:t>
      </w:r>
      <w:r>
        <w:rPr>
          <w:snapToGrid w:val="0"/>
        </w:rPr>
        <w:t>.</w:t>
      </w:r>
      <w:r>
        <w:rPr>
          <w:snapToGrid w:val="0"/>
        </w:rPr>
        <w:tab/>
        <w:t>Prescribed period for section 31</w:t>
      </w:r>
      <w:bookmarkEnd w:id="9"/>
    </w:p>
    <w:p>
      <w:pPr>
        <w:pStyle w:val="Subsection"/>
        <w:spacing w:before="80" w:after="40"/>
      </w:pPr>
      <w:r>
        <w:tab/>
      </w:r>
      <w:r>
        <w:tab/>
        <w:t>The prescribed period for the purposes of section 31 of the Act is the period of 3 months ending on the last day of March, June, September and December in each year.</w:t>
      </w:r>
    </w:p>
    <w:p>
      <w:pPr>
        <w:pStyle w:val="Footnotesection"/>
        <w:spacing w:before="80"/>
        <w:ind w:left="890" w:hanging="890"/>
      </w:pPr>
      <w:r>
        <w:tab/>
        <w:t>[Regulation 6 inserted in Gazette 20 Feb 1998 p. 929.]</w:t>
      </w:r>
    </w:p>
    <w:p>
      <w:pPr>
        <w:pStyle w:val="Heading5"/>
        <w:spacing w:before="260"/>
        <w:rPr>
          <w:snapToGrid w:val="0"/>
        </w:rPr>
      </w:pPr>
      <w:bookmarkStart w:id="10" w:name="_Toc377371800"/>
      <w:r>
        <w:rPr>
          <w:rStyle w:val="CharSectno"/>
        </w:rPr>
        <w:t>7</w:t>
      </w:r>
      <w:r>
        <w:rPr>
          <w:snapToGrid w:val="0"/>
        </w:rPr>
        <w:t>.</w:t>
      </w:r>
      <w:r>
        <w:rPr>
          <w:snapToGrid w:val="0"/>
        </w:rPr>
        <w:tab/>
        <w:t>Information required for section 32</w:t>
      </w:r>
      <w:bookmarkEnd w:id="10"/>
      <w:r>
        <w:rPr>
          <w:snapToGrid w:val="0"/>
        </w:rPr>
        <w:t xml:space="preserve"> </w:t>
      </w:r>
    </w:p>
    <w:p>
      <w:pPr>
        <w:pStyle w:val="Subsection"/>
        <w:spacing w:before="80" w:after="40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following information is required to be maintained for each employee for the purposes of section 32 of the Act — </w:t>
      </w:r>
    </w:p>
    <w:p>
      <w:pPr>
        <w:pStyle w:val="Indenta"/>
        <w:spacing w:before="60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his name, address, date of birth, and the number of his certificate of registration under section 30(10) of the Act;</w:t>
      </w:r>
    </w:p>
    <w:p>
      <w:pPr>
        <w:pStyle w:val="Indenta"/>
        <w:spacing w:before="60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the award and classification of work applicable to him from time to time;</w:t>
      </w:r>
    </w:p>
    <w:p>
      <w:pPr>
        <w:pStyle w:val="Indenta"/>
        <w:spacing w:before="60"/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  <w:t>the days on which his employment started and finished respectively;</w:t>
      </w:r>
    </w:p>
    <w:p>
      <w:pPr>
        <w:pStyle w:val="Indenta"/>
        <w:spacing w:before="60"/>
        <w:rPr>
          <w:snapToGrid w:val="0"/>
        </w:rPr>
      </w:pPr>
      <w:r>
        <w:rPr>
          <w:snapToGrid w:val="0"/>
        </w:rPr>
        <w:tab/>
        <w:t>(d)</w:t>
      </w:r>
      <w:r>
        <w:rPr>
          <w:snapToGrid w:val="0"/>
        </w:rPr>
        <w:tab/>
        <w:t>the days on which he was absent from work, whether he was paid for any such day, and the reason for the absence; and</w:t>
      </w:r>
    </w:p>
    <w:p>
      <w:pPr>
        <w:pStyle w:val="Indenta"/>
        <w:spacing w:before="60"/>
        <w:rPr>
          <w:snapToGrid w:val="0"/>
        </w:rPr>
      </w:pPr>
      <w:r>
        <w:rPr>
          <w:snapToGrid w:val="0"/>
        </w:rPr>
        <w:tab/>
        <w:t>(e)</w:t>
      </w:r>
      <w:r>
        <w:rPr>
          <w:snapToGrid w:val="0"/>
        </w:rPr>
        <w:tab/>
        <w:t>the day or days of service which he completed as an employee within the meaning of the Act.</w:t>
      </w:r>
    </w:p>
    <w:p>
      <w:pPr>
        <w:pStyle w:val="Heading5"/>
        <w:rPr>
          <w:snapToGrid w:val="0"/>
        </w:rPr>
      </w:pPr>
      <w:bookmarkStart w:id="11" w:name="_Toc377371801"/>
      <w:r>
        <w:rPr>
          <w:rStyle w:val="CharSectno"/>
        </w:rPr>
        <w:t>8</w:t>
      </w:r>
      <w:r>
        <w:rPr>
          <w:snapToGrid w:val="0"/>
        </w:rPr>
        <w:t>.</w:t>
      </w:r>
      <w:r>
        <w:rPr>
          <w:snapToGrid w:val="0"/>
        </w:rPr>
        <w:tab/>
        <w:t>Amount prescribed for section 34</w:t>
      </w:r>
      <w:bookmarkEnd w:id="11"/>
      <w:r>
        <w:rPr>
          <w:snapToGrid w:val="0"/>
        </w:rPr>
        <w:t xml:space="preserve"> </w:t>
      </w:r>
    </w:p>
    <w:p>
      <w:pPr>
        <w:pStyle w:val="Subsection"/>
        <w:spacing w:before="80"/>
        <w:rPr>
          <w:snapToGrid w:val="0"/>
          <w:spacing w:val="-4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  <w:spacing w:val="-4"/>
        </w:rPr>
        <w:t>The amount payable in respect of an employee for the purposes of section 34 of the Act is 1.9% of the ordinary pay of that employee.</w:t>
      </w:r>
    </w:p>
    <w:p>
      <w:pPr>
        <w:pStyle w:val="Footnotesection"/>
        <w:keepLines w:val="0"/>
        <w:spacing w:after="80"/>
        <w:ind w:left="890" w:hanging="890"/>
      </w:pPr>
      <w:r>
        <w:tab/>
        <w:t xml:space="preserve">[Regulation 8 amended in Gazette 30 Dec 1988 p. 5121; 15 Dec 1989 p. 4581; 14 Dec 1990 p. 6142; 29 Nov 1991 p. 6043; 18 Dec 1992 p. 6138; 31 Dec 1993 p. 6874; 28 Nov 1997 p. 6985; 16 Oct 1998 p. 5730; 18 Oct 2002 p. 5221; 12 Oct 2004 p. 4754 (as amended in Gazette 14 Dec 2004 p. 6002); 7 Nov 2006 p. 4677; 30 Dec 2008 p. 5642; 30 Dec 2011 p. 5575; 27 Dec 2013 p. 6445.] </w:t>
      </w:r>
    </w:p>
    <w:p>
      <w:pPr>
        <w:pStyle w:val="Heading5"/>
        <w:rPr>
          <w:snapToGrid w:val="0"/>
        </w:rPr>
      </w:pPr>
      <w:bookmarkStart w:id="12" w:name="_Toc377371802"/>
      <w:r>
        <w:rPr>
          <w:rStyle w:val="CharSectno"/>
        </w:rPr>
        <w:t>9</w:t>
      </w:r>
      <w:r>
        <w:rPr>
          <w:snapToGrid w:val="0"/>
        </w:rPr>
        <w:t>.</w:t>
      </w:r>
      <w:r>
        <w:rPr>
          <w:snapToGrid w:val="0"/>
        </w:rPr>
        <w:tab/>
        <w:t>Certificate of appointment of inspector</w:t>
      </w:r>
      <w:bookmarkEnd w:id="12"/>
      <w:r>
        <w:rPr>
          <w:snapToGrid w:val="0"/>
        </w:rPr>
        <w:t xml:space="preserve"> </w:t>
      </w:r>
    </w:p>
    <w:p>
      <w:pPr>
        <w:pStyle w:val="Subsection"/>
        <w:spacing w:after="80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certificate of appointment of an inspector appointed under section 44 shall be in the form set out in Schedule 2.</w:t>
      </w:r>
    </w:p>
    <w:p>
      <w:pPr>
        <w:rPr>
          <w:rStyle w:val="CharDivText"/>
        </w:rPr>
        <w:sectPr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pgSz w:w="11906" w:h="16838" w:code="9"/>
          <w:pgMar w:top="2381" w:right="2409" w:bottom="3543" w:left="2409" w:header="720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13" w:name="_Toc377371803"/>
      <w:r>
        <w:rPr>
          <w:rStyle w:val="CharSchNo"/>
        </w:rPr>
        <w:t>Schedule 1</w:t>
      </w:r>
      <w:r>
        <w:t> — </w:t>
      </w:r>
      <w:r>
        <w:rPr>
          <w:rStyle w:val="CharSchText"/>
        </w:rPr>
        <w:t>Prescribed awards and classifications of work</w:t>
      </w:r>
      <w:bookmarkEnd w:id="13"/>
    </w:p>
    <w:p>
      <w:pPr>
        <w:pStyle w:val="yShoulderClause"/>
      </w:pPr>
      <w:r>
        <w:t>[r. 2 and 3]</w:t>
      </w:r>
    </w:p>
    <w:p>
      <w:pPr>
        <w:pStyle w:val="yFootnoteheading"/>
      </w:pPr>
      <w:r>
        <w:tab/>
        <w:t>[Heading inserted in Gazette 10 Jul 2012 p. 3058.]</w:t>
      </w:r>
    </w:p>
    <w:p>
      <w:pPr>
        <w:pStyle w:val="yHeading3"/>
      </w:pPr>
      <w:bookmarkStart w:id="14" w:name="_Toc377371804"/>
      <w:r>
        <w:rPr>
          <w:rStyle w:val="CharSDivNo"/>
        </w:rPr>
        <w:t>Division 1</w:t>
      </w:r>
      <w:r>
        <w:rPr>
          <w:b w:val="0"/>
        </w:rPr>
        <w:t> — </w:t>
      </w:r>
      <w:r>
        <w:rPr>
          <w:rStyle w:val="CharSDivText"/>
        </w:rPr>
        <w:t xml:space="preserve">Awards given continuing effect under the </w:t>
      </w:r>
      <w:r>
        <w:rPr>
          <w:rStyle w:val="CharSDivText"/>
          <w:i/>
        </w:rPr>
        <w:t>Fair Work (Transitional Provisions and Consequential Amendments) Act 2009</w:t>
      </w:r>
      <w:r>
        <w:rPr>
          <w:rStyle w:val="CharSDivText"/>
        </w:rPr>
        <w:t xml:space="preserve"> (Commonwealth)</w:t>
      </w:r>
      <w:bookmarkEnd w:id="14"/>
    </w:p>
    <w:p>
      <w:pPr>
        <w:pStyle w:val="yFootnoteheading"/>
        <w:spacing w:after="120"/>
      </w:pPr>
      <w:r>
        <w:tab/>
        <w:t>[Heading inserted in Gazette 10 Jul 2012 p. 3058.]</w:t>
      </w:r>
    </w:p>
    <w:tbl>
      <w:tblPr>
        <w:tblW w:w="694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709"/>
        <w:gridCol w:w="3402"/>
        <w:gridCol w:w="2835"/>
      </w:tblGrid>
      <w:tr>
        <w:trPr>
          <w:tblHeader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Item</w:t>
            </w:r>
          </w:p>
        </w:tc>
        <w:tc>
          <w:tcPr>
            <w:tcW w:w="3402" w:type="dxa"/>
            <w:tcBorders>
              <w:left w:val="nil"/>
              <w:bottom w:val="single" w:sz="4" w:space="0" w:color="auto"/>
            </w:tcBorders>
          </w:tcPr>
          <w:p>
            <w:pPr>
              <w:pStyle w:val="yTableNA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Prescribed awards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>
            <w:pPr>
              <w:pStyle w:val="yTableNA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Exceptions, conditions and limitations</w:t>
            </w:r>
          </w:p>
        </w:tc>
      </w:tr>
      <w:t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1.</w:t>
            </w:r>
          </w:p>
        </w:tc>
        <w:tc>
          <w:tcPr>
            <w:tcW w:w="3402" w:type="dxa"/>
            <w:tcBorders>
              <w:left w:val="nil"/>
            </w:tcBorders>
          </w:tcPr>
          <w:p>
            <w:pPr>
              <w:pStyle w:val="yTableNAm"/>
            </w:pPr>
            <w:r>
              <w:t>Australian Workers’ Union Asphalt and Bitumen Industry (WA) Award 1988</w:t>
            </w:r>
          </w:p>
        </w:tc>
        <w:tc>
          <w:tcPr>
            <w:tcW w:w="2835" w:type="dxa"/>
          </w:tcPr>
          <w:p>
            <w:pPr>
              <w:pStyle w:val="yTableNAm"/>
            </w:pPr>
          </w:p>
        </w:tc>
      </w:tr>
      <w:t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2.</w:t>
            </w:r>
          </w:p>
        </w:tc>
        <w:tc>
          <w:tcPr>
            <w:tcW w:w="3402" w:type="dxa"/>
            <w:tcBorders>
              <w:left w:val="nil"/>
            </w:tcBorders>
          </w:tcPr>
          <w:p>
            <w:pPr>
              <w:pStyle w:val="yTableNAm"/>
            </w:pPr>
            <w:r>
              <w:t>Australian Workers’ Union Construction and Maintenance (Consolidated) Award 1987</w:t>
            </w:r>
          </w:p>
        </w:tc>
        <w:tc>
          <w:tcPr>
            <w:tcW w:w="2835" w:type="dxa"/>
          </w:tcPr>
          <w:p>
            <w:pPr>
              <w:pStyle w:val="yTableNAm"/>
            </w:pPr>
          </w:p>
        </w:tc>
      </w:tr>
      <w:t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3.</w:t>
            </w:r>
          </w:p>
        </w:tc>
        <w:tc>
          <w:tcPr>
            <w:tcW w:w="3402" w:type="dxa"/>
            <w:tcBorders>
              <w:left w:val="nil"/>
            </w:tcBorders>
          </w:tcPr>
          <w:p>
            <w:pPr>
              <w:pStyle w:val="yTableNAm"/>
            </w:pPr>
            <w:r>
              <w:t>Australian Workers’ Union Construction and Maintenance Award 1989</w:t>
            </w:r>
          </w:p>
        </w:tc>
        <w:tc>
          <w:tcPr>
            <w:tcW w:w="2835" w:type="dxa"/>
          </w:tcPr>
          <w:p>
            <w:pPr>
              <w:pStyle w:val="yTableNAm"/>
            </w:pP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Australian Workers’ Union Construction, Maintenance and Services (WA Government) Award, 1984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Limited to temporary employees in receipt of an industry allowance under the award</w:t>
            </w: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  <w:keepNext/>
            </w:pPr>
            <w: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Australian Workers’ Union Geomembrane and Geotextile Installation Award 1989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Bitumen Spraying Services Award 1985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  <w:keepNext/>
            </w:pPr>
            <w:r>
              <w:t>Drilling and Exploration Industry (AWU) Award 1998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  <w:keepNext/>
            </w:pP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  <w:keepNext/>
            </w:pPr>
            <w:r>
              <w:t>Mobile Crane Hiring Award 1990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  <w:keepNext/>
            </w:pP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smartTag w:uri="urn:schemas-microsoft-com:office:smarttags" w:element="place">
              <w:smartTag w:uri="urn:schemas-microsoft-com:office:smarttags" w:element="PlaceName">
                <w:r>
                  <w:t>National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Building</w:t>
                </w:r>
              </w:smartTag>
            </w:smartTag>
            <w:r>
              <w:t xml:space="preserve"> and Construction Industry Award 1990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Plumbing Industry (Qld and WA) Award 1979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11.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Professional Divers’ Award 1988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12.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Transport Workers Spraypave Pty Ltd Award 1990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13.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Sprinkler Pipe Fitters’ Award 1975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14.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Western Australian Civil Contracting Award 1998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</w:p>
        </w:tc>
      </w:tr>
    </w:tbl>
    <w:p>
      <w:pPr>
        <w:pStyle w:val="yFootnotesection"/>
      </w:pPr>
      <w:r>
        <w:tab/>
        <w:t>[Division 1 inserted in Gazette 10 Jul 2012 p. 3058</w:t>
      </w:r>
      <w:r>
        <w:noBreakHyphen/>
        <w:t>9.]</w:t>
      </w:r>
    </w:p>
    <w:p>
      <w:pPr>
        <w:pStyle w:val="yHeading3"/>
      </w:pPr>
      <w:bookmarkStart w:id="15" w:name="_Toc377371805"/>
      <w:r>
        <w:rPr>
          <w:rStyle w:val="CharSDivNo"/>
        </w:rPr>
        <w:t>Division 2</w:t>
      </w:r>
      <w:r>
        <w:rPr>
          <w:b w:val="0"/>
        </w:rPr>
        <w:t> — </w:t>
      </w:r>
      <w:r>
        <w:rPr>
          <w:rStyle w:val="CharSDivText"/>
        </w:rPr>
        <w:t xml:space="preserve">Awards under the </w:t>
      </w:r>
      <w:r>
        <w:rPr>
          <w:rStyle w:val="CharSDivText"/>
          <w:i/>
        </w:rPr>
        <w:t>Industrial Relations Act 1979</w:t>
      </w:r>
      <w:bookmarkEnd w:id="15"/>
    </w:p>
    <w:p>
      <w:pPr>
        <w:pStyle w:val="yFootnoteheading"/>
        <w:spacing w:after="120"/>
      </w:pPr>
      <w:r>
        <w:tab/>
        <w:t>[Heading inserted in Gazette 10 Jul 2012 p. 3059.]</w:t>
      </w:r>
    </w:p>
    <w:tbl>
      <w:tblPr>
        <w:tblW w:w="694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709"/>
        <w:gridCol w:w="2976"/>
        <w:gridCol w:w="3261"/>
      </w:tblGrid>
      <w:tr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Item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Prescribed awards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Exceptions, conditions and limitations</w:t>
            </w: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Air Conditioning and Refrigeration Industry (Construction and Servicing) Award No. 10 of 1979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Building Trades Award 1968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  <w:keepNext/>
            </w:pPr>
            <w:r>
              <w:t>Building Trades (Construction) Award 1987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  <w:keepNext/>
            </w:pP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  <w:keepNext/>
            </w:pPr>
            <w:r>
              <w:t>Building Trades (Government) Award 1968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Limited to temporary employees</w:t>
            </w: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5.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Earth Moving and Construction Award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6.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Electrical Contracting Industry Award R 22 of 1978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7.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Electrical Trades (Security Alarms Industry) Award 1980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8.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Electronics Industry Award No. A22 of 1985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9.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Engine Drivers’ (Building and Steel Construction) Award No. 20 of 1973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10.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Engineering Trades (Government) Award, 1967 Award Nos. 29, 30 and 31 of 1961 and 3 of 1962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Limited to temporary employees in receipt of an allowance for construction work under the award</w:t>
            </w: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  <w:keepNext/>
            </w:pPr>
            <w:r>
              <w:t>11.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Foremen (Building Trades) Award 1991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12.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Furniture Trades Industry Award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Limited to cabinet making and flooring covering</w:t>
            </w: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13.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Gate, Fence and Frames Manufacturing Award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14.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Industrial Spraypainting and Sandblasting Award 1991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15.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Lift Industry (Electrical and Metal Trades) Award 1973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16.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Materials Testing Employees’ Award, 1984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17.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Mechanical and Electrical Contractors (</w:t>
            </w:r>
            <w:smartTag w:uri="urn:schemas-microsoft-com:office:smarttags" w:element="place">
              <w:smartTag w:uri="urn:schemas-microsoft-com:office:smarttags" w:element="State">
                <w:r>
                  <w:t>North West</w:t>
                </w:r>
              </w:smartTag>
            </w:smartTag>
            <w:r>
              <w:t xml:space="preserve"> Shelf Project Platform) Award 1986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18.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Metal Trades (General) Award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19.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smartTag w:uri="urn:schemas-microsoft-com:office:smarttags" w:element="place">
              <w:r>
                <w:t>Pest</w:t>
              </w:r>
            </w:smartTag>
            <w:r>
              <w:t xml:space="preserve"> Control Industry Award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20.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Radio and Television Employees’ Award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21.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Sheet Metal Workers’ Award No. 10 of 1973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22.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Thermal Insulation Contracting Industry Award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</w:p>
        </w:tc>
      </w:tr>
    </w:tbl>
    <w:p>
      <w:pPr>
        <w:pStyle w:val="yFootnotesection"/>
      </w:pPr>
      <w:r>
        <w:tab/>
        <w:t>[Division 2 inserted in Gazette 10 Jul 2012 p. 3059</w:t>
      </w:r>
      <w:r>
        <w:noBreakHyphen/>
        <w:t>60.]</w:t>
      </w:r>
    </w:p>
    <w:p>
      <w:pPr>
        <w:pStyle w:val="yFootnotesection"/>
        <w:tabs>
          <w:tab w:val="clear" w:pos="893"/>
        </w:tabs>
        <w:ind w:left="0" w:firstLine="0"/>
      </w:pPr>
    </w:p>
    <w:p>
      <w:pPr>
        <w:sectPr>
          <w:headerReference w:type="even" r:id="rId27"/>
          <w:headerReference w:type="default" r:id="rId28"/>
          <w:headerReference w:type="first" r:id="rId29"/>
          <w:type w:val="oddPage"/>
          <w:pgSz w:w="11906" w:h="16838" w:code="9"/>
          <w:pgMar w:top="2381" w:right="2410" w:bottom="3544" w:left="2410" w:header="720" w:footer="3380" w:gutter="0"/>
          <w:cols w:space="720"/>
          <w:noEndnote/>
          <w:docGrid w:linePitch="326"/>
        </w:sectPr>
      </w:pPr>
    </w:p>
    <w:p>
      <w:pPr>
        <w:pStyle w:val="yScheduleHeading"/>
      </w:pPr>
      <w:bookmarkStart w:id="16" w:name="_Toc377371806"/>
      <w:r>
        <w:rPr>
          <w:rStyle w:val="CharSchNo"/>
        </w:rPr>
        <w:t>Schedule 2</w:t>
      </w:r>
      <w:bookmarkEnd w:id="16"/>
      <w:r>
        <w:t xml:space="preserve"> </w:t>
      </w:r>
    </w:p>
    <w:p>
      <w:pPr>
        <w:pStyle w:val="yShoulderClause"/>
        <w:rPr>
          <w:snapToGrid w:val="0"/>
        </w:rPr>
      </w:pPr>
      <w:r>
        <w:rPr>
          <w:snapToGrid w:val="0"/>
        </w:rPr>
        <w:t>[Regulation 9]</w:t>
      </w:r>
    </w:p>
    <w:p>
      <w:pPr>
        <w:pStyle w:val="yMiscellaneousHeading"/>
        <w:rPr>
          <w:i/>
          <w:snapToGrid w:val="0"/>
        </w:rPr>
      </w:pPr>
      <w:r>
        <w:rPr>
          <w:i/>
          <w:snapToGrid w:val="0"/>
        </w:rPr>
        <w:t>CONSTRUCTION INDUSTRY PORTABLE PAID LONG SERVICE LEAVE ACT 1985</w:t>
      </w:r>
    </w:p>
    <w:p>
      <w:pPr>
        <w:pStyle w:val="yMiscellaneousHeading"/>
        <w:rPr>
          <w:snapToGrid w:val="0"/>
        </w:rPr>
      </w:pPr>
      <w:r>
        <w:rPr>
          <w:snapToGrid w:val="0"/>
        </w:rPr>
        <w:t>Certificate of appointment of Inspector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This is to certify that ..............................................................................................</w:t>
      </w:r>
    </w:p>
    <w:p>
      <w:pPr>
        <w:pStyle w:val="yMiscellaneousBody"/>
        <w:tabs>
          <w:tab w:val="left" w:pos="3402"/>
        </w:tabs>
        <w:spacing w:before="0"/>
        <w:rPr>
          <w:snapToGrid w:val="0"/>
        </w:rPr>
      </w:pPr>
      <w:r>
        <w:rPr>
          <w:snapToGrid w:val="0"/>
        </w:rPr>
        <w:tab/>
        <w:t>(full name)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whose signature and photograph appear below has been appointed as an inspector under section 44 of the above Act.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The functions of an inspector are to carry out investigations to ensure that proper records are kept, accurate returns are lodged and correct contributions are paid by employers.</w:t>
      </w:r>
    </w:p>
    <w:p>
      <w:pPr>
        <w:pStyle w:val="yMiscellaneousBody"/>
        <w:tabs>
          <w:tab w:val="right" w:pos="7088"/>
        </w:tabs>
        <w:rPr>
          <w:snapToGrid w:val="0"/>
        </w:rPr>
      </w:pPr>
      <w:r>
        <w:rPr>
          <w:snapToGrid w:val="0"/>
        </w:rPr>
        <w:t>..............................................</w:t>
      </w:r>
      <w:r>
        <w:rPr>
          <w:snapToGrid w:val="0"/>
        </w:rPr>
        <w:tab/>
        <w:t>Photograph of inspector</w:t>
      </w:r>
    </w:p>
    <w:p>
      <w:pPr>
        <w:pStyle w:val="yMiscellaneousBody"/>
        <w:spacing w:before="0"/>
        <w:rPr>
          <w:snapToGrid w:val="0"/>
        </w:rPr>
      </w:pPr>
      <w:r>
        <w:rPr>
          <w:snapToGrid w:val="0"/>
        </w:rPr>
        <w:t>Signature of inspector</w:t>
      </w:r>
    </w:p>
    <w:p>
      <w:pPr>
        <w:pStyle w:val="yMiscellaneousBody"/>
        <w:jc w:val="right"/>
        <w:rPr>
          <w:snapToGrid w:val="0"/>
        </w:rPr>
      </w:pPr>
      <w:r>
        <w:rPr>
          <w:snapToGrid w:val="0"/>
        </w:rPr>
        <w:t>...............................................</w:t>
      </w:r>
    </w:p>
    <w:p>
      <w:pPr>
        <w:pStyle w:val="yMiscellaneousBody"/>
        <w:spacing w:before="0"/>
        <w:jc w:val="right"/>
        <w:rPr>
          <w:snapToGrid w:val="0"/>
        </w:rPr>
      </w:pPr>
      <w:r>
        <w:rPr>
          <w:snapToGrid w:val="0"/>
        </w:rPr>
        <w:t>Chief Executive Officer</w:t>
      </w:r>
    </w:p>
    <w:p>
      <w:pPr>
        <w:pStyle w:val="yMiscellaneousBody"/>
        <w:jc w:val="right"/>
        <w:rPr>
          <w:snapToGrid w:val="0"/>
        </w:rPr>
      </w:pPr>
      <w:r>
        <w:rPr>
          <w:snapToGrid w:val="0"/>
        </w:rPr>
        <w:t>Date: ....................................</w:t>
      </w:r>
    </w:p>
    <w:p>
      <w:pPr>
        <w:sectPr>
          <w:headerReference w:type="even" r:id="rId30"/>
          <w:headerReference w:type="default" r:id="rId31"/>
          <w:pgSz w:w="11906" w:h="16838" w:code="9"/>
          <w:pgMar w:top="2381" w:right="2410" w:bottom="3544" w:left="2410" w:header="720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17" w:name="_Toc377371807"/>
      <w:r>
        <w:t>Notes</w:t>
      </w:r>
      <w:bookmarkEnd w:id="17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Construction Industry Portable Paid Long Service Leave Regulations 1986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>
      <w:pPr>
        <w:pStyle w:val="nHeading3"/>
        <w:rPr>
          <w:snapToGrid w:val="0"/>
        </w:rPr>
      </w:pPr>
      <w:bookmarkStart w:id="18" w:name="_Toc377371808"/>
      <w:r>
        <w:rPr>
          <w:snapToGrid w:val="0"/>
        </w:rPr>
        <w:t>Compilation table</w:t>
      </w:r>
      <w:bookmarkEnd w:id="18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2693"/>
      </w:tblGrid>
      <w:tr>
        <w:trPr>
          <w:tblHeader/>
        </w:trPr>
        <w:tc>
          <w:tcPr>
            <w:tcW w:w="3119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Construction Industry Portable Paid Long Service Leave Regulations 1986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19 Dec 1986 p. 4924</w:t>
            </w:r>
            <w:r>
              <w:rPr>
                <w:sz w:val="19"/>
              </w:rPr>
              <w:noBreakHyphen/>
              <w:t>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19 Dec 1986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Construction Industry Portable Paid Long Service Leave Amendment Regulations 1987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29 May 1987 p. 2233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29 May 1987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Construction Industry Portable Paid Long Service Leave Amendment Regulations 1988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30 Sep 1988 p. 4006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30 Sep 1988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Construction Industry Portable Paid Long Service Leave Amendment Regulations (No. 2) 1988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30 Dec 1988 p. 5121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Jan 1989 (see r. 2)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Construction Industry Portable Paid Long Service Leave Amendment Regulations (No. 2) 1989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30 Jun 1989 p. 1899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30 Jun 1989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Construction Industry Portable Paid Long Service Leave Amendment Regulations (No. 3) 1989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Dec 1989 p. 4430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Dec 1989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Construction Industry Portable Paid Long Service Leave Amendment Regulations (No. 4) 1989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15 Dec 1989 p. 4581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Jan 1990 (see r. 2)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Construction Industry Portable Paid Long Service Leave Amendment Regulations (No. 5) 1989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29 Dec 1989 p. 4669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 xml:space="preserve">29 Dec 1989 (see r. 2 and </w:t>
            </w:r>
            <w:r>
              <w:rPr>
                <w:i/>
                <w:sz w:val="19"/>
              </w:rPr>
              <w:t>Gazette</w:t>
            </w:r>
            <w:r>
              <w:rPr>
                <w:sz w:val="19"/>
              </w:rPr>
              <w:t xml:space="preserve"> 29 Dec 1989 p. 4665)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Construction Industry Portable Paid Long Service Leave Amendment Regulations 1990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7 Sep 1990 p. 4652</w:t>
            </w:r>
            <w:r>
              <w:rPr>
                <w:sz w:val="19"/>
              </w:rPr>
              <w:noBreakHyphen/>
              <w:t>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7 Sep 1990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Construction Industry Portable Paid Long Service Leave Amendment Regulations (No. 2) 1990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 Nov 1990 p. 5453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 Nov 1990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Construction Industry Portable Paid Long Service Leave Amendment Regulations (No. 3) 1990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spacing w:after="40"/>
              <w:rPr>
                <w:sz w:val="19"/>
              </w:rPr>
            </w:pPr>
            <w:r>
              <w:rPr>
                <w:sz w:val="19"/>
              </w:rPr>
              <w:t>14 Dec 1990 p. 6142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spacing w:after="40"/>
              <w:rPr>
                <w:sz w:val="19"/>
              </w:rPr>
            </w:pPr>
            <w:r>
              <w:rPr>
                <w:sz w:val="19"/>
              </w:rPr>
              <w:t>1 Jan 1991 (see 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Construction Industry Portable Paid Long Service Leave Amendment Regulations (No. 2) 1991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29 Nov 1991 p. 6042</w:t>
            </w:r>
            <w:r>
              <w:rPr>
                <w:sz w:val="19"/>
              </w:rPr>
              <w:noBreakHyphen/>
              <w:t>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Jan 1992 (see r. 2)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Construction Industry Portable Paid Long Service Leave Amendment Regulations 1991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24 Dec 1991 p. 6469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24 Dec 1991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Construction Industry Portable Paid Long Service Leave Amendment Regulations 1992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28 Jul 1992 p. 3729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28 Jul 1992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Construction Industry Portable Paid Long Service Leave Amendment Regulations (No. 2) 1992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18 Dec 1992 p. 6137</w:t>
            </w:r>
            <w:r>
              <w:rPr>
                <w:sz w:val="19"/>
              </w:rPr>
              <w:noBreakHyphen/>
              <w:t>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Jan 1993 (see r. 2)</w:t>
            </w:r>
          </w:p>
        </w:tc>
      </w:tr>
      <w:tr>
        <w:tc>
          <w:tcPr>
            <w:tcW w:w="3119" w:type="dxa"/>
          </w:tcPr>
          <w:p>
            <w:pPr>
              <w:pStyle w:val="nTable"/>
              <w:keepNext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Construction Industry Portable Paid Long Service Leave Amendment Regulations 1993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12 Oct 1993 p. 5469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12 Oct 1993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Construction Industry Portable Paid Long Service Leave Amendment Regulations (No. 2) 1993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31 Dec 1993 p. 6874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Jan 1994 (see r. 2)</w:t>
            </w:r>
          </w:p>
        </w:tc>
      </w:tr>
      <w:tr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b/>
                <w:sz w:val="19"/>
              </w:rPr>
              <w:t xml:space="preserve">Reprint of the </w:t>
            </w:r>
            <w:r>
              <w:rPr>
                <w:b/>
                <w:i/>
                <w:sz w:val="19"/>
              </w:rPr>
              <w:t>Construction Industry Portable Paid Long Service Leave Regulations 1986</w:t>
            </w:r>
            <w:r>
              <w:rPr>
                <w:b/>
                <w:sz w:val="19"/>
              </w:rPr>
              <w:t xml:space="preserve"> as at 1 Jul 1997</w:t>
            </w:r>
            <w:r>
              <w:rPr>
                <w:sz w:val="19"/>
              </w:rPr>
              <w:t xml:space="preserve"> (includes amendments listed above)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Construction Industry Portable Paid Long Service Leave Amendment Regulations 1997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28 Nov 1997 p. 6985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Jan 1998 (see r. 2)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Construction Industry Portable Paid Long Service Leave Amendment Regulations 1998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20 Feb 1998 p. 929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20 Feb 1998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Construction Industry Portable Paid Long Service Leave Amendment Regulations (No. 2) 1998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16 Oct 1998 p. 5730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Jan 1999 (see r. 2)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Construction Industry Portable Paid Long Service Leave Amendment Regulations 1999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8 Jun 1999 p. 2470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8 Jun 1999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sz w:val="19"/>
                <w:vertAlign w:val="superscript"/>
              </w:rPr>
            </w:pPr>
            <w:r>
              <w:rPr>
                <w:i/>
                <w:sz w:val="19"/>
              </w:rPr>
              <w:t xml:space="preserve">Construction Industry Portable Paid Long Service Leave Amendment Regulations 2002 </w:t>
            </w:r>
            <w:r>
              <w:rPr>
                <w:sz w:val="19"/>
              </w:rPr>
              <w:t>r. 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18 Oct 2002 p. 5221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Jan 2003 (see r. 2)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Construction Industry Portable Paid Long Service Leave Amendment Regulations (No. 2) 2002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5 Nov 2002</w:t>
            </w:r>
            <w:r>
              <w:rPr>
                <w:sz w:val="19"/>
              </w:rPr>
              <w:br/>
              <w:t>p. 5417-18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 xml:space="preserve">5 Nov 2002 [Published again in </w:t>
            </w:r>
            <w:r>
              <w:rPr>
                <w:i/>
                <w:iCs/>
                <w:sz w:val="19"/>
              </w:rPr>
              <w:t xml:space="preserve">Gazette </w:t>
            </w:r>
            <w:r>
              <w:rPr>
                <w:sz w:val="19"/>
              </w:rPr>
              <w:t>12 Nov 2002 p. 5466 but amendment of 12 Nov 2002 has no effect]</w:t>
            </w:r>
          </w:p>
        </w:tc>
      </w:tr>
      <w:tr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Reprint 2:  The </w:t>
            </w:r>
            <w:r>
              <w:rPr>
                <w:b/>
                <w:i/>
                <w:sz w:val="19"/>
              </w:rPr>
              <w:t>Construction Industry Portable Paid Long Service Leave Regulations 1986</w:t>
            </w:r>
            <w:r>
              <w:rPr>
                <w:b/>
                <w:sz w:val="19"/>
              </w:rPr>
              <w:t xml:space="preserve"> as at 3 Jan 2003</w:t>
            </w:r>
            <w:r>
              <w:rPr>
                <w:sz w:val="19"/>
              </w:rPr>
              <w:t xml:space="preserve"> (includes amendments listed above)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Construction Industry Portable Paid Long Service Leave Amendment Regulations 2004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20 Feb 2004 p. 603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20 Feb 2004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Construction Industry Portable Paid Long Service Leave Amendment Regulations (No. 2) 2004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12 Oct 2004 p. 4753</w:t>
            </w:r>
            <w:r>
              <w:rPr>
                <w:sz w:val="19"/>
              </w:rPr>
              <w:noBreakHyphen/>
              <w:t>4 (as amended in </w:t>
            </w:r>
            <w:r>
              <w:rPr>
                <w:i/>
                <w:iCs/>
                <w:sz w:val="19"/>
              </w:rPr>
              <w:t>Gazette</w:t>
            </w:r>
            <w:r>
              <w:rPr>
                <w:sz w:val="19"/>
              </w:rPr>
              <w:t xml:space="preserve"> 14 Dec 2004 p. 6002)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Jan 2005 (see r. 2)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Construction Industry Portable Paid Long Service Leave Amendment Regulations 2005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8 Jul 2005 p. 3159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8 Jul 2005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Construction Industry Portable Paid Long Service Leave Amendment Regulations 2006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7 Nov 2006 p. 4677</w:t>
            </w:r>
            <w:r>
              <w:rPr>
                <w:sz w:val="19"/>
              </w:rPr>
              <w:noBreakHyphen/>
              <w:t>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Regulations other than r. 4: 7 Nov 2006 (see r. 2(1));</w:t>
            </w:r>
            <w:r>
              <w:rPr>
                <w:sz w:val="19"/>
              </w:rPr>
              <w:br/>
              <w:t>r. 4: 1 Jan 2007 (see r. 2(2))</w:t>
            </w:r>
          </w:p>
        </w:tc>
      </w:tr>
      <w:tr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b/>
                <w:sz w:val="19"/>
              </w:rPr>
              <w:t xml:space="preserve">Reprint 3:  The </w:t>
            </w:r>
            <w:r>
              <w:rPr>
                <w:b/>
                <w:i/>
                <w:sz w:val="19"/>
              </w:rPr>
              <w:t>Construction Industry Portable Paid Long Service Leave Regulations 1986</w:t>
            </w:r>
            <w:r>
              <w:rPr>
                <w:b/>
                <w:sz w:val="19"/>
              </w:rPr>
              <w:t xml:space="preserve"> as at 24 Aug 2007</w:t>
            </w:r>
            <w:r>
              <w:rPr>
                <w:sz w:val="19"/>
              </w:rPr>
              <w:t xml:space="preserve"> (includes amendments listed above)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Construction Industry Portable Paid Long Service Leave Amendment Regulations 2008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30 Dec 2008 p. 5642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r. 1 and 2: 30 Dec 2008 (see r. 2(a));</w:t>
            </w:r>
            <w:r>
              <w:rPr>
                <w:sz w:val="19"/>
              </w:rPr>
              <w:br/>
              <w:t xml:space="preserve">Regulations other than r. 1 and 2: 1 </w:t>
            </w:r>
            <w:r>
              <w:t>Jan 2009</w:t>
            </w:r>
            <w:r>
              <w:rPr>
                <w:sz w:val="19"/>
              </w:rPr>
              <w:t xml:space="preserve"> (see r. 2(b))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Construction Industry Portable Paid Long Service Leave Amendment Regulations 2011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30 Dec 2011 p. 5574-5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r. 1 and 2: 30 Dec 2011 (see r. 2(a));</w:t>
            </w:r>
            <w:r>
              <w:rPr>
                <w:sz w:val="19"/>
              </w:rPr>
              <w:br/>
              <w:t>Regulations other than r. 1 and 2: 31 Dec</w:t>
            </w:r>
            <w:r>
              <w:t> 2011</w:t>
            </w:r>
            <w:r>
              <w:rPr>
                <w:sz w:val="19"/>
              </w:rPr>
              <w:t xml:space="preserve"> (see r. 2(b))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Construction Industry Portable Paid Long Service Leave Amendment Regulations 2012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10 Jul 2012 p. 3057</w:t>
            </w:r>
            <w:r>
              <w:rPr>
                <w:sz w:val="19"/>
              </w:rPr>
              <w:noBreakHyphen/>
              <w:t>60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r. 1 and 2: 10 Jul 2012 (see r. 2(a));</w:t>
            </w:r>
            <w:r>
              <w:rPr>
                <w:sz w:val="19"/>
              </w:rPr>
              <w:br/>
              <w:t>Regulations other than r. 1 and 2: 11 Jul 2012 (see r. 2(b))</w:t>
            </w:r>
          </w:p>
        </w:tc>
      </w:tr>
      <w:tr>
        <w:tc>
          <w:tcPr>
            <w:tcW w:w="3119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Construction Industry Portable Paid Long Service Leave Amendment Regulations 2013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27 Dec 2013 p. 6445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r. 1 and 2: 27 Dec 2013 (see r. 2(a));</w:t>
            </w:r>
            <w:r>
              <w:rPr>
                <w:sz w:val="19"/>
              </w:rPr>
              <w:br/>
              <w:t>Regulations other than r. 1 and 2: 1 Jan 2014 (see r. 2(b))</w:t>
            </w:r>
          </w:p>
        </w:tc>
      </w:tr>
    </w:tbl>
    <w:p/>
    <w:p>
      <w:pPr>
        <w:sectPr>
          <w:headerReference w:type="even" r:id="rId32"/>
          <w:headerReference w:type="default" r:id="rId33"/>
          <w:headerReference w:type="first" r:id="rId34"/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>
      <w:pPr>
        <w:pStyle w:val="nHeading2"/>
        <w:rPr>
          <w:sz w:val="28"/>
        </w:rPr>
      </w:pPr>
      <w:bookmarkStart w:id="19" w:name="_Toc377371809"/>
      <w:r>
        <w:rPr>
          <w:sz w:val="28"/>
        </w:rPr>
        <w:t>Defined terms</w:t>
      </w:r>
      <w:bookmarkEnd w:id="19"/>
    </w:p>
    <w:p>
      <w:pPr>
        <w:ind w:left="850" w:right="850"/>
        <w:jc w:val="center"/>
        <w:rPr>
          <w:i/>
          <w:sz w:val="18"/>
        </w:rPr>
      </w:pPr>
    </w:p>
    <w:p>
      <w:pPr>
        <w:ind w:left="850" w:right="850"/>
        <w:jc w:val="center"/>
        <w:rPr>
          <w:i/>
          <w:sz w:val="18"/>
        </w:rPr>
      </w:pPr>
      <w:r>
        <w:rPr>
          <w:i/>
          <w:sz w:val="18"/>
        </w:rPr>
        <w:t>[This is a list of terms defined and the provisions where they are defined.  The list is not part of the law.]</w:t>
      </w:r>
    </w:p>
    <w:p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>
        <w:rPr>
          <w:b/>
          <w:sz w:val="20"/>
        </w:rPr>
        <w:t>Defined term</w:t>
      </w:r>
      <w:r>
        <w:rPr>
          <w:b/>
          <w:sz w:val="20"/>
        </w:rPr>
        <w:tab/>
        <w:t>Provision(s)</w:t>
      </w:r>
    </w:p>
    <w:p>
      <w:pPr>
        <w:pStyle w:val="DefinedTerms"/>
      </w:pPr>
      <w:bookmarkStart w:id="20" w:name="DefinedTerms"/>
      <w:bookmarkEnd w:id="20"/>
      <w:r>
        <w:t>temporary employee</w:t>
      </w:r>
      <w:r>
        <w:tab/>
        <w:t>3(3)</w:t>
      </w:r>
    </w:p>
    <w:p>
      <w:pPr>
        <w:pStyle w:val="DefinedTerms"/>
        <w:sectPr>
          <w:headerReference w:type="even" r:id="rId35"/>
          <w:headerReference w:type="default" r:id="rId36"/>
          <w:footerReference w:type="even" r:id="rId37"/>
          <w:footerReference w:type="default" r:id="rId38"/>
          <w:headerReference w:type="first" r:id="rId39"/>
          <w:footerReference w:type="first" r:id="rId40"/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41"/>
      <w:headerReference w:type="default" r:id="rId42"/>
      <w:headerReference w:type="first" r:id="rId43"/>
      <w:type w:val="continuous"/>
      <w:pgSz w:w="11906" w:h="16838" w:code="9"/>
      <w:pgMar w:top="2376" w:right="2404" w:bottom="3544" w:left="2404" w:header="720" w:footer="33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03-e0-02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01 Jan 2014</w:t>
    </w:r>
    <w:r>
      <w:rPr>
        <w:rFonts w:ascii="Arial" w:hAnsi="Arial" w:cs="Arial"/>
        <w:sz w:val="20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13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03-e0-02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01 Jan 2014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 xml:space="preserve"> </w:t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01 Jan 2014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03-e0-02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13</w:t>
    </w:r>
    <w:r>
      <w:rPr>
        <w:rStyle w:val="CharPageNo"/>
        <w:rFonts w:ascii="Arial" w:hAnsi="Arial"/>
      </w:rPr>
      <w:fldChar w:fldCharType="end"/>
    </w:r>
  </w:p>
  <w:p>
    <w:pPr>
      <w:rPr>
        <w:rStyle w:val="PageNumber"/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01 Jan 2014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03-e0-02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13</w:t>
    </w:r>
    <w:r>
      <w:rPr>
        <w:rStyle w:val="CharPageNo"/>
        <w:rFonts w:ascii="Arial" w:hAnsi="Arial"/>
      </w:rPr>
      <w:fldChar w:fldCharType="end"/>
    </w:r>
  </w:p>
  <w:p>
    <w:pPr>
      <w:rPr>
        <w:rStyle w:val="PageNumber"/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01 Jan 2014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03-e0-02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01 Jan 2014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03-e0-02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03-e0-02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01 Jan 2014</w:t>
    </w:r>
    <w:r>
      <w:rPr>
        <w:rFonts w:ascii="Arial" w:hAnsi="Arial" w:cs="Arial"/>
        <w:sz w:val="20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01 Jan 2014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03-e0-02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ii</w:t>
    </w:r>
    <w:r>
      <w:rPr>
        <w:rStyle w:val="PageNumber"/>
        <w:rFonts w:ascii="Arial" w:hAnsi="Arial" w:cs="Arial"/>
      </w:rPr>
      <w:fldChar w:fldCharType="end"/>
    </w:r>
  </w:p>
  <w:p>
    <w:pPr>
      <w:rPr>
        <w:rStyle w:val="PageNumber"/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01 Jan 2014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03-e0-02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>
    <w:pPr>
      <w:rPr>
        <w:rStyle w:val="PageNumber"/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12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03-e0-02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01 Jan 2014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 xml:space="preserve"> </w:t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01 Jan 2014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03-e0-02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11</w:t>
    </w:r>
    <w:r>
      <w:rPr>
        <w:rStyle w:val="CharPageNo"/>
        <w:rFonts w:ascii="Arial" w:hAnsi="Arial"/>
      </w:rPr>
      <w:fldChar w:fldCharType="end"/>
    </w:r>
  </w:p>
  <w:p>
    <w:pPr>
      <w:rPr>
        <w:rStyle w:val="PageNumber"/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01 Jan 2014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03-e0-02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>
    <w:pPr>
      <w:rPr>
        <w:rStyle w:val="PageNumber"/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\* MERGEFORMAT ">
            <w:r>
              <w:rPr>
                <w:noProof/>
              </w:rPr>
              <w:t>Construction Industry Portable Paid Long Service Leave Regulations 1986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  <w:rPr>
              <w:b w:val="0"/>
            </w:rPr>
          </w:pPr>
          <w:r>
            <w:fldChar w:fldCharType="begin"/>
          </w:r>
          <w:r>
            <w:instrText xml:space="preserve"> styleref CharSchno </w:instrText>
          </w:r>
          <w:r>
            <w:rPr>
              <w:noProof/>
            </w:rP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fldSimple w:instr=" styleref CharSchText ">
            <w:r>
              <w:rPr>
                <w:noProof/>
              </w:rPr>
              <w:t>Prescribed awards and classifications of work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  <w:rPr>
              <w:b w:val="0"/>
            </w:rPr>
          </w:pPr>
          <w:r>
            <w:rPr>
              <w:bCs/>
            </w:rPr>
            <w:fldChar w:fldCharType="begin"/>
          </w:r>
          <w:r>
            <w:rPr>
              <w:bCs/>
            </w:rPr>
            <w:instrText xml:space="preserve"> STYLEREF CharSDivNo \* charformat</w:instrText>
          </w:r>
          <w:r>
            <w:rPr>
              <w:bCs/>
            </w:rPr>
            <w:fldChar w:fldCharType="separate"/>
          </w:r>
          <w:r>
            <w:rPr>
              <w:bCs/>
              <w:noProof/>
            </w:rPr>
            <w:t>Division 1</w:t>
          </w:r>
          <w:r>
            <w:rPr>
              <w:bCs/>
            </w:rP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fldSimple w:instr=" styleref CharSDivText ">
            <w:r>
              <w:rPr>
                <w:noProof/>
              </w:rPr>
              <w:t>Awards given continuing effect under the Fair Work (Transitional Provisions and Consequential Amendments) Act 2009 (Commonwealth)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Construction Industry Portable Paid Long Service Leave Regulations 1986</w:t>
            </w:r>
          </w:fldSimple>
        </w:p>
      </w:tc>
    </w:tr>
    <w:tr>
      <w:tc>
        <w:tcPr>
          <w:tcW w:w="5715" w:type="dxa"/>
          <w:vAlign w:val="bottom"/>
        </w:tcPr>
        <w:p>
          <w:pPr>
            <w:pStyle w:val="HeaderTextRight"/>
          </w:pPr>
          <w:fldSimple w:instr=" styleref CharSchText ">
            <w:r>
              <w:rPr>
                <w:noProof/>
              </w:rPr>
              <w:t>Prescribed awards and classifications of work</w:t>
            </w:r>
          </w:fldSimple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CharSchno </w:instrText>
          </w:r>
          <w:r>
            <w:rPr>
              <w:noProof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  <w:fldSimple w:instr=" styleref CharSDivText ">
            <w:r>
              <w:rPr>
                <w:noProof/>
              </w:rPr>
              <w:t>Awards given continuing effect under the Fair Work (Transitional Provisions and Consequential Amendments) Act 2009 (Commonwealth)</w:t>
            </w:r>
          </w:fldSimple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rPr>
              <w:bCs/>
            </w:rPr>
            <w:fldChar w:fldCharType="begin"/>
          </w:r>
          <w:r>
            <w:rPr>
              <w:bCs/>
            </w:rPr>
            <w:instrText xml:space="preserve"> STYLEREF CharSDivNo \* charformat</w:instrText>
          </w:r>
          <w:r>
            <w:rPr>
              <w:bCs/>
            </w:rPr>
            <w:fldChar w:fldCharType="separate"/>
          </w:r>
          <w:r>
            <w:rPr>
              <w:bCs/>
              <w:noProof/>
            </w:rPr>
            <w:t>Division 1</w:t>
          </w:r>
          <w:r>
            <w:rPr>
              <w:bCs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  <w:rPr>
              <w:bCs/>
            </w:rPr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Construction Industry Portable Paid Long Service Leave Regulations 1986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Right"/>
            <w:ind w:right="17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\* MERGEFORMAT ">
            <w:r>
              <w:rPr>
                <w:noProof/>
              </w:rPr>
              <w:t>Construction Industry Portable Paid Long Service Leave Regulations 1986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  <w:rPr>
              <w:b w:val="0"/>
            </w:rPr>
          </w:pPr>
          <w:fldSimple w:instr=" styleref CharSchno ">
            <w:r>
              <w:rPr>
                <w:noProof/>
              </w:rPr>
              <w:t>Schedule 1</w:t>
            </w:r>
          </w:fldSimple>
        </w:p>
      </w:tc>
      <w:tc>
        <w:tcPr>
          <w:tcW w:w="5715" w:type="dxa"/>
        </w:tcPr>
        <w:p>
          <w:pPr>
            <w:pStyle w:val="HeaderTextLeft"/>
          </w:pPr>
          <w:fldSimple w:instr=" styleref CharSchText ">
            <w:r>
              <w:rPr>
                <w:noProof/>
              </w:rPr>
              <w:t>Prescribed awards and classifications of work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  <w:rPr>
              <w:b w:val="0"/>
            </w:rPr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Construction Industry Portable Paid Long Service Leave Regulations 1986</w:t>
            </w:r>
          </w:fldSimple>
        </w:p>
      </w:tc>
    </w:tr>
    <w:tr>
      <w:tc>
        <w:tcPr>
          <w:tcW w:w="5715" w:type="dxa"/>
          <w:vAlign w:val="bottom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  <w:fldSimple w:instr=" styleref CharSchno ">
            <w:r>
              <w:rPr>
                <w:noProof/>
              </w:rPr>
              <w:t>Schedule 1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  <w:rPr>
              <w:bCs/>
            </w:rPr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Construction Industry Portable Paid Long Service Leave Regulations 1986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Right"/>
            <w:ind w:right="17"/>
            <w:jc w:val="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Construction Industry Portable Paid Long Service Leave Regulations 1986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Right"/>
            <w:ind w:right="17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Construction Industry Portable Paid Long Service Leave Regulations 1986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Right"/>
            <w:ind w:right="17"/>
            <w:jc w:val="left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Construction Industry Portable Paid Long Service Leave Regulations 1986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Right"/>
            <w:ind w:right="17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Construction Industry Portable Paid Long Service Leave Regulations 1986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Right"/>
            <w:ind w:right="17"/>
            <w:jc w:val="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partodd"/>
      <w:ind w:left="0" w:firstLine="0"/>
      <w:jc w:val="right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Construction Industry Portable Paid Long Service Leave Regulations 1986</w:t>
    </w:r>
    <w:r>
      <w:rPr>
        <w:i/>
      </w:rPr>
      <w:fldChar w:fldCharType="end"/>
    </w:r>
  </w:p>
  <w:p>
    <w:pPr>
      <w:pStyle w:val="headerpartodd"/>
      <w:ind w:left="0" w:firstLine="0"/>
      <w:jc w:val="right"/>
      <w:rPr>
        <w:b w:val="0"/>
        <w:i/>
      </w:rPr>
    </w:pPr>
  </w:p>
  <w:p>
    <w:pPr>
      <w:pStyle w:val="headerpart"/>
      <w:jc w:val="right"/>
    </w:pPr>
  </w:p>
  <w:p>
    <w:pPr>
      <w:pStyle w:val="headerpart"/>
      <w:jc w:val="right"/>
    </w:pPr>
  </w:p>
  <w:p>
    <w:pPr>
      <w:pBdr>
        <w:bottom w:val="single" w:sz="6" w:space="1" w:color="auto"/>
      </w:pBdr>
      <w:jc w:val="right"/>
      <w:rPr>
        <w:b/>
      </w:rPr>
    </w:pPr>
  </w:p>
  <w:p>
    <w:pPr>
      <w:pStyle w:val="Header"/>
    </w:pP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Construction Industry Portable Paid Long Service Leave Regulations 1986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Right"/>
            <w:ind w:right="17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Left"/>
          </w:pPr>
          <w:r>
            <w:rPr>
              <w:i w:val="0"/>
            </w:rPr>
            <w:fldChar w:fldCharType="begin"/>
          </w:r>
          <w:r>
            <w:rPr>
              <w:i w:val="0"/>
            </w:rPr>
            <w:instrText xml:space="preserve"> Styleref "Name of Act/Reg" </w:instrText>
          </w:r>
          <w:r>
            <w:rPr>
              <w:i w:val="0"/>
            </w:rPr>
            <w:fldChar w:fldCharType="separate"/>
          </w:r>
          <w:r>
            <w:rPr>
              <w:i w:val="0"/>
              <w:noProof/>
            </w:rPr>
            <w:t>Construction Industry Portable Paid Long Service Leave Regulations 1986</w:t>
          </w:r>
          <w:r>
            <w:rPr>
              <w:i w:val="0"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Right"/>
          </w:pPr>
          <w:fldSimple w:instr=" Styleref &quot;Name of Act/Reg&quot; ">
            <w:r>
              <w:rPr>
                <w:noProof/>
              </w:rPr>
              <w:t>Construction Industry Portable Paid Long Service Leave Regulations 1986</w:t>
            </w:r>
          </w:fldSimple>
        </w:p>
      </w:tc>
    </w:tr>
    <w:tr>
      <w:tc>
        <w:tcPr>
          <w:tcW w:w="5760" w:type="dxa"/>
        </w:tcPr>
        <w:p>
          <w:pPr>
            <w:pStyle w:val="HeaderTextRight"/>
          </w:pPr>
        </w:p>
      </w:tc>
      <w:tc>
        <w:tcPr>
          <w:tcW w:w="1552" w:type="dxa"/>
        </w:tcPr>
        <w:p>
          <w:pPr>
            <w:pStyle w:val="HeaderNumberRight"/>
          </w:pPr>
        </w:p>
      </w:tc>
    </w:tr>
    <w:tr>
      <w:tc>
        <w:tcPr>
          <w:tcW w:w="5760" w:type="dxa"/>
        </w:tcPr>
        <w:p>
          <w:pPr>
            <w:pStyle w:val="HeaderTextRight"/>
          </w:pPr>
        </w:p>
      </w:tc>
      <w:tc>
        <w:tcPr>
          <w:tcW w:w="1552" w:type="dxa"/>
        </w:tcPr>
        <w:p>
          <w:pPr>
            <w:pStyle w:val="HeaderNumberRigh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Righ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Construction Industry Portable Paid Long Service Leave Regulations 1986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  <w:rPr>
              <w:sz w:val="19"/>
            </w:rPr>
          </w:pPr>
          <w:r>
            <w:rPr>
              <w:sz w:val="19"/>
            </w:rPr>
            <w:fldChar w:fldCharType="begin"/>
          </w:r>
          <w:r>
            <w:rPr>
              <w:sz w:val="19"/>
            </w:rPr>
            <w:instrText xml:space="preserve"> styleref CharPartText </w:instrText>
          </w:r>
          <w:r>
            <w:rPr>
              <w:sz w:val="19"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Left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Construction Industry Portable Paid Long Service Leave Regulations 1986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  <w:rPr>
              <w:sz w:val="19"/>
            </w:rPr>
          </w:pPr>
          <w:r>
            <w:rPr>
              <w:sz w:val="19"/>
            </w:rPr>
            <w:fldChar w:fldCharType="begin"/>
          </w:r>
          <w:r>
            <w:rPr>
              <w:sz w:val="19"/>
            </w:rPr>
            <w:instrText xml:space="preserve"> styleref CharPartText </w:instrText>
          </w:r>
          <w:r>
            <w:rPr>
              <w:sz w:val="19"/>
            </w:rP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Right"/>
            <w:ind w:right="17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CCAE6C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E2236B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894154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EC4453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65E8B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08C241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CA01BB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84328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694D49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F269F0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5CF074B"/>
    <w:multiLevelType w:val="multilevel"/>
    <w:tmpl w:val="C374C9FA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066210FD"/>
    <w:multiLevelType w:val="multilevel"/>
    <w:tmpl w:val="B008D350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21A614E3"/>
    <w:multiLevelType w:val="multilevel"/>
    <w:tmpl w:val="2ABEFE78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C2808C0"/>
    <w:multiLevelType w:val="singleLevel"/>
    <w:tmpl w:val="E35251DC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1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3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4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5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6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7">
    <w:nsid w:val="7A0F6C54"/>
    <w:multiLevelType w:val="multilevel"/>
    <w:tmpl w:val="A434F540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209110338"/>
    <w:docVar w:name="WAFER_20140113101323" w:val="RemoveTocBookmarks,RemoveUnusedBookmarks,RemoveLanguageTags,UsedStyles,ResetPageSize,UpdateArrangement"/>
    <w:docVar w:name="WAFER_20140113101323_GUID" w:val="5f81cad1-7723-42f9-9d25-a02d1577ebc2"/>
    <w:docVar w:name="WAFER_20140113101330" w:val="RemoveTocBookmarks,RunningHeaders"/>
    <w:docVar w:name="WAFER_20140113101330_GUID" w:val="01352ef8-3d04-495a-8294-181c2fb461e5"/>
    <w:docVar w:name="WAFER_20151209110338" w:val="RemoveTrackChanges"/>
    <w:docVar w:name="WAFER_20151209110338_GUID" w:val="dde72ae6-bd62-4beb-9fe5-702b99f09303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4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styleId="Header">
    <w:name w:val="header"/>
    <w:basedOn w:val="Normal"/>
    <w:next w:val="Heading5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character" w:styleId="PageNumber">
    <w:name w:val="page number"/>
    <w:basedOn w:val="DefaultParagraphFont"/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character" w:customStyle="1" w:styleId="CharSClsNo">
    <w:name w:val="CharSClsNo"/>
    <w:basedOn w:val="DefaultParagraphFont"/>
    <w:rPr>
      <w:sz w:val="22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uiPriority w:val="39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tabs>
        <w:tab w:val="num" w:pos="0"/>
      </w:tabs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ListBullet2">
    <w:name w:val="List Bullet 2"/>
    <w:basedOn w:val="Normal"/>
    <w:autoRedefine/>
    <w:pPr>
      <w:numPr>
        <w:numId w:val="3"/>
      </w:numPr>
    </w:pPr>
  </w:style>
  <w:style w:type="paragraph" w:styleId="ListBullet3">
    <w:name w:val="List Bullet 3"/>
    <w:basedOn w:val="Normal"/>
    <w:autoRedefine/>
    <w:pPr>
      <w:numPr>
        <w:numId w:val="4"/>
      </w:numPr>
    </w:pPr>
  </w:style>
  <w:style w:type="paragraph" w:styleId="ListBullet4">
    <w:name w:val="List Bullet 4"/>
    <w:basedOn w:val="Normal"/>
    <w:autoRedefine/>
    <w:pPr>
      <w:numPr>
        <w:numId w:val="5"/>
      </w:numPr>
    </w:pPr>
  </w:style>
  <w:style w:type="paragraph" w:styleId="ListBullet5">
    <w:name w:val="List Bullet 5"/>
    <w:basedOn w:val="Normal"/>
    <w:autoRedefine/>
    <w:pPr>
      <w:numPr>
        <w:numId w:val="6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</w:pPr>
  </w:style>
  <w:style w:type="paragraph" w:styleId="ListNumber3">
    <w:name w:val="List Number 3"/>
    <w:basedOn w:val="Normal"/>
    <w:pPr>
      <w:numPr>
        <w:numId w:val="9"/>
      </w:numPr>
    </w:pPr>
  </w:style>
  <w:style w:type="paragraph" w:styleId="ListNumber4">
    <w:name w:val="List Number 4"/>
    <w:basedOn w:val="Normal"/>
    <w:pPr>
      <w:numPr>
        <w:numId w:val="10"/>
      </w:numPr>
    </w:pPr>
  </w:style>
  <w:style w:type="paragraph" w:styleId="ListNumber5">
    <w:name w:val="List Number 5"/>
    <w:basedOn w:val="Normal"/>
    <w:pPr>
      <w:numPr>
        <w:numId w:val="11"/>
      </w:numPr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customStyle="1" w:styleId="HeaderActNameLeft">
    <w:name w:val="Header.ActName.Left"/>
    <w:rPr>
      <w:rFonts w:ascii="Arial" w:hAnsi="Arial"/>
      <w:b/>
      <w:i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</w:rPr>
  </w:style>
  <w:style w:type="paragraph" w:customStyle="1" w:styleId="HeaderTextLeft">
    <w:name w:val="Header.Text.Left"/>
    <w:pPr>
      <w:spacing w:before="40"/>
    </w:pPr>
    <w:rPr>
      <w:rFonts w:ascii="Arial" w:hAnsi="Arial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</w:rPr>
  </w:style>
  <w:style w:type="character" w:customStyle="1" w:styleId="CharPageNo">
    <w:name w:val="CharPageNo"/>
    <w:rPr>
      <w:noProof w:val="0"/>
      <w:sz w:val="20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Equation">
    <w:name w:val="Equation"/>
    <w:rPr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table">
    <w:name w:val="zytable"/>
    <w:basedOn w:val="yTable"/>
    <w:pPr>
      <w:ind w:left="567" w:right="284"/>
    </w:p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</w:r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yTableNAm">
    <w:name w:val="yTableNAm"/>
    <w:basedOn w:val="TableAm"/>
    <w:pPr>
      <w:tabs>
        <w:tab w:val="left" w:pos="567"/>
      </w:tabs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4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styleId="Header">
    <w:name w:val="header"/>
    <w:basedOn w:val="Normal"/>
    <w:next w:val="Heading5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character" w:styleId="PageNumber">
    <w:name w:val="page number"/>
    <w:basedOn w:val="DefaultParagraphFont"/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character" w:customStyle="1" w:styleId="CharSClsNo">
    <w:name w:val="CharSClsNo"/>
    <w:basedOn w:val="DefaultParagraphFont"/>
    <w:rPr>
      <w:sz w:val="22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uiPriority w:val="39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tabs>
        <w:tab w:val="num" w:pos="0"/>
      </w:tabs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ListBullet2">
    <w:name w:val="List Bullet 2"/>
    <w:basedOn w:val="Normal"/>
    <w:autoRedefine/>
    <w:pPr>
      <w:numPr>
        <w:numId w:val="3"/>
      </w:numPr>
    </w:pPr>
  </w:style>
  <w:style w:type="paragraph" w:styleId="ListBullet3">
    <w:name w:val="List Bullet 3"/>
    <w:basedOn w:val="Normal"/>
    <w:autoRedefine/>
    <w:pPr>
      <w:numPr>
        <w:numId w:val="4"/>
      </w:numPr>
    </w:pPr>
  </w:style>
  <w:style w:type="paragraph" w:styleId="ListBullet4">
    <w:name w:val="List Bullet 4"/>
    <w:basedOn w:val="Normal"/>
    <w:autoRedefine/>
    <w:pPr>
      <w:numPr>
        <w:numId w:val="5"/>
      </w:numPr>
    </w:pPr>
  </w:style>
  <w:style w:type="paragraph" w:styleId="ListBullet5">
    <w:name w:val="List Bullet 5"/>
    <w:basedOn w:val="Normal"/>
    <w:autoRedefine/>
    <w:pPr>
      <w:numPr>
        <w:numId w:val="6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</w:pPr>
  </w:style>
  <w:style w:type="paragraph" w:styleId="ListNumber3">
    <w:name w:val="List Number 3"/>
    <w:basedOn w:val="Normal"/>
    <w:pPr>
      <w:numPr>
        <w:numId w:val="9"/>
      </w:numPr>
    </w:pPr>
  </w:style>
  <w:style w:type="paragraph" w:styleId="ListNumber4">
    <w:name w:val="List Number 4"/>
    <w:basedOn w:val="Normal"/>
    <w:pPr>
      <w:numPr>
        <w:numId w:val="10"/>
      </w:numPr>
    </w:pPr>
  </w:style>
  <w:style w:type="paragraph" w:styleId="ListNumber5">
    <w:name w:val="List Number 5"/>
    <w:basedOn w:val="Normal"/>
    <w:pPr>
      <w:numPr>
        <w:numId w:val="11"/>
      </w:numPr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customStyle="1" w:styleId="HeaderActNameLeft">
    <w:name w:val="Header.ActName.Left"/>
    <w:rPr>
      <w:rFonts w:ascii="Arial" w:hAnsi="Arial"/>
      <w:b/>
      <w:i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</w:rPr>
  </w:style>
  <w:style w:type="paragraph" w:customStyle="1" w:styleId="HeaderTextLeft">
    <w:name w:val="Header.Text.Left"/>
    <w:pPr>
      <w:spacing w:before="40"/>
    </w:pPr>
    <w:rPr>
      <w:rFonts w:ascii="Arial" w:hAnsi="Arial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</w:rPr>
  </w:style>
  <w:style w:type="character" w:customStyle="1" w:styleId="CharPageNo">
    <w:name w:val="CharPageNo"/>
    <w:rPr>
      <w:noProof w:val="0"/>
      <w:sz w:val="20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Equation">
    <w:name w:val="Equation"/>
    <w:rPr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table">
    <w:name w:val="zytable"/>
    <w:basedOn w:val="yTable"/>
    <w:pPr>
      <w:ind w:left="567" w:right="284"/>
    </w:p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</w:r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yTableNAm">
    <w:name w:val="yTableNAm"/>
    <w:basedOn w:val="TableAm"/>
    <w:pPr>
      <w:tabs>
        <w:tab w:val="left" w:pos="567"/>
      </w:tabs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9" Type="http://schemas.openxmlformats.org/officeDocument/2006/relationships/header" Target="header20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header" Target="header17.xml"/><Relationship Id="rId42" Type="http://schemas.openxmlformats.org/officeDocument/2006/relationships/header" Target="header22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9.xml"/><Relationship Id="rId33" Type="http://schemas.openxmlformats.org/officeDocument/2006/relationships/header" Target="header16.xml"/><Relationship Id="rId38" Type="http://schemas.openxmlformats.org/officeDocument/2006/relationships/footer" Target="footer11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2.xml"/><Relationship Id="rId41" Type="http://schemas.openxmlformats.org/officeDocument/2006/relationships/header" Target="header2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8.xml"/><Relationship Id="rId32" Type="http://schemas.openxmlformats.org/officeDocument/2006/relationships/header" Target="header15.xml"/><Relationship Id="rId37" Type="http://schemas.openxmlformats.org/officeDocument/2006/relationships/footer" Target="footer10.xml"/><Relationship Id="rId40" Type="http://schemas.openxmlformats.org/officeDocument/2006/relationships/footer" Target="footer12.xm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header" Target="header11.xml"/><Relationship Id="rId36" Type="http://schemas.openxmlformats.org/officeDocument/2006/relationships/header" Target="header19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4.xm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0.xml"/><Relationship Id="rId30" Type="http://schemas.openxmlformats.org/officeDocument/2006/relationships/header" Target="header13.xml"/><Relationship Id="rId35" Type="http://schemas.openxmlformats.org/officeDocument/2006/relationships/header" Target="header18.xml"/><Relationship Id="rId43" Type="http://schemas.openxmlformats.org/officeDocument/2006/relationships/header" Target="header2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2375</Words>
  <Characters>12327</Characters>
  <Application>Microsoft Office Word</Application>
  <DocSecurity>0</DocSecurity>
  <Lines>616</Lines>
  <Paragraphs>350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14352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Construction Industry Portable Paid Long Service Leave Regulations 1986 - 03-e0-02</dc:title>
  <dc:subject/>
  <dc:creator/>
  <cp:keywords/>
  <dc:description/>
  <cp:lastModifiedBy>svcMRProcess</cp:lastModifiedBy>
  <cp:revision>4</cp:revision>
  <cp:lastPrinted>2007-07-26T02:52:00Z</cp:lastPrinted>
  <dcterms:created xsi:type="dcterms:W3CDTF">2018-09-10T07:44:00Z</dcterms:created>
  <dcterms:modified xsi:type="dcterms:W3CDTF">2018-09-10T07:44:00Z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19-Dec-1986 pp.4924-5</vt:lpwstr>
  </property>
  <property fmtid="{D5CDD505-2E9C-101B-9397-08002B2CF9AE}" pid="3" name="CommencementDate">
    <vt:lpwstr>20140101</vt:lpwstr>
  </property>
  <property fmtid="{D5CDD505-2E9C-101B-9397-08002B2CF9AE}" pid="4" name="DocumentType">
    <vt:lpwstr>Reg</vt:lpwstr>
  </property>
  <property fmtid="{D5CDD505-2E9C-101B-9397-08002B2CF9AE}" pid="5" name="OwlsUID">
    <vt:i4>4365</vt:i4>
  </property>
  <property fmtid="{D5CDD505-2E9C-101B-9397-08002B2CF9AE}" pid="6" name="ReprintNo">
    <vt:lpwstr>3</vt:lpwstr>
  </property>
  <property fmtid="{D5CDD505-2E9C-101B-9397-08002B2CF9AE}" pid="7" name="AsAtDate">
    <vt:lpwstr>01 Jan 2014</vt:lpwstr>
  </property>
  <property fmtid="{D5CDD505-2E9C-101B-9397-08002B2CF9AE}" pid="8" name="Suffix">
    <vt:lpwstr>03-e0-02</vt:lpwstr>
  </property>
</Properties>
</file>