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District Court of Western Australia Act 1969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_Toc377544390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_Toc377544391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_Toc377544392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_Toc377544393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_Toc377544394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_Toc377544395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Court’s seal applied electronically, effect of</w:t>
      </w:r>
      <w:r>
        <w:tab/>
      </w:r>
      <w:r>
        <w:fldChar w:fldCharType="begin"/>
      </w:r>
      <w:r>
        <w:instrText xml:space="preserve"> PAGEREF _Toc377544398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_Toc377544400 \h </w:instrText>
      </w:r>
      <w:r>
        <w:fldChar w:fldCharType="separate"/>
      </w:r>
      <w:r>
        <w:t>5</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_Toc377544401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_Toc377544402 \h </w:instrText>
      </w:r>
      <w:r>
        <w:fldChar w:fldCharType="separate"/>
      </w:r>
      <w:r>
        <w:t>6</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_Toc377544403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_Toc377544404 \h </w:instrText>
      </w:r>
      <w:r>
        <w:fldChar w:fldCharType="separate"/>
      </w:r>
      <w:r>
        <w:t>7</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_Toc377544405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_Toc377544406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_Toc377544408 \h </w:instrText>
      </w:r>
      <w:r>
        <w:fldChar w:fldCharType="separate"/>
      </w:r>
      <w:r>
        <w:t>8</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_Toc377544409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Filing and service of documents</w:t>
      </w:r>
    </w:p>
    <w:p>
      <w:pPr>
        <w:pStyle w:val="TOC4"/>
        <w:tabs>
          <w:tab w:val="right" w:leader="dot" w:pos="7086"/>
        </w:tabs>
        <w:rPr>
          <w:rFonts w:asciiTheme="minorHAnsi" w:eastAsiaTheme="minorEastAsia" w:hAnsiTheme="minorHAnsi" w:cstheme="minorBidi"/>
          <w:b w:val="0"/>
          <w:szCs w:val="22"/>
        </w:rPr>
      </w:pPr>
      <w:r>
        <w:t>Division 2 — Filing documents electronically</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_Toc377544412 \h </w:instrText>
      </w:r>
      <w:r>
        <w:fldChar w:fldCharType="separate"/>
      </w:r>
      <w:r>
        <w:t>10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_Toc377544413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_Toc377544415 \h </w:instrText>
      </w:r>
      <w:r>
        <w:fldChar w:fldCharType="separate"/>
      </w:r>
      <w:r>
        <w:t>13</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_Toc377544416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12 rule 2 modified: form of memorandum of appearance</w:t>
      </w:r>
      <w:r>
        <w:tab/>
      </w:r>
      <w:r>
        <w:fldChar w:fldCharType="begin"/>
      </w:r>
      <w:r>
        <w:instrText xml:space="preserve"> PAGEREF _Toc377544418 \h </w:instrText>
      </w:r>
      <w:r>
        <w:fldChar w:fldCharType="separate"/>
      </w:r>
      <w:r>
        <w:t>14</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_Toc377544419 \h </w:instrText>
      </w:r>
      <w:r>
        <w:fldChar w:fldCharType="separate"/>
      </w:r>
      <w:r>
        <w:t>14</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_Toc377544420 \h </w:instrText>
      </w:r>
      <w:r>
        <w:fldChar w:fldCharType="separate"/>
      </w:r>
      <w:r>
        <w:t>15</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_Toc377544421 \h </w:instrText>
      </w:r>
      <w:r>
        <w:fldChar w:fldCharType="separate"/>
      </w:r>
      <w:r>
        <w:t>15</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_Toc377544422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Case management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_Toc377544425 \h </w:instrText>
      </w:r>
      <w:r>
        <w:fldChar w:fldCharType="separate"/>
      </w:r>
      <w:r>
        <w:t>17</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_Toc377544426 \h </w:instrText>
      </w:r>
      <w:r>
        <w:fldChar w:fldCharType="separate"/>
      </w:r>
      <w:r>
        <w:t>17</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_Toc377544427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_Toc377544429 \h </w:instrText>
      </w:r>
      <w:r>
        <w:fldChar w:fldCharType="separate"/>
      </w:r>
      <w:r>
        <w:t>20</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_Toc377544430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Case management of cases commenced by writ</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_Toc377544433 \h </w:instrText>
      </w:r>
      <w:r>
        <w:fldChar w:fldCharType="separate"/>
      </w:r>
      <w:r>
        <w:t>21</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_Toc377544434 \h </w:instrText>
      </w:r>
      <w:r>
        <w:fldChar w:fldCharType="separate"/>
      </w:r>
      <w:r>
        <w:t>21</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_Toc377544435 \h </w:instrText>
      </w:r>
      <w:r>
        <w:fldChar w:fldCharType="separate"/>
      </w:r>
      <w:r>
        <w:t>22</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_Toc377544436 \h </w:instrText>
      </w:r>
      <w:r>
        <w:fldChar w:fldCharType="separate"/>
      </w:r>
      <w:r>
        <w:t>22</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_Toc377544437 \h </w:instrText>
      </w:r>
      <w:r>
        <w:fldChar w:fldCharType="separate"/>
      </w:r>
      <w:r>
        <w:t>23</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_Toc377544438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_Toc377544440 \h </w:instrText>
      </w:r>
      <w:r>
        <w:fldChar w:fldCharType="separate"/>
      </w:r>
      <w:r>
        <w:t>24</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_Toc377544441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_Toc377544443 \h </w:instrText>
      </w:r>
      <w:r>
        <w:fldChar w:fldCharType="separate"/>
      </w:r>
      <w:r>
        <w:t>26</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_Toc377544444 \h </w:instrText>
      </w:r>
      <w:r>
        <w:fldChar w:fldCharType="separate"/>
      </w:r>
      <w:r>
        <w:t>26</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_Toc377544445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_Toc377544447 \h </w:instrText>
      </w:r>
      <w:r>
        <w:fldChar w:fldCharType="separate"/>
      </w:r>
      <w:r>
        <w:t>28</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_Toc377544448 \h </w:instrText>
      </w:r>
      <w:r>
        <w:fldChar w:fldCharType="separate"/>
      </w:r>
      <w:r>
        <w:t>28</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_Toc377544449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_Toc377544451 \h </w:instrText>
      </w:r>
      <w:r>
        <w:fldChar w:fldCharType="separate"/>
      </w:r>
      <w:r>
        <w:t>31</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_Toc377544452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_Toc377544454 \h </w:instrText>
      </w:r>
      <w:r>
        <w:fldChar w:fldCharType="separate"/>
      </w:r>
      <w:r>
        <w:t>33</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_Toc377544455 \h </w:instrText>
      </w:r>
      <w:r>
        <w:fldChar w:fldCharType="separate"/>
      </w:r>
      <w:r>
        <w:t>33</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_Toc377544456 \h </w:instrText>
      </w:r>
      <w:r>
        <w:fldChar w:fldCharType="separate"/>
      </w:r>
      <w:r>
        <w:t>33</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_Toc377544457 \h </w:instrText>
      </w:r>
      <w:r>
        <w:fldChar w:fldCharType="separate"/>
      </w:r>
      <w:r>
        <w:t>34</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_Toc377544458 \h </w:instrText>
      </w:r>
      <w:r>
        <w:fldChar w:fldCharType="separate"/>
      </w:r>
      <w:r>
        <w:t>34</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_Toc377544459 \h </w:instrText>
      </w:r>
      <w:r>
        <w:fldChar w:fldCharType="separate"/>
      </w:r>
      <w:r>
        <w:t>34</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_Toc377544460 \h </w:instrText>
      </w:r>
      <w:r>
        <w:fldChar w:fldCharType="separate"/>
      </w:r>
      <w:r>
        <w:t>35</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_Toc377544461 \h </w:instrText>
      </w:r>
      <w:r>
        <w:fldChar w:fldCharType="separate"/>
      </w:r>
      <w:r>
        <w:t>35</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_Toc377544462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_Toc377544464 \h </w:instrText>
      </w:r>
      <w:r>
        <w:fldChar w:fldCharType="separate"/>
      </w:r>
      <w:r>
        <w:t>37</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_Toc377544465 \h </w:instrText>
      </w:r>
      <w:r>
        <w:fldChar w:fldCharType="separate"/>
      </w:r>
      <w:r>
        <w:t>37</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_Toc377544466 \h </w:instrText>
      </w:r>
      <w:r>
        <w:fldChar w:fldCharType="separate"/>
      </w:r>
      <w:r>
        <w:t>37</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_Toc377544467 \h </w:instrText>
      </w:r>
      <w:r>
        <w:fldChar w:fldCharType="separate"/>
      </w:r>
      <w:r>
        <w:t>38</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_Toc377544468 \h </w:instrText>
      </w:r>
      <w:r>
        <w:fldChar w:fldCharType="separate"/>
      </w:r>
      <w:r>
        <w:t>39</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_Toc377544469 \h </w:instrText>
      </w:r>
      <w:r>
        <w:fldChar w:fldCharType="separate"/>
      </w:r>
      <w:r>
        <w:t>40</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_Toc377544470 \h </w:instrText>
      </w:r>
      <w:r>
        <w:fldChar w:fldCharType="separate"/>
      </w:r>
      <w:r>
        <w:t>40</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_Toc377544471 \h </w:instrText>
      </w:r>
      <w:r>
        <w:fldChar w:fldCharType="separate"/>
      </w:r>
      <w:r>
        <w:t>41</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_Toc377544472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Obtaining evidence</w:t>
      </w:r>
    </w:p>
    <w:p>
      <w:pPr>
        <w:pStyle w:val="TOC4"/>
        <w:tabs>
          <w:tab w:val="right" w:leader="dot" w:pos="7086"/>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_Toc377544475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_Toc377544477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_Toc377544479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_Toc377544481 \h </w:instrText>
      </w:r>
      <w:r>
        <w:fldChar w:fldCharType="separate"/>
      </w:r>
      <w:r>
        <w:t>47</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_Toc377544482 \h </w:instrText>
      </w:r>
      <w:r>
        <w:fldChar w:fldCharType="separate"/>
      </w:r>
      <w:r>
        <w:t>47</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_Toc377544483 \h </w:instrText>
      </w:r>
      <w:r>
        <w:fldChar w:fldCharType="separate"/>
      </w:r>
      <w:r>
        <w:t>47</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_Toc377544484 \h </w:instrText>
      </w:r>
      <w:r>
        <w:fldChar w:fldCharType="separate"/>
      </w:r>
      <w:r>
        <w:t>48</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_Toc377544485 \h </w:instrText>
      </w:r>
      <w:r>
        <w:fldChar w:fldCharType="separate"/>
      </w:r>
      <w:r>
        <w:t>48</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_Toc377544486 \h </w:instrText>
      </w:r>
      <w:r>
        <w:fldChar w:fldCharType="separate"/>
      </w:r>
      <w:r>
        <w:t>48</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_Toc377544487 \h </w:instrText>
      </w:r>
      <w:r>
        <w:fldChar w:fldCharType="separate"/>
      </w:r>
      <w:r>
        <w:t>49</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_Toc377544488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_Toc377544490 \h </w:instrText>
      </w:r>
      <w:r>
        <w:fldChar w:fldCharType="separate"/>
      </w:r>
      <w:r>
        <w:t>51</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_Toc377544491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_Toc377544493 \h </w:instrText>
      </w:r>
      <w:r>
        <w:fldChar w:fldCharType="separate"/>
      </w:r>
      <w:r>
        <w:t>53</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_Toc377544494 \h </w:instrText>
      </w:r>
      <w:r>
        <w:fldChar w:fldCharType="separate"/>
      </w:r>
      <w:r>
        <w:t>53</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_Toc377544495 \h </w:instrText>
      </w:r>
      <w:r>
        <w:fldChar w:fldCharType="separate"/>
      </w:r>
      <w:r>
        <w:t>53</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_Toc377544496 \h </w:instrText>
      </w:r>
      <w:r>
        <w:fldChar w:fldCharType="separate"/>
      </w:r>
      <w:r>
        <w:t>54</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_Toc377544497 \h </w:instrText>
      </w:r>
      <w:r>
        <w:fldChar w:fldCharType="separate"/>
      </w:r>
      <w:r>
        <w:t>56</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_Toc377544498 \h </w:instrText>
      </w:r>
      <w:r>
        <w:fldChar w:fldCharType="separate"/>
      </w:r>
      <w:r>
        <w:t>57</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_Toc377544499 \h </w:instrText>
      </w:r>
      <w:r>
        <w:fldChar w:fldCharType="separate"/>
      </w:r>
      <w:r>
        <w:t>58</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_Toc377544500 \h </w:instrText>
      </w:r>
      <w:r>
        <w:fldChar w:fldCharType="separate"/>
      </w:r>
      <w:r>
        <w:t>59</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_Toc377544501 \h </w:instrText>
      </w:r>
      <w:r>
        <w:fldChar w:fldCharType="separate"/>
      </w:r>
      <w:r>
        <w:t>59</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_Toc377544502 \h </w:instrText>
      </w:r>
      <w:r>
        <w:fldChar w:fldCharType="separate"/>
      </w:r>
      <w:r>
        <w:t>60</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_Toc377544503 \h </w:instrText>
      </w:r>
      <w:r>
        <w:fldChar w:fldCharType="separate"/>
      </w:r>
      <w:r>
        <w:t>61</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_Toc377544504 \h </w:instrText>
      </w:r>
      <w:r>
        <w:fldChar w:fldCharType="separate"/>
      </w:r>
      <w:r>
        <w:t>61</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_Toc377544505 \h </w:instrText>
      </w:r>
      <w:r>
        <w:fldChar w:fldCharType="separate"/>
      </w:r>
      <w:r>
        <w:t>62</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_Toc377544506 \h </w:instrText>
      </w:r>
      <w:r>
        <w:fldChar w:fldCharType="separate"/>
      </w:r>
      <w:r>
        <w:t>63</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_Toc377544507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_Toc377544509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_Toc377544511 \h </w:instrText>
      </w:r>
      <w:r>
        <w:fldChar w:fldCharType="separate"/>
      </w:r>
      <w:r>
        <w:t>65</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_Toc377544512 \h </w:instrText>
      </w:r>
      <w:r>
        <w:fldChar w:fldCharType="separate"/>
      </w:r>
      <w:r>
        <w:t>65</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_Toc377544513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_Toc377544515 \h </w:instrText>
      </w:r>
      <w:r>
        <w:fldChar w:fldCharType="separate"/>
      </w:r>
      <w:r>
        <w:t>66</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_Toc377544516 \h </w:instrText>
      </w:r>
      <w:r>
        <w:fldChar w:fldCharType="separate"/>
      </w:r>
      <w:r>
        <w:t>66</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_Toc377544517 \h </w:instrText>
      </w:r>
      <w:r>
        <w:fldChar w:fldCharType="separate"/>
      </w:r>
      <w:r>
        <w:t>67</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_Toc377544518 \h </w:instrText>
      </w:r>
      <w:r>
        <w:fldChar w:fldCharType="separate"/>
      </w:r>
      <w:r>
        <w:t>67</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_Toc377544519 \h </w:instrText>
      </w:r>
      <w:r>
        <w:fldChar w:fldCharType="separate"/>
      </w:r>
      <w:r>
        <w:t>67</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_Toc377544520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_Toc377544522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_Toc377544523 \h </w:instrText>
      </w:r>
      <w:r>
        <w:fldChar w:fldCharType="separate"/>
      </w:r>
      <w:r>
        <w:t>69</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_Toc377544524 \h </w:instrText>
      </w:r>
      <w:r>
        <w:fldChar w:fldCharType="separate"/>
      </w:r>
      <w:r>
        <w:t>71</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_Toc377544525 \h </w:instrText>
      </w:r>
      <w:r>
        <w:fldChar w:fldCharType="separate"/>
      </w:r>
      <w:r>
        <w:t>71</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_Toc377544526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w:t>
      </w:r>
      <w:r>
        <w:tab/>
        <w:t>Access to records and things</w:t>
      </w:r>
      <w:r>
        <w:tab/>
      </w:r>
      <w:r>
        <w:fldChar w:fldCharType="begin"/>
      </w:r>
      <w:r>
        <w:instrText xml:space="preserve"> PAGEREF _Toc377544528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_Toc377544530 \h </w:instrText>
      </w:r>
      <w:r>
        <w:fldChar w:fldCharType="separate"/>
      </w:r>
      <w:r>
        <w:t>74</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_Toc377544531 \h </w:instrText>
      </w:r>
      <w:r>
        <w:fldChar w:fldCharType="separate"/>
      </w:r>
      <w:r>
        <w:t>74</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_Toc377544532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_Toc377544534 \h </w:instrText>
      </w:r>
      <w:r>
        <w:fldChar w:fldCharType="separate"/>
      </w:r>
      <w:r>
        <w:t>75</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_Toc377544535 \h </w:instrText>
      </w:r>
      <w:r>
        <w:fldChar w:fldCharType="separate"/>
      </w:r>
      <w:r>
        <w:t>77</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_Toc377544536 \h </w:instrText>
      </w:r>
      <w:r>
        <w:fldChar w:fldCharType="separate"/>
      </w:r>
      <w:r>
        <w:t>79</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_Toc377544537 \h </w:instrText>
      </w:r>
      <w:r>
        <w:fldChar w:fldCharType="separate"/>
      </w:r>
      <w:r>
        <w:t>81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_Toc377544538 \h </w:instrText>
      </w:r>
      <w:r>
        <w:fldChar w:fldCharType="separate"/>
      </w:r>
      <w:r>
        <w:t>82</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_Toc377544539 \h </w:instrText>
      </w:r>
      <w:r>
        <w:fldChar w:fldCharType="separate"/>
      </w:r>
      <w:r>
        <w:t>83</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_Toc377544540 \h </w:instrText>
      </w:r>
      <w:r>
        <w:fldChar w:fldCharType="separate"/>
      </w:r>
      <w:r>
        <w:t>84</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_Toc377544541 \h </w:instrText>
      </w:r>
      <w:r>
        <w:fldChar w:fldCharType="separate"/>
      </w:r>
      <w:r>
        <w:t>85</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_Toc377544542 \h </w:instrText>
      </w:r>
      <w:r>
        <w:fldChar w:fldCharType="separate"/>
      </w:r>
      <w:r>
        <w:t>87</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_Toc377544543 \h </w:instrText>
      </w:r>
      <w:r>
        <w:fldChar w:fldCharType="separate"/>
      </w:r>
      <w:r>
        <w:t>89</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_Toc377544544 \h </w:instrText>
      </w:r>
      <w:r>
        <w:fldChar w:fldCharType="separate"/>
      </w:r>
      <w:r>
        <w:t>94</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_Toc377544545 \h </w:instrText>
      </w:r>
      <w:r>
        <w:fldChar w:fldCharType="separate"/>
      </w:r>
      <w:r>
        <w:t>99</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_Toc377544546 \h </w:instrText>
      </w:r>
      <w:r>
        <w:fldChar w:fldCharType="separate"/>
      </w:r>
      <w:r>
        <w:t>100</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_Toc377544547 \h </w:instrText>
      </w:r>
      <w:r>
        <w:fldChar w:fldCharType="separate"/>
      </w:r>
      <w:r>
        <w:t>101</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_Toc377544548 \h </w:instrText>
      </w:r>
      <w:r>
        <w:fldChar w:fldCharType="separate"/>
      </w:r>
      <w:r>
        <w:t>104</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_Toc377544549 \h </w:instrText>
      </w:r>
      <w:r>
        <w:fldChar w:fldCharType="separate"/>
      </w:r>
      <w:r>
        <w:t>105</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_Toc377544550 \h </w:instrText>
      </w:r>
      <w:r>
        <w:fldChar w:fldCharType="separate"/>
      </w:r>
      <w:r>
        <w:t>108</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_Toc377544551 \h </w:instrText>
      </w:r>
      <w:r>
        <w:fldChar w:fldCharType="separate"/>
      </w:r>
      <w:r>
        <w:t>111</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_Toc377544552 \h </w:instrText>
      </w:r>
      <w:r>
        <w:fldChar w:fldCharType="separate"/>
      </w:r>
      <w:r>
        <w:t>112</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_Toc377544553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_Toc377544555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_Toc377544556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7754438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544390"/>
      <w:r>
        <w:rPr>
          <w:rStyle w:val="CharSectno"/>
        </w:rPr>
        <w:t>1</w:t>
      </w:r>
      <w:r>
        <w:t>.</w:t>
      </w:r>
      <w:r>
        <w:tab/>
        <w:t>Citation</w:t>
      </w:r>
      <w:bookmarkEnd w:id="2"/>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3" w:name="_Toc377544391"/>
      <w:r>
        <w:rPr>
          <w:rStyle w:val="CharSectno"/>
        </w:rPr>
        <w:t>2</w:t>
      </w:r>
      <w:r>
        <w:rPr>
          <w:spacing w:val="-2"/>
        </w:rPr>
        <w:t>.</w:t>
      </w:r>
      <w:r>
        <w:rPr>
          <w:spacing w:val="-2"/>
        </w:rPr>
        <w:tab/>
        <w:t>Commencement</w:t>
      </w:r>
      <w:bookmarkEnd w:id="3"/>
    </w:p>
    <w:p>
      <w:pPr>
        <w:pStyle w:val="Subsection"/>
      </w:pPr>
      <w:r>
        <w:rPr>
          <w:spacing w:val="-2"/>
        </w:rPr>
        <w:tab/>
      </w:r>
      <w:r>
        <w:rPr>
          <w:spacing w:val="-2"/>
        </w:rPr>
        <w:tab/>
        <w:t>These rules come into operation on 30 May 2005</w:t>
      </w:r>
      <w:r>
        <w:rPr>
          <w:rFonts w:ascii="Times" w:hAnsi="Times"/>
        </w:rPr>
        <w:t>.</w:t>
      </w:r>
    </w:p>
    <w:p>
      <w:pPr>
        <w:pStyle w:val="Heading5"/>
      </w:pPr>
      <w:bookmarkStart w:id="4" w:name="_Toc377544392"/>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5" w:name="_Toc377544393"/>
      <w:r>
        <w:rPr>
          <w:rStyle w:val="CharSectno"/>
        </w:rPr>
        <w:t>4</w:t>
      </w:r>
      <w:r>
        <w:t>.</w:t>
      </w:r>
      <w:r>
        <w:tab/>
        <w:t>File and serve document, meaning of</w:t>
      </w:r>
      <w:bookmarkEnd w:id="5"/>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 w:name="_Toc377544394"/>
      <w:r>
        <w:rPr>
          <w:rStyle w:val="CharSectno"/>
        </w:rPr>
        <w:t>5</w:t>
      </w:r>
      <w:r>
        <w:t>.</w:t>
      </w:r>
      <w:r>
        <w:tab/>
        <w:t>Application of these rules</w:t>
      </w:r>
      <w:bookmarkEnd w:id="6"/>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7" w:name="_Toc377544395"/>
      <w:r>
        <w:rPr>
          <w:rStyle w:val="CharSectno"/>
        </w:rPr>
        <w:t>6</w:t>
      </w:r>
      <w:r>
        <w:t>.</w:t>
      </w:r>
      <w:r>
        <w:tab/>
      </w:r>
      <w:r>
        <w:rPr>
          <w:i/>
        </w:rPr>
        <w:t>Rules of the Supreme Court 1971</w:t>
      </w:r>
      <w:r>
        <w:t>, application of</w:t>
      </w:r>
      <w:bookmarkEnd w:id="7"/>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8" w:name="_Toc377544396"/>
      <w:r>
        <w:rPr>
          <w:rStyle w:val="CharPartNo"/>
        </w:rPr>
        <w:t>Part 2</w:t>
      </w:r>
      <w:r>
        <w:t xml:space="preserve"> — </w:t>
      </w:r>
      <w:r>
        <w:rPr>
          <w:rStyle w:val="CharPartText"/>
        </w:rPr>
        <w:t>Administrative matters</w:t>
      </w:r>
      <w:bookmarkEnd w:id="8"/>
    </w:p>
    <w:p>
      <w:pPr>
        <w:pStyle w:val="Heading3"/>
      </w:pPr>
      <w:bookmarkStart w:id="9" w:name="_Toc377544397"/>
      <w:r>
        <w:rPr>
          <w:rStyle w:val="CharDivNo"/>
        </w:rPr>
        <w:t>Division 1</w:t>
      </w:r>
      <w:r>
        <w:t> — </w:t>
      </w:r>
      <w:r>
        <w:rPr>
          <w:rStyle w:val="CharDivText"/>
        </w:rPr>
        <w:t>Registry matters</w:t>
      </w:r>
      <w:bookmarkEnd w:id="9"/>
    </w:p>
    <w:p>
      <w:pPr>
        <w:pStyle w:val="Heading5"/>
      </w:pPr>
      <w:bookmarkStart w:id="10" w:name="_Toc377544398"/>
      <w:r>
        <w:rPr>
          <w:rStyle w:val="CharSectno"/>
        </w:rPr>
        <w:t>7</w:t>
      </w:r>
      <w:r>
        <w:t>.</w:t>
      </w:r>
      <w:r>
        <w:tab/>
        <w:t>Court’s seal applied electronically, effect of</w:t>
      </w:r>
      <w:bookmarkEnd w:id="1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11" w:name="_Toc377544399"/>
      <w:r>
        <w:rPr>
          <w:rStyle w:val="CharDivNo"/>
        </w:rPr>
        <w:t>Division 2</w:t>
      </w:r>
      <w:r>
        <w:t xml:space="preserve"> — </w:t>
      </w:r>
      <w:r>
        <w:rPr>
          <w:rStyle w:val="CharDivText"/>
        </w:rPr>
        <w:t>Registrars’ jurisdiction</w:t>
      </w:r>
      <w:bookmarkEnd w:id="11"/>
    </w:p>
    <w:p>
      <w:pPr>
        <w:pStyle w:val="Heading5"/>
      </w:pPr>
      <w:bookmarkStart w:id="12" w:name="_Toc377544400"/>
      <w:r>
        <w:rPr>
          <w:rStyle w:val="CharSectno"/>
        </w:rPr>
        <w:t>8</w:t>
      </w:r>
      <w:r>
        <w:t>.</w:t>
      </w:r>
      <w:r>
        <w:tab/>
        <w:t>Registrars’ general jurisdiction</w:t>
      </w:r>
      <w:bookmarkEnd w:id="1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13" w:name="_Toc377544401"/>
      <w:r>
        <w:rPr>
          <w:rStyle w:val="CharSectno"/>
        </w:rPr>
        <w:t>9</w:t>
      </w:r>
      <w:r>
        <w:t>.</w:t>
      </w:r>
      <w:r>
        <w:tab/>
        <w:t>Legally qualified registrar may be ordered to take account etc.</w:t>
      </w:r>
      <w:bookmarkEnd w:id="13"/>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14" w:name="_Toc377544402"/>
      <w:r>
        <w:rPr>
          <w:rStyle w:val="CharSectno"/>
        </w:rPr>
        <w:t>10</w:t>
      </w:r>
      <w:r>
        <w:t>.</w:t>
      </w:r>
      <w:r>
        <w:tab/>
        <w:t>Registrar may be required to calculate interest etc.</w:t>
      </w:r>
      <w:bookmarkEnd w:id="14"/>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15" w:name="_Toc377544403"/>
      <w:r>
        <w:rPr>
          <w:rStyle w:val="CharSectno"/>
        </w:rPr>
        <w:t>11</w:t>
      </w:r>
      <w:r>
        <w:t>.</w:t>
      </w:r>
      <w:r>
        <w:tab/>
        <w:t>Registrars’ matters, when may be listed before judge</w:t>
      </w:r>
      <w:bookmarkEnd w:id="1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16" w:name="_Toc377544404"/>
      <w:r>
        <w:rPr>
          <w:rStyle w:val="CharSectno"/>
        </w:rPr>
        <w:t>12</w:t>
      </w:r>
      <w:r>
        <w:t>.</w:t>
      </w:r>
      <w:r>
        <w:tab/>
        <w:t>Registrar may refer matter to judge</w:t>
      </w:r>
      <w:bookmarkEnd w:id="1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17" w:name="_Toc377544405"/>
      <w:r>
        <w:rPr>
          <w:rStyle w:val="CharSectno"/>
        </w:rPr>
        <w:t>13</w:t>
      </w:r>
      <w:r>
        <w:t>.</w:t>
      </w:r>
      <w:r>
        <w:tab/>
        <w:t>Registrars’ powers to obtain evidence etc.</w:t>
      </w:r>
      <w:bookmarkEnd w:id="1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18" w:name="_Toc377544406"/>
      <w:r>
        <w:rPr>
          <w:rStyle w:val="CharSectno"/>
        </w:rPr>
        <w:t>14</w:t>
      </w:r>
      <w:r>
        <w:t>.</w:t>
      </w:r>
      <w:r>
        <w:tab/>
        <w:t>Registrars’ office taken to be judges’ chambers</w:t>
      </w:r>
      <w:bookmarkEnd w:id="1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19" w:name="_Toc377544407"/>
      <w:r>
        <w:rPr>
          <w:rStyle w:val="CharDivNo"/>
        </w:rPr>
        <w:t>Division 3</w:t>
      </w:r>
      <w:r>
        <w:t> — </w:t>
      </w:r>
      <w:r>
        <w:rPr>
          <w:rStyle w:val="CharDivText"/>
        </w:rPr>
        <w:t>Appeals from registrars</w:t>
      </w:r>
      <w:bookmarkEnd w:id="19"/>
    </w:p>
    <w:p>
      <w:pPr>
        <w:pStyle w:val="Heading5"/>
      </w:pPr>
      <w:bookmarkStart w:id="20" w:name="_Toc377544408"/>
      <w:r>
        <w:rPr>
          <w:rStyle w:val="CharSectno"/>
        </w:rPr>
        <w:t>15</w:t>
      </w:r>
      <w:r>
        <w:t>.</w:t>
      </w:r>
      <w:r>
        <w:tab/>
        <w:t>Appeal lies from registrar to judge</w:t>
      </w:r>
      <w:bookmarkEnd w:id="20"/>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21" w:name="_Toc377544409"/>
      <w:r>
        <w:rPr>
          <w:rStyle w:val="CharSectno"/>
        </w:rPr>
        <w:t>16</w:t>
      </w:r>
      <w:r>
        <w:t>.</w:t>
      </w:r>
      <w:r>
        <w:tab/>
        <w:t>Directions hearing for appeals from registrars</w:t>
      </w:r>
      <w:bookmarkEnd w:id="21"/>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22" w:name="_Toc377544410"/>
      <w:r>
        <w:rPr>
          <w:rStyle w:val="CharPartNo"/>
        </w:rPr>
        <w:t>Part 3</w:t>
      </w:r>
      <w:r>
        <w:t xml:space="preserve"> — </w:t>
      </w:r>
      <w:r>
        <w:rPr>
          <w:rStyle w:val="CharPartText"/>
        </w:rPr>
        <w:t>Filing and service of documents</w:t>
      </w:r>
      <w:bookmarkEnd w:id="22"/>
    </w:p>
    <w:p>
      <w:pPr>
        <w:pStyle w:val="Footnoteheading"/>
      </w:pPr>
      <w:r>
        <w:tab/>
        <w:t>[Heading amended in Gazette 31 Jul 2007 p. 3809.]</w:t>
      </w:r>
    </w:p>
    <w:p>
      <w:pPr>
        <w:pStyle w:val="Ednotedivision"/>
      </w:pPr>
      <w:r>
        <w:t>[Division 1 (r. 17, 18) deleted in Gazette 31 Jul 2007 p. 3809.]</w:t>
      </w:r>
    </w:p>
    <w:p>
      <w:pPr>
        <w:pStyle w:val="Heading3"/>
      </w:pPr>
      <w:bookmarkStart w:id="23" w:name="_Toc377544411"/>
      <w:r>
        <w:rPr>
          <w:rStyle w:val="CharDivNo"/>
        </w:rPr>
        <w:t>Division 2</w:t>
      </w:r>
      <w:r>
        <w:t> — </w:t>
      </w:r>
      <w:r>
        <w:rPr>
          <w:rStyle w:val="CharDivText"/>
        </w:rPr>
        <w:t>Filing documents electronically</w:t>
      </w:r>
      <w:bookmarkEnd w:id="23"/>
    </w:p>
    <w:p>
      <w:pPr>
        <w:pStyle w:val="Heading5"/>
      </w:pPr>
      <w:bookmarkStart w:id="24" w:name="_Toc377544412"/>
      <w:r>
        <w:rPr>
          <w:rStyle w:val="CharSectno"/>
        </w:rPr>
        <w:t>19</w:t>
      </w:r>
      <w:r>
        <w:t>.</w:t>
      </w:r>
      <w:r>
        <w:tab/>
        <w:t>Some documents may be filed by fax</w:t>
      </w:r>
      <w:bookmarkEnd w:id="2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25" w:name="_Toc377544413"/>
      <w:r>
        <w:rPr>
          <w:rStyle w:val="CharSectno"/>
        </w:rPr>
        <w:t>20</w:t>
      </w:r>
      <w:r>
        <w:t>.</w:t>
      </w:r>
      <w:r>
        <w:tab/>
        <w:t>Some documents may be filed using Court’s website</w:t>
      </w:r>
      <w:bookmarkEnd w:id="25"/>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ageBreakBefore/>
        <w:spacing w:before="0"/>
      </w:pPr>
      <w:bookmarkStart w:id="26" w:name="_Toc377544414"/>
      <w:r>
        <w:rPr>
          <w:rStyle w:val="CharDivNo"/>
        </w:rPr>
        <w:t>Division 3</w:t>
      </w:r>
      <w:r>
        <w:t> — </w:t>
      </w:r>
      <w:r>
        <w:rPr>
          <w:rStyle w:val="CharDivText"/>
        </w:rPr>
        <w:t>Serving documents</w:t>
      </w:r>
      <w:bookmarkEnd w:id="26"/>
    </w:p>
    <w:p>
      <w:pPr>
        <w:pStyle w:val="Heading5"/>
      </w:pPr>
      <w:bookmarkStart w:id="27" w:name="_Toc377544415"/>
      <w:r>
        <w:rPr>
          <w:rStyle w:val="CharSectno"/>
        </w:rPr>
        <w:t>21</w:t>
      </w:r>
      <w:r>
        <w:t>.</w:t>
      </w:r>
      <w:r>
        <w:tab/>
        <w:t>Service of documents</w:t>
      </w:r>
      <w:bookmarkEnd w:id="27"/>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28" w:name="_Toc377544416"/>
      <w:r>
        <w:rPr>
          <w:rStyle w:val="CharSectno"/>
        </w:rPr>
        <w:t>21A</w:t>
      </w:r>
      <w:r>
        <w:t>.</w:t>
      </w:r>
      <w:r>
        <w:tab/>
        <w:t>Service of documents by Court</w:t>
      </w:r>
      <w:bookmarkEnd w:id="2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29" w:name="_Toc377544417"/>
      <w:r>
        <w:rPr>
          <w:rStyle w:val="CharDivNo"/>
        </w:rPr>
        <w:t>Division 4</w:t>
      </w:r>
      <w:r>
        <w:t> — </w:t>
      </w:r>
      <w:r>
        <w:rPr>
          <w:rStyle w:val="CharDivText"/>
        </w:rPr>
        <w:t>Miscellaneous</w:t>
      </w:r>
      <w:bookmarkEnd w:id="29"/>
    </w:p>
    <w:p>
      <w:pPr>
        <w:pStyle w:val="Heading5"/>
      </w:pPr>
      <w:bookmarkStart w:id="30" w:name="_Toc377544418"/>
      <w:r>
        <w:rPr>
          <w:rStyle w:val="CharSectno"/>
        </w:rPr>
        <w:t>22A</w:t>
      </w:r>
      <w:r>
        <w:t>.</w:t>
      </w:r>
      <w:r>
        <w:tab/>
        <w:t>RSC Order 12 rule 2 modified: form of memorandum of appearance</w:t>
      </w:r>
      <w:bookmarkEnd w:id="30"/>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31" w:name="_Toc377544419"/>
      <w:r>
        <w:rPr>
          <w:rStyle w:val="CharSectno"/>
        </w:rPr>
        <w:t>22B</w:t>
      </w:r>
      <w:r>
        <w:t>.</w:t>
      </w:r>
      <w:r>
        <w:tab/>
        <w:t>Form of notice of change of address for service or change of solicitors</w:t>
      </w:r>
      <w:bookmarkEnd w:id="31"/>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32" w:name="_Toc377544420"/>
      <w:r>
        <w:rPr>
          <w:rStyle w:val="CharSectno"/>
        </w:rPr>
        <w:t>22C</w:t>
      </w:r>
      <w:r>
        <w:t>.</w:t>
      </w:r>
      <w:r>
        <w:tab/>
        <w:t>Party may not be required to state geographical address</w:t>
      </w:r>
      <w:bookmarkEnd w:id="32"/>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33" w:name="_Toc377544421"/>
      <w:r>
        <w:rPr>
          <w:rStyle w:val="CharSectno"/>
        </w:rPr>
        <w:t>22</w:t>
      </w:r>
      <w:r>
        <w:t>.</w:t>
      </w:r>
      <w:r>
        <w:tab/>
        <w:t>Summonses for matters in chambers</w:t>
      </w:r>
      <w:bookmarkEnd w:id="3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34" w:name="_Toc377544422"/>
      <w:r>
        <w:rPr>
          <w:rStyle w:val="CharSectno"/>
        </w:rPr>
        <w:t>23A</w:t>
      </w:r>
      <w:r>
        <w:t>.</w:t>
      </w:r>
      <w:r>
        <w:tab/>
        <w:t>Affidavits, form of</w:t>
      </w:r>
      <w:bookmarkEnd w:id="34"/>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35" w:name="_Toc377544423"/>
      <w:r>
        <w:rPr>
          <w:rStyle w:val="CharPartNo"/>
        </w:rPr>
        <w:t>Part 4</w:t>
      </w:r>
      <w:r>
        <w:t xml:space="preserve"> — </w:t>
      </w:r>
      <w:r>
        <w:rPr>
          <w:rStyle w:val="CharPartText"/>
        </w:rPr>
        <w:t>Case management</w:t>
      </w:r>
      <w:bookmarkEnd w:id="35"/>
    </w:p>
    <w:p>
      <w:pPr>
        <w:pStyle w:val="Heading3"/>
      </w:pPr>
      <w:bookmarkStart w:id="36" w:name="_Toc377544424"/>
      <w:r>
        <w:rPr>
          <w:rStyle w:val="CharDivNo"/>
        </w:rPr>
        <w:t>Division 1</w:t>
      </w:r>
      <w:r>
        <w:t> — </w:t>
      </w:r>
      <w:r>
        <w:rPr>
          <w:rStyle w:val="CharDivText"/>
        </w:rPr>
        <w:t>Preliminary</w:t>
      </w:r>
      <w:bookmarkEnd w:id="36"/>
    </w:p>
    <w:p>
      <w:pPr>
        <w:pStyle w:val="Heading5"/>
      </w:pPr>
      <w:bookmarkStart w:id="37" w:name="_Toc377544425"/>
      <w:r>
        <w:rPr>
          <w:rStyle w:val="CharSectno"/>
        </w:rPr>
        <w:t>23</w:t>
      </w:r>
      <w:r>
        <w:t>.</w:t>
      </w:r>
      <w:r>
        <w:tab/>
        <w:t>Terms used</w:t>
      </w:r>
      <w:bookmarkEnd w:id="37"/>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r>
        <w:tab/>
        <w:t>[Rule 23 amended in Gazette 31 Jul 2007 p. 3810.]</w:t>
      </w:r>
    </w:p>
    <w:p>
      <w:pPr>
        <w:pStyle w:val="Heading5"/>
      </w:pPr>
      <w:bookmarkStart w:id="38" w:name="_Toc377544426"/>
      <w:r>
        <w:rPr>
          <w:rStyle w:val="CharSectno"/>
        </w:rPr>
        <w:t>24</w:t>
      </w:r>
      <w:r>
        <w:t>.</w:t>
      </w:r>
      <w:r>
        <w:tab/>
        <w:t>Case management direction, meaning of</w:t>
      </w:r>
      <w:bookmarkEnd w:id="3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39" w:name="_Toc377544427"/>
      <w:r>
        <w:rPr>
          <w:rStyle w:val="CharSectno"/>
        </w:rPr>
        <w:t>25</w:t>
      </w:r>
      <w:r>
        <w:t>.</w:t>
      </w:r>
      <w:r>
        <w:tab/>
        <w:t>Enforcement order, meaning of</w:t>
      </w:r>
      <w:bookmarkEnd w:id="3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40" w:name="_Toc377544428"/>
      <w:r>
        <w:rPr>
          <w:rStyle w:val="CharDivNo"/>
        </w:rPr>
        <w:t>Division 2</w:t>
      </w:r>
      <w:r>
        <w:t> — </w:t>
      </w:r>
      <w:r>
        <w:rPr>
          <w:rStyle w:val="CharDivText"/>
        </w:rPr>
        <w:t>Case management generally</w:t>
      </w:r>
      <w:bookmarkEnd w:id="40"/>
    </w:p>
    <w:p>
      <w:pPr>
        <w:pStyle w:val="Heading5"/>
      </w:pPr>
      <w:bookmarkStart w:id="41" w:name="_Toc377544429"/>
      <w:r>
        <w:rPr>
          <w:rStyle w:val="CharSectno"/>
        </w:rPr>
        <w:t>26</w:t>
      </w:r>
      <w:r>
        <w:t>.</w:t>
      </w:r>
      <w:r>
        <w:tab/>
        <w:t>Court may make case management directions etc.</w:t>
      </w:r>
      <w:bookmarkEnd w:id="41"/>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42" w:name="_Toc377544430"/>
      <w:r>
        <w:rPr>
          <w:rStyle w:val="CharSectno"/>
        </w:rPr>
        <w:t>27</w:t>
      </w:r>
      <w:r>
        <w:t>.</w:t>
      </w:r>
      <w:r>
        <w:tab/>
        <w:t>Case management hearing, registrar may hold</w:t>
      </w:r>
      <w:bookmarkEnd w:id="42"/>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43" w:name="_Toc377544431"/>
      <w:r>
        <w:rPr>
          <w:rStyle w:val="CharDivNo"/>
        </w:rPr>
        <w:t>Division 3</w:t>
      </w:r>
      <w:r>
        <w:t> — </w:t>
      </w:r>
      <w:r>
        <w:rPr>
          <w:rStyle w:val="CharDivText"/>
        </w:rPr>
        <w:t>Case management of cases commenced by writ</w:t>
      </w:r>
      <w:bookmarkEnd w:id="43"/>
    </w:p>
    <w:p>
      <w:pPr>
        <w:pStyle w:val="Heading4"/>
      </w:pPr>
      <w:bookmarkStart w:id="44" w:name="_Toc377544432"/>
      <w:r>
        <w:t>Subdivision 1 — Preliminary</w:t>
      </w:r>
      <w:bookmarkEnd w:id="44"/>
    </w:p>
    <w:p>
      <w:pPr>
        <w:pStyle w:val="Footnoteheading"/>
      </w:pPr>
      <w:r>
        <w:tab/>
        <w:t>[Heading inserted in Gazette 31 Jul 2007 p. 3811.]</w:t>
      </w:r>
    </w:p>
    <w:p>
      <w:pPr>
        <w:pStyle w:val="Heading5"/>
      </w:pPr>
      <w:bookmarkStart w:id="45" w:name="_Toc377544433"/>
      <w:r>
        <w:rPr>
          <w:rStyle w:val="CharSectno"/>
        </w:rPr>
        <w:t>28</w:t>
      </w:r>
      <w:r>
        <w:t>.</w:t>
      </w:r>
      <w:r>
        <w:tab/>
        <w:t>Application</w:t>
      </w:r>
      <w:bookmarkEnd w:id="45"/>
    </w:p>
    <w:p>
      <w:pPr>
        <w:pStyle w:val="Subsection"/>
      </w:pPr>
      <w:r>
        <w:tab/>
      </w:r>
      <w:r>
        <w:tab/>
        <w:t>This Division applies only to a case that is an action commenced by writ.</w:t>
      </w:r>
    </w:p>
    <w:p>
      <w:pPr>
        <w:pStyle w:val="Heading5"/>
      </w:pPr>
      <w:bookmarkStart w:id="46" w:name="_Toc377544434"/>
      <w:r>
        <w:rPr>
          <w:rStyle w:val="CharSectno"/>
        </w:rPr>
        <w:t>29</w:t>
      </w:r>
      <w:r>
        <w:t>.</w:t>
      </w:r>
      <w:r>
        <w:tab/>
        <w:t>Various RSC provisions do not apply</w:t>
      </w:r>
      <w:bookmarkEnd w:id="4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47" w:name="_Toc377544435"/>
      <w:r>
        <w:rPr>
          <w:rStyle w:val="CharSectno"/>
        </w:rPr>
        <w:t>31</w:t>
      </w:r>
      <w:r>
        <w:t>.</w:t>
      </w:r>
      <w:r>
        <w:tab/>
        <w:t>Case management hearing, holding of</w:t>
      </w:r>
      <w:bookmarkEnd w:id="4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48" w:name="_Toc377544436"/>
      <w:r>
        <w:rPr>
          <w:rStyle w:val="CharSectno"/>
        </w:rPr>
        <w:t>32</w:t>
      </w:r>
      <w:r>
        <w:t>.</w:t>
      </w:r>
      <w:r>
        <w:tab/>
        <w:t>Case management hearing, conduct of</w:t>
      </w:r>
      <w:bookmarkEnd w:id="4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49" w:name="_Toc377544437"/>
      <w:r>
        <w:rPr>
          <w:rStyle w:val="CharSectno"/>
        </w:rPr>
        <w:t>33</w:t>
      </w:r>
      <w:r>
        <w:t>.</w:t>
      </w:r>
      <w:r>
        <w:tab/>
        <w:t>Case management directions etc. may be made in other proceedings</w:t>
      </w:r>
      <w:bookmarkEnd w:id="4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50" w:name="_Toc377544438"/>
      <w:r>
        <w:rPr>
          <w:rStyle w:val="CharSectno"/>
        </w:rPr>
        <w:t>34</w:t>
      </w:r>
      <w:r>
        <w:t>.</w:t>
      </w:r>
      <w:r>
        <w:tab/>
        <w:t>Duties of parties at case management hearing etc.</w:t>
      </w:r>
      <w:bookmarkEnd w:id="50"/>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51" w:name="_Toc377544439"/>
      <w:r>
        <w:t>Subdivision 2 — Mediations</w:t>
      </w:r>
      <w:bookmarkEnd w:id="51"/>
    </w:p>
    <w:p>
      <w:pPr>
        <w:pStyle w:val="Footnoteheading"/>
      </w:pPr>
      <w:r>
        <w:tab/>
        <w:t>[Heading inserted in Gazette 31 Jul 2007 p. 3811.]</w:t>
      </w:r>
    </w:p>
    <w:p>
      <w:pPr>
        <w:pStyle w:val="Heading5"/>
      </w:pPr>
      <w:bookmarkStart w:id="52" w:name="_Toc377544440"/>
      <w:r>
        <w:rPr>
          <w:rStyle w:val="CharSectno"/>
        </w:rPr>
        <w:t>35</w:t>
      </w:r>
      <w:r>
        <w:t>.</w:t>
      </w:r>
      <w:r>
        <w:tab/>
        <w:t>Mediations</w:t>
      </w:r>
      <w:bookmarkEnd w:id="52"/>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53" w:name="_Toc377544441"/>
      <w:r>
        <w:rPr>
          <w:rStyle w:val="CharSectno"/>
        </w:rPr>
        <w:t>35A</w:t>
      </w:r>
      <w:r>
        <w:t>.</w:t>
      </w:r>
      <w:r>
        <w:tab/>
        <w:t>Mediation may serve as pre</w:t>
      </w:r>
      <w:r>
        <w:noBreakHyphen/>
        <w:t>trial conference</w:t>
      </w:r>
      <w:bookmarkEnd w:id="5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54" w:name="_Toc377544442"/>
      <w:r>
        <w:t>Subdivision 3 — Entry for trial, and ancillary matters</w:t>
      </w:r>
      <w:bookmarkEnd w:id="54"/>
    </w:p>
    <w:p>
      <w:pPr>
        <w:pStyle w:val="Footnoteheading"/>
      </w:pPr>
      <w:r>
        <w:tab/>
        <w:t>[Heading inserted in Gazette 31 Jul 2007 p. 3811.]</w:t>
      </w:r>
    </w:p>
    <w:p>
      <w:pPr>
        <w:pStyle w:val="Heading5"/>
        <w:spacing w:before="180"/>
      </w:pPr>
      <w:bookmarkStart w:id="55" w:name="_Toc377544443"/>
      <w:r>
        <w:rPr>
          <w:rStyle w:val="CharSectno"/>
        </w:rPr>
        <w:t>36</w:t>
      </w:r>
      <w:r>
        <w:t>.</w:t>
      </w:r>
      <w:r>
        <w:tab/>
        <w:t>Legal costs, lawyer to notify client of</w:t>
      </w:r>
      <w:bookmarkEnd w:id="55"/>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56" w:name="_Toc377544444"/>
      <w:r>
        <w:rPr>
          <w:rStyle w:val="CharSectno"/>
        </w:rPr>
        <w:t>37</w:t>
      </w:r>
      <w:r>
        <w:t>.</w:t>
      </w:r>
      <w:r>
        <w:tab/>
        <w:t>Entering a case for trial</w:t>
      </w:r>
      <w:bookmarkEnd w:id="56"/>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57" w:name="_Toc377544445"/>
      <w:r>
        <w:rPr>
          <w:rStyle w:val="CharSectno"/>
        </w:rPr>
        <w:t>38</w:t>
      </w:r>
      <w:r>
        <w:t>.</w:t>
      </w:r>
      <w:r>
        <w:tab/>
        <w:t>Plaintiff failing to enter case for trial, consequences</w:t>
      </w:r>
      <w:bookmarkEnd w:id="57"/>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58" w:name="_Toc377544446"/>
      <w:r>
        <w:t>Subdivision 4 — Pre</w:t>
      </w:r>
      <w:r>
        <w:noBreakHyphen/>
        <w:t>trial conference, and ancillary matters</w:t>
      </w:r>
      <w:bookmarkEnd w:id="58"/>
    </w:p>
    <w:p>
      <w:pPr>
        <w:pStyle w:val="Footnoteheading"/>
      </w:pPr>
      <w:r>
        <w:tab/>
        <w:t>[Heading inserted in Gazette 31 Jul 2007 p. 3811.]</w:t>
      </w:r>
    </w:p>
    <w:p>
      <w:pPr>
        <w:pStyle w:val="Heading5"/>
        <w:spacing w:before="180"/>
      </w:pPr>
      <w:bookmarkStart w:id="59" w:name="_Toc377544447"/>
      <w:r>
        <w:rPr>
          <w:rStyle w:val="CharSectno"/>
        </w:rPr>
        <w:t>39</w:t>
      </w:r>
      <w:r>
        <w:t>.</w:t>
      </w:r>
      <w:r>
        <w:tab/>
        <w:t>Pre</w:t>
      </w:r>
      <w:r>
        <w:noBreakHyphen/>
        <w:t>trial conference, preliminary matters</w:t>
      </w:r>
      <w:bookmarkEnd w:id="5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60" w:name="_Toc377544448"/>
      <w:r>
        <w:rPr>
          <w:rStyle w:val="CharSectno"/>
        </w:rPr>
        <w:t>40</w:t>
      </w:r>
      <w:r>
        <w:t>.</w:t>
      </w:r>
      <w:r>
        <w:tab/>
        <w:t>Pre</w:t>
      </w:r>
      <w:r>
        <w:noBreakHyphen/>
        <w:t>trial conference</w:t>
      </w:r>
      <w:bookmarkEnd w:id="60"/>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61" w:name="_Toc377544449"/>
      <w:r>
        <w:rPr>
          <w:rStyle w:val="CharSectno"/>
        </w:rPr>
        <w:t>41</w:t>
      </w:r>
      <w:r>
        <w:t>.</w:t>
      </w:r>
      <w:r>
        <w:tab/>
        <w:t>Pre</w:t>
      </w:r>
      <w:r>
        <w:noBreakHyphen/>
        <w:t>trial conference, ancillary matters</w:t>
      </w:r>
      <w:bookmarkEnd w:id="6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62" w:name="_Toc377544450"/>
      <w:r>
        <w:t>Subdivision 5 — Listing conference</w:t>
      </w:r>
      <w:bookmarkEnd w:id="62"/>
    </w:p>
    <w:p>
      <w:pPr>
        <w:pStyle w:val="Footnoteheading"/>
      </w:pPr>
      <w:r>
        <w:tab/>
        <w:t>[Heading inserted in Gazette 31 Jul 2007 p. 3812.]</w:t>
      </w:r>
    </w:p>
    <w:p>
      <w:pPr>
        <w:pStyle w:val="Heading5"/>
      </w:pPr>
      <w:bookmarkStart w:id="63" w:name="_Toc377544451"/>
      <w:r>
        <w:rPr>
          <w:rStyle w:val="CharSectno"/>
        </w:rPr>
        <w:t>42</w:t>
      </w:r>
      <w:r>
        <w:t>.</w:t>
      </w:r>
      <w:r>
        <w:tab/>
        <w:t>Listing conference, orders for purpose of</w:t>
      </w:r>
      <w:bookmarkEnd w:id="63"/>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64" w:name="_Toc377544452"/>
      <w:r>
        <w:rPr>
          <w:rStyle w:val="CharSectno"/>
        </w:rPr>
        <w:t>43</w:t>
      </w:r>
      <w:r>
        <w:t>.</w:t>
      </w:r>
      <w:r>
        <w:tab/>
        <w:t>Listing conference</w:t>
      </w:r>
      <w:bookmarkEnd w:id="6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65" w:name="_Toc377544453"/>
      <w:r>
        <w:t>Subdivision 6 — Inactive cases</w:t>
      </w:r>
      <w:bookmarkEnd w:id="65"/>
    </w:p>
    <w:p>
      <w:pPr>
        <w:pStyle w:val="Footnoteheading"/>
      </w:pPr>
      <w:r>
        <w:tab/>
        <w:t>[Heading inserted in Gazette 31 Jul 2007 p. 3812.]</w:t>
      </w:r>
    </w:p>
    <w:p>
      <w:pPr>
        <w:pStyle w:val="Heading5"/>
      </w:pPr>
      <w:bookmarkStart w:id="66" w:name="_Toc377544454"/>
      <w:r>
        <w:rPr>
          <w:rStyle w:val="CharSectno"/>
        </w:rPr>
        <w:t>43A</w:t>
      </w:r>
      <w:r>
        <w:t>.</w:t>
      </w:r>
      <w:r>
        <w:tab/>
        <w:t>Term used: Inactive Cases List</w:t>
      </w:r>
      <w:bookmarkEnd w:id="66"/>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67" w:name="_Toc377544455"/>
      <w:r>
        <w:rPr>
          <w:rStyle w:val="CharSectno"/>
        </w:rPr>
        <w:t>44</w:t>
      </w:r>
      <w:r>
        <w:t>.</w:t>
      </w:r>
      <w:r>
        <w:tab/>
        <w:t>Effect of non</w:t>
      </w:r>
      <w:r>
        <w:noBreakHyphen/>
        <w:t>compliance with Notice of Default</w:t>
      </w:r>
      <w:bookmarkEnd w:id="67"/>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68" w:name="_Toc377544456"/>
      <w:r>
        <w:rPr>
          <w:rStyle w:val="CharSectno"/>
        </w:rPr>
        <w:t>44A</w:t>
      </w:r>
      <w:r>
        <w:t>.</w:t>
      </w:r>
      <w:r>
        <w:tab/>
        <w:t>Cases inactive for 12 months deemed inactive</w:t>
      </w:r>
      <w:bookmarkEnd w:id="68"/>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69" w:name="_Toc377544457"/>
      <w:r>
        <w:rPr>
          <w:rStyle w:val="CharSectno"/>
        </w:rPr>
        <w:t>44B</w:t>
      </w:r>
      <w:r>
        <w:t>.</w:t>
      </w:r>
      <w:r>
        <w:tab/>
        <w:t>Registrar may issue summons to show cause</w:t>
      </w:r>
      <w:bookmarkEnd w:id="69"/>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70" w:name="_Toc377544458"/>
      <w:r>
        <w:rPr>
          <w:rStyle w:val="CharSectno"/>
        </w:rPr>
        <w:t>44C</w:t>
      </w:r>
      <w:r>
        <w:t>.</w:t>
      </w:r>
      <w:r>
        <w:tab/>
        <w:t>Springing order that case be put on Inactive Cases List</w:t>
      </w:r>
      <w:bookmarkEnd w:id="70"/>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71" w:name="_Toc377544459"/>
      <w:r>
        <w:rPr>
          <w:rStyle w:val="CharSectno"/>
        </w:rPr>
        <w:t>44D</w:t>
      </w:r>
      <w:r>
        <w:t>.</w:t>
      </w:r>
      <w:r>
        <w:tab/>
        <w:t>Parties to be notified of case being on Inactive Cases List and to advise clients</w:t>
      </w:r>
      <w:bookmarkEnd w:id="71"/>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72" w:name="_Toc377544460"/>
      <w:r>
        <w:rPr>
          <w:rStyle w:val="CharSectno"/>
        </w:rPr>
        <w:t>44E</w:t>
      </w:r>
      <w:r>
        <w:t>.</w:t>
      </w:r>
      <w:r>
        <w:tab/>
        <w:t>Consequences of case being on Inactive Cases List</w:t>
      </w:r>
      <w:bookmarkEnd w:id="72"/>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73" w:name="_Toc377544461"/>
      <w:r>
        <w:rPr>
          <w:rStyle w:val="CharSectno"/>
        </w:rPr>
        <w:t>44F</w:t>
      </w:r>
      <w:r>
        <w:t>.</w:t>
      </w:r>
      <w:r>
        <w:tab/>
        <w:t>Removing cases from Inactive Cases List</w:t>
      </w:r>
      <w:bookmarkEnd w:id="73"/>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74" w:name="_Toc377544462"/>
      <w:r>
        <w:rPr>
          <w:rStyle w:val="CharSectno"/>
        </w:rPr>
        <w:t>44G</w:t>
      </w:r>
      <w:r>
        <w:t>.</w:t>
      </w:r>
      <w:r>
        <w:tab/>
        <w:t>Certain inactive cases taken to have been dismissed</w:t>
      </w:r>
      <w:bookmarkEnd w:id="74"/>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75" w:name="_Toc377544463"/>
      <w:r>
        <w:rPr>
          <w:rStyle w:val="CharPartNo"/>
        </w:rPr>
        <w:t>Part 4A</w:t>
      </w:r>
      <w:r>
        <w:rPr>
          <w:rStyle w:val="CharDivNo"/>
        </w:rPr>
        <w:t> </w:t>
      </w:r>
      <w:r>
        <w:t>—</w:t>
      </w:r>
      <w:r>
        <w:rPr>
          <w:rStyle w:val="CharDivText"/>
        </w:rPr>
        <w:t> </w:t>
      </w:r>
      <w:r>
        <w:rPr>
          <w:rStyle w:val="CharPartText"/>
        </w:rPr>
        <w:t>Documents to be filed, served or delivered before trial</w:t>
      </w:r>
      <w:bookmarkEnd w:id="75"/>
    </w:p>
    <w:p>
      <w:pPr>
        <w:pStyle w:val="Footnoteheading"/>
      </w:pPr>
      <w:r>
        <w:tab/>
        <w:t>[Heading inserted in Gazette 31 Jul 2007 p. 3812.]</w:t>
      </w:r>
    </w:p>
    <w:p>
      <w:pPr>
        <w:pStyle w:val="Heading5"/>
      </w:pPr>
      <w:bookmarkStart w:id="76" w:name="_Toc377544464"/>
      <w:r>
        <w:rPr>
          <w:rStyle w:val="CharSectno"/>
        </w:rPr>
        <w:t>45A</w:t>
      </w:r>
      <w:r>
        <w:t>.</w:t>
      </w:r>
      <w:r>
        <w:tab/>
        <w:t>Application</w:t>
      </w:r>
      <w:bookmarkEnd w:id="7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77" w:name="_Toc377544465"/>
      <w:r>
        <w:rPr>
          <w:rStyle w:val="CharSectno"/>
        </w:rPr>
        <w:t>45B</w:t>
      </w:r>
      <w:r>
        <w:t>.</w:t>
      </w:r>
      <w:r>
        <w:tab/>
        <w:t>Term used: trial date</w:t>
      </w:r>
      <w:bookmarkEnd w:id="77"/>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78" w:name="_Toc377544466"/>
      <w:r>
        <w:rPr>
          <w:rStyle w:val="CharSectno"/>
        </w:rPr>
        <w:t>45C</w:t>
      </w:r>
      <w:r>
        <w:t>.</w:t>
      </w:r>
      <w:r>
        <w:tab/>
        <w:t>Particulars of damages</w:t>
      </w:r>
      <w:bookmarkEnd w:id="78"/>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79" w:name="_Toc377544467"/>
      <w:r>
        <w:rPr>
          <w:rStyle w:val="CharSectno"/>
        </w:rPr>
        <w:t>45D</w:t>
      </w:r>
      <w:r>
        <w:t>.</w:t>
      </w:r>
      <w:r>
        <w:tab/>
        <w:t>Building and engineering contracts, actions involving claims under</w:t>
      </w:r>
      <w:bookmarkEnd w:id="7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80" w:name="_Toc377544468"/>
      <w:r>
        <w:rPr>
          <w:rStyle w:val="CharSectno"/>
        </w:rPr>
        <w:t>45E</w:t>
      </w:r>
      <w:r>
        <w:t>.</w:t>
      </w:r>
      <w:r>
        <w:tab/>
        <w:t>Index of expert witness reports</w:t>
      </w:r>
      <w:bookmarkEnd w:id="8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81" w:name="_Toc377544469"/>
      <w:r>
        <w:rPr>
          <w:rStyle w:val="CharSectno"/>
        </w:rPr>
        <w:t>45F</w:t>
      </w:r>
      <w:r>
        <w:t>.</w:t>
      </w:r>
      <w:r>
        <w:tab/>
        <w:t>Papers for judge</w:t>
      </w:r>
      <w:bookmarkEnd w:id="8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82" w:name="_Toc377544470"/>
      <w:r>
        <w:rPr>
          <w:rStyle w:val="CharSectno"/>
        </w:rPr>
        <w:t>45G</w:t>
      </w:r>
      <w:r>
        <w:t>.</w:t>
      </w:r>
      <w:r>
        <w:tab/>
        <w:t>Reception of plans etc. in evidence</w:t>
      </w:r>
      <w:bookmarkEnd w:id="8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83" w:name="_Toc377544471"/>
      <w:r>
        <w:rPr>
          <w:rStyle w:val="CharSectno"/>
        </w:rPr>
        <w:t>45H</w:t>
      </w:r>
      <w:r>
        <w:t>.</w:t>
      </w:r>
      <w:r>
        <w:tab/>
        <w:t>Outline of submissions</w:t>
      </w:r>
      <w:bookmarkEnd w:id="8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tabs>
          <w:tab w:val="clear" w:pos="879"/>
        </w:tabs>
        <w:ind w:left="1560" w:hanging="993"/>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tabs>
          <w:tab w:val="clear" w:pos="879"/>
        </w:tabs>
        <w:ind w:left="1560" w:hanging="1305"/>
      </w:pPr>
      <w:r>
        <w:tab/>
        <w:t>[Example:</w:t>
      </w:r>
      <w:r>
        <w:br/>
        <w:t>Judgments:</w:t>
      </w:r>
      <w:r>
        <w:br/>
        <w:t>*3.</w:t>
      </w:r>
      <w:r>
        <w:tab/>
        <w:t xml:space="preserve">Ward v The Queen (2000) 23 WAR 254 at 274; [2000] </w:t>
      </w:r>
      <w:r>
        <w:tab/>
        <w:t>WASCA 413 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84" w:name="_Toc377544472"/>
      <w:r>
        <w:rPr>
          <w:rStyle w:val="CharSectno"/>
        </w:rPr>
        <w:t>45I</w:t>
      </w:r>
      <w:r>
        <w:t>.</w:t>
      </w:r>
      <w:r>
        <w:tab/>
        <w:t>List of witnesses</w:t>
      </w:r>
      <w:bookmarkEnd w:id="8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85" w:name="_Toc377544473"/>
      <w:r>
        <w:rPr>
          <w:rStyle w:val="CharPartNo"/>
        </w:rPr>
        <w:t>Part 5</w:t>
      </w:r>
      <w:r>
        <w:t xml:space="preserve"> — </w:t>
      </w:r>
      <w:r>
        <w:rPr>
          <w:rStyle w:val="CharPartText"/>
        </w:rPr>
        <w:t>Obtaining evidence</w:t>
      </w:r>
      <w:bookmarkEnd w:id="85"/>
    </w:p>
    <w:p>
      <w:pPr>
        <w:pStyle w:val="Heading3"/>
      </w:pPr>
      <w:bookmarkStart w:id="86" w:name="_Toc377544474"/>
      <w:r>
        <w:rPr>
          <w:rStyle w:val="CharDivNo"/>
        </w:rPr>
        <w:t>Division 1</w:t>
      </w:r>
      <w:r>
        <w:t xml:space="preserve"> — </w:t>
      </w:r>
      <w:r>
        <w:rPr>
          <w:rStyle w:val="CharDivText"/>
        </w:rPr>
        <w:t>Discovery</w:t>
      </w:r>
      <w:bookmarkEnd w:id="86"/>
    </w:p>
    <w:p>
      <w:pPr>
        <w:pStyle w:val="Heading5"/>
      </w:pPr>
      <w:bookmarkStart w:id="87" w:name="_Toc377544475"/>
      <w:r>
        <w:rPr>
          <w:rStyle w:val="CharSectno"/>
        </w:rPr>
        <w:t>46</w:t>
      </w:r>
      <w:r>
        <w:t>.</w:t>
      </w:r>
      <w:r>
        <w:tab/>
        <w:t>RSC Order 26 modified in actions commenced by writ</w:t>
      </w:r>
      <w:bookmarkEnd w:id="8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88" w:name="_Toc377544476"/>
      <w:r>
        <w:rPr>
          <w:rStyle w:val="CharDivNo"/>
        </w:rPr>
        <w:t>Division 2</w:t>
      </w:r>
      <w:r>
        <w:t xml:space="preserve"> — </w:t>
      </w:r>
      <w:r>
        <w:rPr>
          <w:rStyle w:val="CharDivText"/>
        </w:rPr>
        <w:t>Interrogatories</w:t>
      </w:r>
      <w:bookmarkEnd w:id="88"/>
    </w:p>
    <w:p>
      <w:pPr>
        <w:pStyle w:val="Heading5"/>
      </w:pPr>
      <w:bookmarkStart w:id="89" w:name="_Toc377544477"/>
      <w:r>
        <w:rPr>
          <w:rStyle w:val="CharSectno"/>
        </w:rPr>
        <w:t>47</w:t>
      </w:r>
      <w:r>
        <w:t>.</w:t>
      </w:r>
      <w:r>
        <w:tab/>
        <w:t>RSC Order 27 modified</w:t>
      </w:r>
      <w:bookmarkEnd w:id="8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90" w:name="_Toc377544478"/>
      <w:r>
        <w:rPr>
          <w:rStyle w:val="CharPartNo"/>
        </w:rPr>
        <w:t>Part 5A</w:t>
      </w:r>
      <w:r>
        <w:rPr>
          <w:rStyle w:val="CharDivNo"/>
        </w:rPr>
        <w:t> </w:t>
      </w:r>
      <w:r>
        <w:t>—</w:t>
      </w:r>
      <w:r>
        <w:rPr>
          <w:rStyle w:val="CharDivText"/>
        </w:rPr>
        <w:t> </w:t>
      </w:r>
      <w:r>
        <w:rPr>
          <w:rStyle w:val="CharPartText"/>
        </w:rPr>
        <w:t>Expert evidence</w:t>
      </w:r>
      <w:bookmarkEnd w:id="90"/>
    </w:p>
    <w:p>
      <w:pPr>
        <w:pStyle w:val="Footnoteheading"/>
      </w:pPr>
      <w:r>
        <w:tab/>
        <w:t>[Heading inserted in Gazette 31 Jul 2007 p. 3818.]</w:t>
      </w:r>
    </w:p>
    <w:p>
      <w:pPr>
        <w:pStyle w:val="Heading5"/>
      </w:pPr>
      <w:bookmarkStart w:id="91" w:name="_Toc377544479"/>
      <w:r>
        <w:rPr>
          <w:rStyle w:val="CharSectno"/>
        </w:rPr>
        <w:t>48</w:t>
      </w:r>
      <w:r>
        <w:t>.</w:t>
      </w:r>
      <w:r>
        <w:tab/>
        <w:t>Expert witnesses, certification as to compliance with practice directions</w:t>
      </w:r>
      <w:bookmarkEnd w:id="91"/>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92" w:name="_Toc377544480"/>
      <w:r>
        <w:rPr>
          <w:rStyle w:val="CharPartNo"/>
        </w:rPr>
        <w:t>Part 5BA</w:t>
      </w:r>
      <w:r>
        <w:rPr>
          <w:rStyle w:val="CharDivNo"/>
        </w:rPr>
        <w:t> </w:t>
      </w:r>
      <w:r>
        <w:t>—</w:t>
      </w:r>
      <w:r>
        <w:rPr>
          <w:rStyle w:val="CharDivText"/>
        </w:rPr>
        <w:t> </w:t>
      </w:r>
      <w:r>
        <w:rPr>
          <w:rStyle w:val="CharPartText"/>
        </w:rPr>
        <w:t>Subpoenas</w:t>
      </w:r>
      <w:bookmarkEnd w:id="92"/>
    </w:p>
    <w:p>
      <w:pPr>
        <w:pStyle w:val="Footnoteheading"/>
      </w:pPr>
      <w:r>
        <w:tab/>
        <w:t>[Heading inserted in Gazette 26 Jul 2013 p. 3413.]</w:t>
      </w:r>
    </w:p>
    <w:p>
      <w:pPr>
        <w:pStyle w:val="Heading5"/>
        <w:spacing w:before="240"/>
      </w:pPr>
      <w:bookmarkStart w:id="93" w:name="_Toc377544481"/>
      <w:r>
        <w:rPr>
          <w:rStyle w:val="CharSectno"/>
        </w:rPr>
        <w:t>48AA</w:t>
      </w:r>
      <w:r>
        <w:t>.</w:t>
      </w:r>
      <w:r>
        <w:tab/>
        <w:t>RSC Order 36B rules 1 and 2 modified: subpoena must not require both attendance and production</w:t>
      </w:r>
      <w:bookmarkEnd w:id="93"/>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94" w:name="_Toc377544482"/>
      <w:r>
        <w:rPr>
          <w:rStyle w:val="CharSectno"/>
        </w:rPr>
        <w:t>48AB</w:t>
      </w:r>
      <w:r>
        <w:t>.</w:t>
      </w:r>
      <w:r>
        <w:tab/>
        <w:t>RSC Order 36B rule 3 modified: form of subpoena</w:t>
      </w:r>
      <w:bookmarkEnd w:id="94"/>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95" w:name="_Toc377544483"/>
      <w:r>
        <w:rPr>
          <w:rStyle w:val="CharSectno"/>
        </w:rPr>
        <w:t>48AC</w:t>
      </w:r>
      <w:r>
        <w:t>.</w:t>
      </w:r>
      <w:r>
        <w:tab/>
        <w:t>RSC Order 36B rule 3A modified: notice must be filed and served on all parties</w:t>
      </w:r>
      <w:bookmarkEnd w:id="95"/>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96" w:name="_Toc377544484"/>
      <w:r>
        <w:rPr>
          <w:rStyle w:val="CharSectno"/>
        </w:rPr>
        <w:t>48AD</w:t>
      </w:r>
      <w:r>
        <w:t>.</w:t>
      </w:r>
      <w:r>
        <w:tab/>
        <w:t>RSC Order 36B rule 6 modified: producing copy of document on CD</w:t>
      </w:r>
      <w:r>
        <w:noBreakHyphen/>
        <w:t>ROM or DVD</w:t>
      </w:r>
      <w:bookmarkEnd w:id="96"/>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97" w:name="_Toc377544485"/>
      <w:r>
        <w:rPr>
          <w:rStyle w:val="CharSectno"/>
        </w:rPr>
        <w:t>48AE</w:t>
      </w:r>
      <w:r>
        <w:t>.</w:t>
      </w:r>
      <w:r>
        <w:tab/>
        <w:t>Subpoenas to produce not addressed to health professionals</w:t>
      </w:r>
      <w:bookmarkEnd w:id="97"/>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98" w:name="_Toc377544486"/>
      <w:r>
        <w:rPr>
          <w:rStyle w:val="CharSectno"/>
        </w:rPr>
        <w:t>48AF</w:t>
      </w:r>
      <w:r>
        <w:t>.</w:t>
      </w:r>
      <w:r>
        <w:tab/>
        <w:t>Subpoenas to produce addressed to health professionals</w:t>
      </w:r>
      <w:bookmarkEnd w:id="98"/>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99" w:name="_Toc377544487"/>
      <w:r>
        <w:rPr>
          <w:rStyle w:val="CharSectno"/>
        </w:rPr>
        <w:t>48AG</w:t>
      </w:r>
      <w:r>
        <w:t>.</w:t>
      </w:r>
      <w:r>
        <w:tab/>
        <w:t>RSC Order 36B rule 10 modified: disposal of documents and things produced</w:t>
      </w:r>
      <w:bookmarkEnd w:id="99"/>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100" w:name="_Toc377544488"/>
      <w:r>
        <w:rPr>
          <w:rStyle w:val="CharSectno"/>
        </w:rPr>
        <w:t>48AH</w:t>
      </w:r>
      <w:r>
        <w:t>.</w:t>
      </w:r>
      <w:r>
        <w:tab/>
        <w:t>RSC Order 36B rule 11 modified: losses and expenses incurred in compliance</w:t>
      </w:r>
      <w:bookmarkEnd w:id="100"/>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101" w:name="_Toc377544489"/>
      <w:r>
        <w:rPr>
          <w:rStyle w:val="CharPartNo"/>
        </w:rPr>
        <w:t>Part 5B</w:t>
      </w:r>
      <w:r>
        <w:rPr>
          <w:rStyle w:val="CharDivNo"/>
        </w:rPr>
        <w:t> </w:t>
      </w:r>
      <w:r>
        <w:t>—</w:t>
      </w:r>
      <w:r>
        <w:rPr>
          <w:rStyle w:val="CharDivText"/>
        </w:rPr>
        <w:t> </w:t>
      </w:r>
      <w:r>
        <w:rPr>
          <w:rStyle w:val="CharPartText"/>
        </w:rPr>
        <w:t>Applications before trial</w:t>
      </w:r>
      <w:bookmarkEnd w:id="101"/>
    </w:p>
    <w:p>
      <w:pPr>
        <w:pStyle w:val="Footnoteheading"/>
      </w:pPr>
      <w:r>
        <w:tab/>
        <w:t>[Heading inserted in Gazette 10 Dec 2010 p. 6265.]</w:t>
      </w:r>
    </w:p>
    <w:p>
      <w:pPr>
        <w:pStyle w:val="Heading5"/>
      </w:pPr>
      <w:bookmarkStart w:id="102" w:name="_Toc377544490"/>
      <w:r>
        <w:rPr>
          <w:rStyle w:val="CharSectno"/>
        </w:rPr>
        <w:t>48A</w:t>
      </w:r>
      <w:r>
        <w:t>.</w:t>
      </w:r>
      <w:r>
        <w:tab/>
        <w:t>Amending pleadings, RSC Order 21 modified</w:t>
      </w:r>
      <w:bookmarkEnd w:id="102"/>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03" w:name="_Toc377544491"/>
      <w:r>
        <w:rPr>
          <w:rStyle w:val="CharSectno"/>
        </w:rPr>
        <w:t>48B</w:t>
      </w:r>
      <w:r>
        <w:t>.</w:t>
      </w:r>
      <w:r>
        <w:tab/>
        <w:t>Interlocutory applications after listing for trial</w:t>
      </w:r>
      <w:bookmarkEnd w:id="103"/>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04" w:name="_Toc377544492"/>
      <w:r>
        <w:rPr>
          <w:rStyle w:val="CharPartNo"/>
        </w:rPr>
        <w:t>Part 6</w:t>
      </w:r>
      <w:r>
        <w:rPr>
          <w:rStyle w:val="CharDivNo"/>
        </w:rPr>
        <w:t xml:space="preserve"> </w:t>
      </w:r>
      <w:r>
        <w:t>—</w:t>
      </w:r>
      <w:r>
        <w:rPr>
          <w:rStyle w:val="CharDivText"/>
        </w:rPr>
        <w:t xml:space="preserve"> </w:t>
      </w:r>
      <w:r>
        <w:rPr>
          <w:rStyle w:val="CharPartText"/>
        </w:rPr>
        <w:t>Appeals to the Court</w:t>
      </w:r>
      <w:bookmarkEnd w:id="104"/>
    </w:p>
    <w:p>
      <w:pPr>
        <w:pStyle w:val="Heading5"/>
      </w:pPr>
      <w:bookmarkStart w:id="105" w:name="_Toc377544493"/>
      <w:r>
        <w:rPr>
          <w:rStyle w:val="CharSectno"/>
        </w:rPr>
        <w:t>49</w:t>
      </w:r>
      <w:r>
        <w:t>.</w:t>
      </w:r>
      <w:r>
        <w:tab/>
        <w:t>Terms used</w:t>
      </w:r>
      <w:bookmarkEnd w:id="105"/>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06" w:name="_Toc377544494"/>
      <w:r>
        <w:rPr>
          <w:rStyle w:val="CharSectno"/>
        </w:rPr>
        <w:t>50</w:t>
      </w:r>
      <w:r>
        <w:t>.</w:t>
      </w:r>
      <w:r>
        <w:tab/>
        <w:t>Appeal, nature of</w:t>
      </w:r>
      <w:bookmarkEnd w:id="10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07" w:name="_Toc377544495"/>
      <w:r>
        <w:t>51A.</w:t>
      </w:r>
      <w:r>
        <w:tab/>
        <w:t>Time for appealing</w:t>
      </w:r>
      <w:bookmarkEnd w:id="10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08" w:name="_Toc377544496"/>
      <w:r>
        <w:rPr>
          <w:rStyle w:val="CharSectno"/>
        </w:rPr>
        <w:t>51</w:t>
      </w:r>
      <w:r>
        <w:t>.</w:t>
      </w:r>
      <w:r>
        <w:tab/>
        <w:t>Appeal, commencement of</w:t>
      </w:r>
      <w:bookmarkEnd w:id="108"/>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09" w:name="_Toc377544497"/>
      <w:r>
        <w:rPr>
          <w:rStyle w:val="CharSectno"/>
        </w:rPr>
        <w:t>52</w:t>
      </w:r>
      <w:r>
        <w:t>.</w:t>
      </w:r>
      <w:r>
        <w:tab/>
        <w:t>Primary court to supply records when given notice</w:t>
      </w:r>
      <w:bookmarkEnd w:id="10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10" w:name="_Toc377544498"/>
      <w:r>
        <w:rPr>
          <w:rStyle w:val="CharSectno"/>
        </w:rPr>
        <w:t>53</w:t>
      </w:r>
      <w:r>
        <w:t>.</w:t>
      </w:r>
      <w:r>
        <w:tab/>
        <w:t>Appeal, responding to</w:t>
      </w:r>
      <w:bookmarkEnd w:id="11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111" w:name="_Toc377544499"/>
      <w:r>
        <w:rPr>
          <w:rStyle w:val="CharSectno"/>
        </w:rPr>
        <w:t>55</w:t>
      </w:r>
      <w:r>
        <w:t>.</w:t>
      </w:r>
      <w:r>
        <w:tab/>
        <w:t>Directions hearing</w:t>
      </w:r>
      <w:bookmarkEnd w:id="111"/>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112" w:name="_Toc377544500"/>
      <w:r>
        <w:rPr>
          <w:rStyle w:val="CharSectno"/>
        </w:rPr>
        <w:t>56A</w:t>
      </w:r>
      <w:r>
        <w:t>.</w:t>
      </w:r>
      <w:r>
        <w:tab/>
        <w:t>Dismissing appeals for want of prosecution</w:t>
      </w:r>
      <w:bookmarkEnd w:id="112"/>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13" w:name="_Toc377544501"/>
      <w:r>
        <w:rPr>
          <w:rStyle w:val="CharSectno"/>
        </w:rPr>
        <w:t>56</w:t>
      </w:r>
      <w:r>
        <w:t>.</w:t>
      </w:r>
      <w:r>
        <w:tab/>
        <w:t>New grounds of appeal etc. only with leave</w:t>
      </w:r>
      <w:bookmarkEnd w:id="11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14" w:name="_Toc377544502"/>
      <w:r>
        <w:rPr>
          <w:rStyle w:val="CharSectno"/>
        </w:rPr>
        <w:t>57</w:t>
      </w:r>
      <w:r>
        <w:t>.</w:t>
      </w:r>
      <w:r>
        <w:tab/>
        <w:t>Court’s powers as to appeals</w:t>
      </w:r>
      <w:bookmarkEnd w:id="114"/>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115" w:name="_Toc377544503"/>
      <w:r>
        <w:rPr>
          <w:rStyle w:val="CharSectno"/>
        </w:rPr>
        <w:t>58A</w:t>
      </w:r>
      <w:r>
        <w:t>.</w:t>
      </w:r>
      <w:r>
        <w:tab/>
        <w:t>Orders in appeals, applying for</w:t>
      </w:r>
      <w:bookmarkEnd w:id="11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16" w:name="_Toc377544504"/>
      <w:r>
        <w:rPr>
          <w:rStyle w:val="CharSectno"/>
        </w:rPr>
        <w:t>58B</w:t>
      </w:r>
      <w:r>
        <w:t>.</w:t>
      </w:r>
      <w:r>
        <w:tab/>
        <w:t>Consenting to orders</w:t>
      </w:r>
      <w:bookmarkEnd w:id="116"/>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17" w:name="_Toc377544505"/>
      <w:r>
        <w:rPr>
          <w:rStyle w:val="CharSectno"/>
        </w:rPr>
        <w:t>58</w:t>
      </w:r>
      <w:r>
        <w:t>.</w:t>
      </w:r>
      <w:r>
        <w:tab/>
        <w:t>Discontinuance</w:t>
      </w:r>
      <w:bookmarkEnd w:id="117"/>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18" w:name="_Toc377544506"/>
      <w:r>
        <w:rPr>
          <w:rStyle w:val="CharSectno"/>
        </w:rPr>
        <w:t>59</w:t>
      </w:r>
      <w:r>
        <w:t>.</w:t>
      </w:r>
      <w:r>
        <w:tab/>
        <w:t>Costs</w:t>
      </w:r>
      <w:bookmarkEnd w:id="118"/>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19" w:name="_Toc377544507"/>
      <w:r>
        <w:rPr>
          <w:rStyle w:val="CharSectno"/>
        </w:rPr>
        <w:t>60</w:t>
      </w:r>
      <w:r>
        <w:t>.</w:t>
      </w:r>
      <w:r>
        <w:tab/>
        <w:t>Final orders on appeal</w:t>
      </w:r>
      <w:bookmarkEnd w:id="119"/>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2"/>
      </w:pPr>
      <w:bookmarkStart w:id="120" w:name="_Toc377544508"/>
      <w:r>
        <w:rPr>
          <w:rStyle w:val="CharPartNo"/>
        </w:rPr>
        <w:t>Part 7</w:t>
      </w:r>
      <w:r>
        <w:rPr>
          <w:rStyle w:val="CharDivNo"/>
        </w:rPr>
        <w:t> </w:t>
      </w:r>
      <w:r>
        <w:t>—</w:t>
      </w:r>
      <w:r>
        <w:rPr>
          <w:rStyle w:val="CharDivText"/>
        </w:rPr>
        <w:t> </w:t>
      </w:r>
      <w:r>
        <w:rPr>
          <w:rStyle w:val="CharPartText"/>
        </w:rPr>
        <w:t>Hearings and trials</w:t>
      </w:r>
      <w:bookmarkEnd w:id="120"/>
    </w:p>
    <w:p>
      <w:pPr>
        <w:pStyle w:val="Heading5"/>
      </w:pPr>
      <w:bookmarkStart w:id="121" w:name="_Toc377544509"/>
      <w:r>
        <w:rPr>
          <w:rStyle w:val="CharSectno"/>
        </w:rPr>
        <w:t>61</w:t>
      </w:r>
      <w:r>
        <w:t>.</w:t>
      </w:r>
      <w:r>
        <w:tab/>
        <w:t>Outline of submissions etc. for certain hearings</w:t>
      </w:r>
      <w:bookmarkEnd w:id="12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122" w:name="_Toc37754451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22"/>
    </w:p>
    <w:p>
      <w:pPr>
        <w:pStyle w:val="Heading5"/>
      </w:pPr>
      <w:bookmarkStart w:id="123" w:name="_Toc377544511"/>
      <w:r>
        <w:rPr>
          <w:rStyle w:val="CharSectno"/>
        </w:rPr>
        <w:t>62</w:t>
      </w:r>
      <w:r>
        <w:t>.</w:t>
      </w:r>
      <w:r>
        <w:tab/>
        <w:t>Terms used</w:t>
      </w:r>
      <w:bookmarkEnd w:id="123"/>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24" w:name="_Toc377544512"/>
      <w:r>
        <w:rPr>
          <w:rStyle w:val="CharSectno"/>
        </w:rPr>
        <w:t>63</w:t>
      </w:r>
      <w:r>
        <w:t>.</w:t>
      </w:r>
      <w:r>
        <w:tab/>
        <w:t>Applications etc. that may be dealt with by a registrar</w:t>
      </w:r>
      <w:bookmarkEnd w:id="12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25" w:name="_Toc377544513"/>
      <w:r>
        <w:rPr>
          <w:rStyle w:val="CharSectno"/>
        </w:rPr>
        <w:t>64</w:t>
      </w:r>
      <w:r>
        <w:t>.</w:t>
      </w:r>
      <w:r>
        <w:tab/>
        <w:t>Registrar’s decision, review of</w:t>
      </w:r>
      <w:bookmarkEnd w:id="12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26" w:name="_Toc377544514"/>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126"/>
    </w:p>
    <w:p>
      <w:pPr>
        <w:pStyle w:val="Heading5"/>
      </w:pPr>
      <w:bookmarkStart w:id="127" w:name="_Toc377544515"/>
      <w:r>
        <w:rPr>
          <w:rStyle w:val="CharSectno"/>
        </w:rPr>
        <w:t>65</w:t>
      </w:r>
      <w:r>
        <w:t>.</w:t>
      </w:r>
      <w:r>
        <w:tab/>
        <w:t>Terms used</w:t>
      </w:r>
      <w:bookmarkEnd w:id="12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28" w:name="_Toc377544516"/>
      <w:r>
        <w:rPr>
          <w:rStyle w:val="CharSectno"/>
        </w:rPr>
        <w:t>66</w:t>
      </w:r>
      <w:r>
        <w:t>.</w:t>
      </w:r>
      <w:r>
        <w:tab/>
        <w:t>Applications, how they are to be made</w:t>
      </w:r>
      <w:bookmarkEnd w:id="128"/>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29" w:name="_Toc377544517"/>
      <w:r>
        <w:rPr>
          <w:rStyle w:val="CharSectno"/>
        </w:rPr>
        <w:t>67</w:t>
      </w:r>
      <w:r>
        <w:t>.</w:t>
      </w:r>
      <w:r>
        <w:tab/>
        <w:t>Respondent’s rights and obligations</w:t>
      </w:r>
      <w:bookmarkEnd w:id="12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30" w:name="_Toc377544518"/>
      <w:r>
        <w:rPr>
          <w:rStyle w:val="CharSectno"/>
        </w:rPr>
        <w:t>68</w:t>
      </w:r>
      <w:r>
        <w:t>.</w:t>
      </w:r>
      <w:r>
        <w:tab/>
        <w:t>Court may order parties to be added</w:t>
      </w:r>
      <w:bookmarkEnd w:id="130"/>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31" w:name="_Toc377544519"/>
      <w:r>
        <w:rPr>
          <w:rStyle w:val="CharSectno"/>
        </w:rPr>
        <w:t>69</w:t>
      </w:r>
      <w:r>
        <w:t>.</w:t>
      </w:r>
      <w:r>
        <w:tab/>
        <w:t>Deponents to attend for cross examination</w:t>
      </w:r>
      <w:bookmarkEnd w:id="13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32" w:name="_Toc377544520"/>
      <w:r>
        <w:rPr>
          <w:rStyle w:val="CharSectno"/>
        </w:rPr>
        <w:t>70</w:t>
      </w:r>
      <w:r>
        <w:t>.</w:t>
      </w:r>
      <w:r>
        <w:tab/>
        <w:t>Evidentiary matters</w:t>
      </w:r>
      <w:bookmarkEnd w:id="13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33" w:name="_Toc377544521"/>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33"/>
    </w:p>
    <w:p>
      <w:pPr>
        <w:pStyle w:val="Footnoteheading"/>
      </w:pPr>
      <w:r>
        <w:tab/>
        <w:t>[Heading inserted in Gazette 17 Jun 2011 p. 2154.]</w:t>
      </w:r>
    </w:p>
    <w:p>
      <w:pPr>
        <w:pStyle w:val="Heading5"/>
      </w:pPr>
      <w:bookmarkStart w:id="134" w:name="_Toc377544522"/>
      <w:r>
        <w:rPr>
          <w:rStyle w:val="CharSectno"/>
        </w:rPr>
        <w:t>71A</w:t>
      </w:r>
      <w:r>
        <w:t>.</w:t>
      </w:r>
      <w:r>
        <w:tab/>
        <w:t>Terms used</w:t>
      </w:r>
      <w:bookmarkEnd w:id="13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135" w:name="_Toc377544523"/>
      <w:r>
        <w:rPr>
          <w:rStyle w:val="CharSectno"/>
        </w:rPr>
        <w:t>71B</w:t>
      </w:r>
      <w:r>
        <w:t>.</w:t>
      </w:r>
      <w:r>
        <w:tab/>
        <w:t>Application under Act s. 5, how to make</w:t>
      </w:r>
      <w:bookmarkEnd w:id="13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136" w:name="_Toc377544524"/>
      <w:r>
        <w:rPr>
          <w:rStyle w:val="CharSectno"/>
        </w:rPr>
        <w:t>71C</w:t>
      </w:r>
      <w:r>
        <w:t>.</w:t>
      </w:r>
      <w:r>
        <w:tab/>
        <w:t>Application under Act s. 21, how to make</w:t>
      </w:r>
      <w:bookmarkEnd w:id="13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137" w:name="_Toc377544525"/>
      <w:r>
        <w:rPr>
          <w:rStyle w:val="CharSectno"/>
        </w:rPr>
        <w:t>71D</w:t>
      </w:r>
      <w:r>
        <w:t>.</w:t>
      </w:r>
      <w:r>
        <w:tab/>
        <w:t>Responding to applications</w:t>
      </w:r>
      <w:bookmarkEnd w:id="13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138" w:name="_Toc377544526"/>
      <w:r>
        <w:rPr>
          <w:rStyle w:val="CharSectno"/>
        </w:rPr>
        <w:t>71E</w:t>
      </w:r>
      <w:r>
        <w:t>.</w:t>
      </w:r>
      <w:r>
        <w:tab/>
        <w:t>Corrected PBO, registrar’s duties as to</w:t>
      </w:r>
      <w:bookmarkEnd w:id="13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139" w:name="_Toc377544527"/>
      <w:r>
        <w:rPr>
          <w:rStyle w:val="CharPartNo"/>
        </w:rPr>
        <w:t>Part 10</w:t>
      </w:r>
      <w:r>
        <w:rPr>
          <w:rStyle w:val="CharDivNo"/>
        </w:rPr>
        <w:t xml:space="preserve"> </w:t>
      </w:r>
      <w:r>
        <w:t>—</w:t>
      </w:r>
      <w:r>
        <w:rPr>
          <w:rStyle w:val="CharDivText"/>
        </w:rPr>
        <w:t xml:space="preserve"> </w:t>
      </w:r>
      <w:r>
        <w:rPr>
          <w:rStyle w:val="CharPartText"/>
        </w:rPr>
        <w:t>Miscellaneous</w:t>
      </w:r>
      <w:bookmarkEnd w:id="139"/>
    </w:p>
    <w:p>
      <w:pPr>
        <w:pStyle w:val="Heading5"/>
      </w:pPr>
      <w:bookmarkStart w:id="140" w:name="_Toc377544528"/>
      <w:r>
        <w:rPr>
          <w:rStyle w:val="CharSectno"/>
        </w:rPr>
        <w:t>71</w:t>
      </w:r>
      <w:r>
        <w:t>.</w:t>
      </w:r>
      <w:r>
        <w:tab/>
        <w:t>Access to records and things</w:t>
      </w:r>
      <w:bookmarkEnd w:id="140"/>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r>
        <w:t>[</w:t>
      </w:r>
      <w:r>
        <w:rPr>
          <w:b/>
        </w:rPr>
        <w:t>72.</w:t>
      </w:r>
      <w:r>
        <w:tab/>
        <w:t xml:space="preserve">Omitted under the Reprints Act 1984 s. 7(4)(f).] </w:t>
      </w:r>
    </w:p>
    <w:p>
      <w:pPr>
        <w:pStyle w:val="Subsection"/>
      </w:pPr>
      <w:r>
        <w:tab/>
      </w:r>
    </w:p>
    <w:p>
      <w:pPr>
        <w:pStyle w:val="Heading2"/>
      </w:pPr>
      <w:bookmarkStart w:id="141" w:name="_Toc377544529"/>
      <w:r>
        <w:rPr>
          <w:rStyle w:val="CharPartNo"/>
        </w:rPr>
        <w:t>Part 11</w:t>
      </w:r>
      <w:r>
        <w:rPr>
          <w:b w:val="0"/>
        </w:rPr>
        <w:t> </w:t>
      </w:r>
      <w:r>
        <w:t>—</w:t>
      </w:r>
      <w:r>
        <w:rPr>
          <w:b w:val="0"/>
        </w:rPr>
        <w:t> </w:t>
      </w:r>
      <w:r>
        <w:rPr>
          <w:rStyle w:val="CharPartText"/>
        </w:rPr>
        <w:t>Transitional and savings provisions</w:t>
      </w:r>
      <w:bookmarkEnd w:id="141"/>
    </w:p>
    <w:p>
      <w:pPr>
        <w:pStyle w:val="Footnoteheading"/>
      </w:pPr>
      <w:r>
        <w:tab/>
        <w:t>[Heading inserted in Gazette 31 Jul 2007 p. 3820.]</w:t>
      </w:r>
    </w:p>
    <w:p>
      <w:pPr>
        <w:pStyle w:val="Heading5"/>
      </w:pPr>
      <w:bookmarkStart w:id="142" w:name="_Toc377544530"/>
      <w:r>
        <w:rPr>
          <w:rStyle w:val="CharSectno"/>
        </w:rPr>
        <w:t>73</w:t>
      </w:r>
      <w:r>
        <w:t>.</w:t>
      </w:r>
      <w:r>
        <w:tab/>
        <w:t>Terms used</w:t>
      </w:r>
      <w:bookmarkEnd w:id="14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143" w:name="_Toc377544531"/>
      <w:r>
        <w:rPr>
          <w:rStyle w:val="CharSectno"/>
        </w:rPr>
        <w:t>74</w:t>
      </w:r>
      <w:r>
        <w:t>.</w:t>
      </w:r>
      <w:r>
        <w:tab/>
        <w:t>Cases to which former rules apply</w:t>
      </w:r>
      <w:bookmarkEnd w:id="143"/>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44" w:name="_Toc377544532"/>
      <w:r>
        <w:rPr>
          <w:rStyle w:val="CharSectno"/>
        </w:rPr>
        <w:t>75</w:t>
      </w:r>
      <w:r>
        <w:t>.</w:t>
      </w:r>
      <w:r>
        <w:tab/>
        <w:t>Outline of submissions for certain hearings</w:t>
      </w:r>
      <w:bookmarkEnd w:id="144"/>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5" w:name="_Toc377544533"/>
      <w:r>
        <w:rPr>
          <w:rStyle w:val="CharSchNo"/>
        </w:rPr>
        <w:t>Schedule 1</w:t>
      </w:r>
      <w:r>
        <w:rPr>
          <w:rStyle w:val="CharSDivNo"/>
        </w:rPr>
        <w:t> </w:t>
      </w:r>
      <w:r>
        <w:t>—</w:t>
      </w:r>
      <w:r>
        <w:rPr>
          <w:rStyle w:val="CharSDivText"/>
        </w:rPr>
        <w:t> </w:t>
      </w:r>
      <w:r>
        <w:rPr>
          <w:rStyle w:val="CharSchText"/>
        </w:rPr>
        <w:t>Forms</w:t>
      </w:r>
      <w:bookmarkEnd w:id="145"/>
    </w:p>
    <w:p>
      <w:pPr>
        <w:pStyle w:val="yShoulderClause"/>
      </w:pPr>
      <w:r>
        <w:t>[r. 3]</w:t>
      </w:r>
    </w:p>
    <w:p>
      <w:pPr>
        <w:pStyle w:val="yHeading5"/>
        <w:spacing w:after="120"/>
      </w:pPr>
      <w:bookmarkStart w:id="146" w:name="_Toc377544534"/>
      <w:r>
        <w:rPr>
          <w:rStyle w:val="CharSClsNo"/>
        </w:rPr>
        <w:t>1AA</w:t>
      </w:r>
      <w:r>
        <w:t>.</w:t>
      </w:r>
      <w:r>
        <w:tab/>
        <w:t>Memorandum of appearance (r. 22A)</w:t>
      </w:r>
      <w:bookmarkEnd w:id="14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w:t>
      </w:r>
    </w:p>
    <w:p>
      <w:pPr>
        <w:pStyle w:val="yHeading5"/>
        <w:pageBreakBefore/>
        <w:spacing w:before="0" w:after="120"/>
      </w:pPr>
      <w:bookmarkStart w:id="147" w:name="_Toc377544535"/>
      <w:r>
        <w:rPr>
          <w:rStyle w:val="CharSClsNo"/>
        </w:rPr>
        <w:t>1AB</w:t>
      </w:r>
      <w:r>
        <w:t>.</w:t>
      </w:r>
      <w:r>
        <w:tab/>
        <w:t>Notice of change of address for service (r. 22B)</w:t>
      </w:r>
      <w:bookmarkEnd w:id="14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before="0" w:after="120"/>
      </w:pPr>
      <w:bookmarkStart w:id="148" w:name="_Toc377544536"/>
      <w:r>
        <w:rPr>
          <w:rStyle w:val="CharSClsNo"/>
        </w:rPr>
        <w:t>1A</w:t>
      </w:r>
      <w:r>
        <w:t>.</w:t>
      </w:r>
      <w:r>
        <w:tab/>
        <w:t>Affidavit (r. 23A)</w:t>
      </w:r>
      <w:bookmarkEnd w:id="1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149" w:name="_Toc377544537"/>
      <w:r>
        <w:rPr>
          <w:rStyle w:val="CharSClsNo"/>
        </w:rPr>
        <w:t>1</w:t>
      </w:r>
      <w:r>
        <w:t>.</w:t>
      </w:r>
      <w:r>
        <w:tab/>
        <w:t>Entry for trial (r. 37)</w:t>
      </w:r>
      <w:bookmarkEnd w:id="149"/>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keepNext/>
              <w:keepLines/>
            </w:pPr>
            <w:r>
              <w:t>Contact details of party or lawyer</w:t>
            </w:r>
          </w:p>
        </w:tc>
        <w:tc>
          <w:tcPr>
            <w:tcW w:w="1062" w:type="dxa"/>
            <w:tcBorders>
              <w:bottom w:val="single" w:sz="4" w:space="0" w:color="auto"/>
            </w:tcBorders>
          </w:tcPr>
          <w:p>
            <w:pPr>
              <w:pStyle w:val="yTableNAm"/>
              <w:keepNext/>
              <w:keepLines/>
            </w:pPr>
            <w:r>
              <w:t>Name</w:t>
            </w:r>
          </w:p>
        </w:tc>
        <w:tc>
          <w:tcPr>
            <w:tcW w:w="4455" w:type="dxa"/>
            <w:gridSpan w:val="4"/>
            <w:tcBorders>
              <w:bottom w:val="single" w:sz="4" w:space="0" w:color="auto"/>
            </w:tcBorders>
          </w:tcPr>
          <w:p>
            <w:pPr>
              <w:pStyle w:val="yTableNAm"/>
              <w:keepNext/>
              <w:keepLines/>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spacing w:before="480" w:after="120"/>
      </w:pPr>
      <w:bookmarkStart w:id="150" w:name="_Toc377544538"/>
      <w:r>
        <w:rPr>
          <w:rStyle w:val="CharSClsNo"/>
        </w:rPr>
        <w:t>2</w:t>
      </w:r>
      <w:r>
        <w:t>.</w:t>
      </w:r>
      <w:r>
        <w:tab/>
        <w:t>Notice of default (entry for trial) (r. 38)</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0" w:after="120"/>
      </w:pPr>
      <w:bookmarkStart w:id="151" w:name="_Toc377544539"/>
      <w:r>
        <w:rPr>
          <w:rStyle w:val="CharSClsNo"/>
        </w:rPr>
        <w:t>3</w:t>
      </w:r>
      <w:r>
        <w:t>.</w:t>
      </w:r>
      <w:r>
        <w:rPr>
          <w:b w:val="0"/>
        </w:rPr>
        <w:tab/>
      </w:r>
      <w:r>
        <w:t>Outline of submissions (r. 45H, 61)</w:t>
      </w:r>
      <w:bookmarkEnd w:id="151"/>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pPr>
            <w:r>
              <w:t>District Court of Western Australia</w:t>
            </w:r>
          </w:p>
          <w:p>
            <w:pPr>
              <w:pStyle w:val="yTableNAm"/>
            </w:pPr>
            <w:r>
              <w:t xml:space="preserve">Held at Perth </w:t>
            </w:r>
            <w:r>
              <w:rPr>
                <w:vertAlign w:val="superscript"/>
              </w:rPr>
              <w:t>1</w:t>
            </w:r>
          </w:p>
        </w:tc>
        <w:tc>
          <w:tcPr>
            <w:tcW w:w="3149" w:type="dxa"/>
            <w:gridSpan w:val="2"/>
            <w:shd w:val="clear" w:color="auto" w:fill="auto"/>
          </w:tcPr>
          <w:p>
            <w:pPr>
              <w:pStyle w:val="yTableNAm"/>
            </w:pPr>
            <w:r>
              <w:t>Action No:</w:t>
            </w:r>
          </w:p>
        </w:tc>
      </w:tr>
      <w:tr>
        <w:trPr>
          <w:gridAfter w:val="1"/>
          <w:wAfter w:w="11" w:type="dxa"/>
          <w:trHeight w:val="240"/>
        </w:trPr>
        <w:tc>
          <w:tcPr>
            <w:tcW w:w="3928" w:type="dxa"/>
            <w:gridSpan w:val="2"/>
            <w:vMerge/>
            <w:shd w:val="clear" w:color="auto" w:fill="auto"/>
          </w:tcPr>
          <w:p>
            <w:pPr>
              <w:pStyle w:val="yTableNAm"/>
            </w:pPr>
          </w:p>
        </w:tc>
        <w:tc>
          <w:tcPr>
            <w:tcW w:w="3149" w:type="dxa"/>
            <w:gridSpan w:val="2"/>
            <w:shd w:val="clear" w:color="auto" w:fill="auto"/>
          </w:tcPr>
          <w:p>
            <w:pPr>
              <w:pStyle w:val="yTableNAm"/>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152" w:name="_Toc377544540"/>
      <w:r>
        <w:rPr>
          <w:rStyle w:val="CharSClsNo"/>
        </w:rPr>
        <w:t>4A</w:t>
      </w:r>
      <w:r>
        <w:t>.</w:t>
      </w:r>
      <w:r>
        <w:tab/>
        <w:t>Subpoena to attend to give evidence (r. 48AB)</w:t>
      </w:r>
      <w:bookmarkEnd w:id="1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153" w:name="_Toc377544541"/>
      <w:r>
        <w:rPr>
          <w:rStyle w:val="CharSClsNo"/>
        </w:rPr>
        <w:t>4B</w:t>
      </w:r>
      <w:r>
        <w:t>.</w:t>
      </w:r>
      <w:r>
        <w:tab/>
        <w:t>Subpoena notice — evidence (r. 48AB)</w:t>
      </w:r>
      <w:bookmarkEnd w:id="1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154" w:name="_Toc377544542"/>
      <w:r>
        <w:rPr>
          <w:rStyle w:val="CharSClsNo"/>
        </w:rPr>
        <w:t>4C</w:t>
      </w:r>
      <w:r>
        <w:t>.</w:t>
      </w:r>
      <w:r>
        <w:tab/>
        <w:t>Subpoena to produce documents (r. 48AB)</w:t>
      </w:r>
      <w:bookmarkEnd w:id="15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155" w:name="_Toc377544543"/>
      <w:r>
        <w:rPr>
          <w:rStyle w:val="CharSClsNo"/>
        </w:rPr>
        <w:t>4D</w:t>
      </w:r>
      <w:r>
        <w:t>.</w:t>
      </w:r>
      <w:r>
        <w:tab/>
        <w:t>Subpoena notice and declaration — documents or things (r. 48AG)</w:t>
      </w:r>
      <w:bookmarkEnd w:id="1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156" w:name="_Toc377544544"/>
      <w:r>
        <w:rPr>
          <w:rStyle w:val="CharSClsNo"/>
        </w:rPr>
        <w:t>4E</w:t>
      </w:r>
      <w:r>
        <w:t>.</w:t>
      </w:r>
      <w:r>
        <w:tab/>
        <w:t>Subpoena notice and declaration — documents or things (r. 48AG)</w:t>
      </w:r>
      <w:bookmarkEnd w:id="1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157" w:name="_Toc377544545"/>
      <w:r>
        <w:rPr>
          <w:rStyle w:val="CharSClsNo"/>
        </w:rPr>
        <w:t>4</w:t>
      </w:r>
      <w:r>
        <w:t>.</w:t>
      </w:r>
      <w:r>
        <w:tab/>
      </w:r>
      <w:r>
        <w:rPr>
          <w:i/>
        </w:rPr>
        <w:t xml:space="preserve">Prohibited Behaviour Orders Act 2010 </w:t>
      </w:r>
      <w:r>
        <w:t>s. 5 application (r. 71B)</w:t>
      </w:r>
      <w:bookmarkEnd w:id="1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158" w:name="_Toc377544546"/>
      <w:r>
        <w:rPr>
          <w:rStyle w:val="CharSClsNo"/>
        </w:rPr>
        <w:t>5</w:t>
      </w:r>
      <w:r>
        <w:t>.</w:t>
      </w:r>
      <w:r>
        <w:tab/>
      </w:r>
      <w:r>
        <w:rPr>
          <w:i/>
        </w:rPr>
        <w:t xml:space="preserve">Prohibited Behaviour Orders Act 2010 </w:t>
      </w:r>
      <w:r>
        <w:t>s. 21 application (r. 71C)</w:t>
      </w:r>
      <w:bookmarkEnd w:id="1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159" w:name="_Toc377544547"/>
      <w:r>
        <w:rPr>
          <w:rStyle w:val="CharSClsNo"/>
        </w:rPr>
        <w:t>6</w:t>
      </w:r>
      <w:r>
        <w:t>.</w:t>
      </w:r>
      <w:r>
        <w:tab/>
        <w:t>Appeal notice (r. 51(1))</w:t>
      </w:r>
      <w:bookmarkEnd w:id="15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160" w:name="_Toc377544548"/>
      <w:r>
        <w:rPr>
          <w:rStyle w:val="CharSClsNo"/>
          <w:szCs w:val="22"/>
        </w:rPr>
        <w:t>7</w:t>
      </w:r>
      <w:r>
        <w:rPr>
          <w:szCs w:val="22"/>
        </w:rPr>
        <w:t>.</w:t>
      </w:r>
      <w:r>
        <w:rPr>
          <w:szCs w:val="22"/>
        </w:rPr>
        <w:tab/>
        <w:t>Service certificate (r. 51(7))</w:t>
      </w:r>
      <w:bookmarkEnd w:id="1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161" w:name="_Toc377544549"/>
      <w:r>
        <w:rPr>
          <w:rStyle w:val="CharSClsNo"/>
          <w:szCs w:val="22"/>
        </w:rPr>
        <w:t>8A</w:t>
      </w:r>
      <w:r>
        <w:t>.</w:t>
      </w:r>
      <w:r>
        <w:tab/>
        <w:t xml:space="preserve">Appeal </w:t>
      </w:r>
      <w:r>
        <w:rPr>
          <w:szCs w:val="22"/>
        </w:rPr>
        <w:t>notice</w:t>
      </w:r>
      <w:r>
        <w:t xml:space="preserve"> (WCIMA appeal) (r. 51(4A))</w:t>
      </w:r>
      <w:bookmarkEnd w:id="1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162" w:name="_Toc377544550"/>
      <w:r>
        <w:rPr>
          <w:rStyle w:val="CharSClsNo"/>
          <w:szCs w:val="22"/>
        </w:rPr>
        <w:t>8</w:t>
      </w:r>
      <w:r>
        <w:t>.</w:t>
      </w:r>
      <w:r>
        <w:tab/>
        <w:t>Notice of respondent’s intention (r. 53)</w:t>
      </w:r>
      <w:bookmarkEnd w:id="1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163" w:name="_Toc377544551"/>
      <w:r>
        <w:rPr>
          <w:rStyle w:val="CharSClsNo"/>
        </w:rPr>
        <w:t>9</w:t>
      </w:r>
      <w:r>
        <w:t>.</w:t>
      </w:r>
      <w:r>
        <w:tab/>
        <w:t>Application in an appeal (r. 58A)</w:t>
      </w:r>
      <w:bookmarkEnd w:id="1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164" w:name="_Toc377544552"/>
      <w:r>
        <w:rPr>
          <w:rStyle w:val="CharSClsNo"/>
        </w:rPr>
        <w:t>10</w:t>
      </w:r>
      <w:r>
        <w:t>.</w:t>
      </w:r>
      <w:r>
        <w:tab/>
        <w:t>Consent notice (r. 58B)</w:t>
      </w:r>
      <w:bookmarkEnd w:id="1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165" w:name="_Toc377544553"/>
      <w:r>
        <w:rPr>
          <w:rStyle w:val="CharSClsNo"/>
        </w:rPr>
        <w:t>11</w:t>
      </w:r>
      <w:r>
        <w:t>.</w:t>
      </w:r>
      <w:r>
        <w:tab/>
        <w:t>Discontinuance notice (r. 58)</w:t>
      </w:r>
      <w:bookmarkEnd w:id="1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66" w:name="_Toc377544554"/>
      <w:r>
        <w:t>Notes</w:t>
      </w:r>
      <w:bookmarkEnd w:id="166"/>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7" w:name="_Toc377544555"/>
      <w: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rPr>
              <w:t>r. 1 and 2: 10 Dec 2010 (see r. 2(a));</w:t>
            </w:r>
            <w:r>
              <w:rPr>
                <w:snapToGrid w:val="0"/>
                <w:spacing w:val="-2"/>
                <w:sz w:val="19"/>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District Court Rules 2005</w:t>
            </w:r>
            <w:r>
              <w:rPr>
                <w:b/>
                <w:snapToGrid w:val="0"/>
                <w:spacing w:val="-2"/>
                <w:sz w:val="19"/>
              </w:rPr>
              <w:t xml:space="preserve"> as at 19 Aug 2011</w:t>
            </w:r>
            <w:r>
              <w:rPr>
                <w:snapToGrid w:val="0"/>
                <w:spacing w:val="-2"/>
                <w:sz w:val="19"/>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rPr>
            </w:pPr>
            <w:r>
              <w:rPr>
                <w:snapToGrid w:val="0"/>
                <w:spacing w:val="-2"/>
                <w:sz w:val="19"/>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Pr>
          <w:p>
            <w:pPr>
              <w:pStyle w:val="nTable"/>
              <w:spacing w:after="40"/>
              <w:rPr>
                <w:i/>
                <w:sz w:val="19"/>
              </w:rPr>
            </w:pPr>
            <w:r>
              <w:rPr>
                <w:i/>
                <w:sz w:val="19"/>
              </w:rPr>
              <w:t>District Court Amendment Rules 2013</w:t>
            </w:r>
          </w:p>
        </w:tc>
        <w:tc>
          <w:tcPr>
            <w:tcW w:w="1276" w:type="dxa"/>
          </w:tcPr>
          <w:p>
            <w:pPr>
              <w:pStyle w:val="nTable"/>
              <w:spacing w:after="40"/>
              <w:rPr>
                <w:sz w:val="19"/>
              </w:rPr>
            </w:pPr>
            <w:r>
              <w:rPr>
                <w:sz w:val="19"/>
              </w:rPr>
              <w:t>26 Jul 2013 p. 3407-47</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Rules other than r. 1 and 2: 19</w:t>
            </w:r>
            <w:r>
              <w:rPr>
                <w:sz w:val="19"/>
              </w:rPr>
              <w:t> Aug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2: The </w:t>
            </w:r>
            <w:r>
              <w:rPr>
                <w:b/>
                <w:i/>
                <w:snapToGrid w:val="0"/>
                <w:spacing w:val="-2"/>
                <w:sz w:val="19"/>
              </w:rPr>
              <w:t>District Court Rules 2005</w:t>
            </w:r>
            <w:r>
              <w:rPr>
                <w:b/>
                <w:snapToGrid w:val="0"/>
                <w:spacing w:val="-2"/>
                <w:sz w:val="19"/>
              </w:rPr>
              <w:t xml:space="preserve"> as at 6 Dec 2013</w:t>
            </w:r>
            <w:r>
              <w:rPr>
                <w:snapToGrid w:val="0"/>
                <w:spacing w:val="-2"/>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377544556"/>
      <w:r>
        <w:t>Provisions that have not come into operation</w:t>
      </w:r>
      <w:bookmarkEnd w:id="16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rPr>
            </w:pPr>
            <w:r>
              <w:rPr>
                <w:i/>
              </w:rPr>
              <w:t>District Court Amendment Rules (No. 2) 2013</w:t>
            </w:r>
            <w:r>
              <w:t xml:space="preserve"> r. 3</w:t>
            </w:r>
            <w:r>
              <w:noBreakHyphen/>
              <w:t>25 </w:t>
            </w:r>
            <w:r>
              <w:rPr>
                <w:vertAlign w:val="superscript"/>
              </w:rPr>
              <w:t>5</w:t>
            </w:r>
          </w:p>
        </w:tc>
        <w:tc>
          <w:tcPr>
            <w:tcW w:w="1276" w:type="dxa"/>
          </w:tcPr>
          <w:p>
            <w:pPr>
              <w:pStyle w:val="nTable"/>
              <w:spacing w:after="40"/>
              <w:rPr>
                <w:sz w:val="19"/>
              </w:rPr>
            </w:pPr>
            <w:r>
              <w:rPr>
                <w:sz w:val="19"/>
              </w:rPr>
              <w:t>31 Dec 2013 p. 6549</w:t>
            </w:r>
            <w:r>
              <w:rPr>
                <w:sz w:val="19"/>
              </w:rPr>
              <w:noBreakHyphen/>
              <w:t>62</w:t>
            </w:r>
          </w:p>
        </w:tc>
        <w:tc>
          <w:tcPr>
            <w:tcW w:w="2693" w:type="dxa"/>
          </w:tcPr>
          <w:p>
            <w:pPr>
              <w:pStyle w:val="nTable"/>
              <w:spacing w:after="40"/>
              <w:rPr>
                <w:sz w:val="19"/>
              </w:rPr>
            </w:pPr>
            <w:r>
              <w:rPr>
                <w:sz w:val="19"/>
              </w:rPr>
              <w:t>20 Jan 2014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District Court Amendment Rules (No. 2) 2013 </w:t>
      </w:r>
      <w:r>
        <w:t>r. 3</w:t>
      </w:r>
      <w:r>
        <w:noBreakHyphen/>
        <w:t>25</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District Court Rules 2005</w:t>
      </w:r>
      <w:r>
        <w:t>.</w:t>
      </w:r>
    </w:p>
    <w:p>
      <w:pPr>
        <w:pStyle w:val="nzHeading5"/>
      </w:pPr>
      <w:r>
        <w:rPr>
          <w:rStyle w:val="CharSectno"/>
        </w:rPr>
        <w:t>4</w:t>
      </w:r>
      <w:r>
        <w:t>.</w:t>
      </w:r>
      <w:r>
        <w:tab/>
        <w:t>Rule 20 amended</w:t>
      </w:r>
    </w:p>
    <w:p>
      <w:pPr>
        <w:pStyle w:val="nzSubsection"/>
      </w:pPr>
      <w:r>
        <w:tab/>
        <w:t>(1)</w:t>
      </w:r>
      <w:r>
        <w:tab/>
        <w:t>In rule 20(6) delete “taken not to have been filed at the registry.” and insert:</w:t>
      </w:r>
    </w:p>
    <w:p>
      <w:pPr>
        <w:pStyle w:val="BlankOpen"/>
      </w:pPr>
    </w:p>
    <w:p>
      <w:pPr>
        <w:pStyle w:val="nzSubsection"/>
      </w:pPr>
      <w:r>
        <w:tab/>
      </w:r>
      <w:r>
        <w:tab/>
        <w:t xml:space="preserve">taken — </w:t>
      </w:r>
    </w:p>
    <w:p>
      <w:pPr>
        <w:pStyle w:val="nzIndenta"/>
      </w:pPr>
      <w:r>
        <w:tab/>
        <w:t>(a)</w:t>
      </w:r>
      <w:r>
        <w:tab/>
        <w:t>not to have been filed at the registry; and</w:t>
      </w:r>
    </w:p>
    <w:p>
      <w:pPr>
        <w:pStyle w:val="nzIndenta"/>
      </w:pPr>
      <w:r>
        <w:tab/>
        <w:t>(b)</w:t>
      </w:r>
      <w:r>
        <w:tab/>
        <w:t>not to be part of the Court’s record.</w:t>
      </w:r>
    </w:p>
    <w:p>
      <w:pPr>
        <w:pStyle w:val="BlankClose"/>
      </w:pPr>
    </w:p>
    <w:p>
      <w:pPr>
        <w:pStyle w:val="nzSubsection"/>
        <w:keepNext/>
      </w:pPr>
      <w:r>
        <w:tab/>
        <w:t>(2)</w:t>
      </w:r>
      <w:r>
        <w:tab/>
        <w:t>After rule 20(6) insert:</w:t>
      </w:r>
    </w:p>
    <w:p>
      <w:pPr>
        <w:pStyle w:val="BlankOpen"/>
      </w:pPr>
    </w:p>
    <w:p>
      <w:pPr>
        <w:pStyle w:val="nzSubsection"/>
      </w:pPr>
      <w:r>
        <w:tab/>
        <w:t>(7A)</w:t>
      </w:r>
      <w:r>
        <w:tab/>
        <w:t>If a party files a document electronically at the registry but does so in error, the Court may, with the consent of the party, remove the document from the Court record.</w:t>
      </w:r>
    </w:p>
    <w:p>
      <w:pPr>
        <w:pStyle w:val="nzSubsection"/>
      </w:pPr>
      <w:r>
        <w:tab/>
        <w:t>(7B)</w:t>
      </w:r>
      <w:r>
        <w:tab/>
        <w:t>The RSC Order 67 applies, subject to subrule (7C).</w:t>
      </w:r>
    </w:p>
    <w:p>
      <w:pPr>
        <w:pStyle w:val="nzSubsection"/>
      </w:pPr>
      <w:r>
        <w:tab/>
        <w:t>(7C)</w:t>
      </w:r>
      <w:r>
        <w:tab/>
        <w:t>A reference in the RSC Order 67 rule 5(1) to a registrar refusing to file a document is to be taken as including a reference to the Court removing from the Court record a document filed electronically by means of the Court’s website.</w:t>
      </w:r>
    </w:p>
    <w:p>
      <w:pPr>
        <w:pStyle w:val="BlankClose"/>
      </w:pPr>
    </w:p>
    <w:p>
      <w:pPr>
        <w:pStyle w:val="nzHeading5"/>
      </w:pPr>
      <w:r>
        <w:rPr>
          <w:rStyle w:val="CharSectno"/>
        </w:rPr>
        <w:t>5</w:t>
      </w:r>
      <w:r>
        <w:t>.</w:t>
      </w:r>
      <w:r>
        <w:tab/>
        <w:t>Rule 21 amended</w:t>
      </w:r>
    </w:p>
    <w:p>
      <w:pPr>
        <w:pStyle w:val="nzSubsection"/>
      </w:pPr>
      <w:r>
        <w:tab/>
      </w:r>
      <w:r>
        <w:tab/>
        <w:t>In rule 21(6) delete “This” and insert:</w:t>
      </w:r>
    </w:p>
    <w:p>
      <w:pPr>
        <w:pStyle w:val="BlankOpen"/>
      </w:pPr>
    </w:p>
    <w:p>
      <w:pPr>
        <w:pStyle w:val="nzSubsection"/>
      </w:pPr>
      <w:r>
        <w:tab/>
      </w:r>
      <w:r>
        <w:tab/>
        <w:t>Subject to the RSC Order 9, this</w:t>
      </w:r>
    </w:p>
    <w:p>
      <w:pPr>
        <w:pStyle w:val="BlankClose"/>
      </w:pPr>
    </w:p>
    <w:p>
      <w:pPr>
        <w:pStyle w:val="nzHeading5"/>
      </w:pPr>
      <w:r>
        <w:rPr>
          <w:rStyle w:val="CharSectno"/>
        </w:rPr>
        <w:t>6</w:t>
      </w:r>
      <w:r>
        <w:t>.</w:t>
      </w:r>
      <w:r>
        <w:tab/>
        <w:t>Rule 22A replaced</w:t>
      </w:r>
    </w:p>
    <w:p>
      <w:pPr>
        <w:pStyle w:val="nzSubsection"/>
      </w:pPr>
      <w:r>
        <w:tab/>
      </w:r>
      <w:r>
        <w:tab/>
        <w:t>Delete rule 22A and insert:</w:t>
      </w:r>
    </w:p>
    <w:p>
      <w:pPr>
        <w:pStyle w:val="BlankOpen"/>
      </w:pPr>
    </w:p>
    <w:p>
      <w:pPr>
        <w:pStyle w:val="nzHeading5"/>
      </w:pPr>
      <w:r>
        <w:t>22A.</w:t>
      </w:r>
      <w:r>
        <w:tab/>
        <w:t>RSC Order 9A rule 2 and Order 12 rule 2 modified: form of memorandum of appearance</w:t>
      </w:r>
    </w:p>
    <w:p>
      <w:pPr>
        <w:pStyle w:val="nzSubsection"/>
      </w:pPr>
      <w:r>
        <w:tab/>
        <w:t>(1)</w:t>
      </w:r>
      <w:r>
        <w:tab/>
        <w:t>The RSC Order 9A rule 2 and Order 12 rule 2 apply, subject to this rule.</w:t>
      </w:r>
    </w:p>
    <w:p>
      <w:pPr>
        <w:pStyle w:val="nzSubsection"/>
      </w:pPr>
      <w:r>
        <w:tab/>
        <w:t>(2)</w:t>
      </w:r>
      <w:r>
        <w:tab/>
        <w:t>A memorandum of appearance filed in the Court must be in the form of Form 1AA.</w:t>
      </w:r>
    </w:p>
    <w:p>
      <w:pPr>
        <w:pStyle w:val="nzSubsection"/>
      </w:pPr>
      <w:r>
        <w:tab/>
        <w:t>(3)</w:t>
      </w:r>
      <w:r>
        <w:tab/>
        <w:t>Notice of an interested non</w:t>
      </w:r>
      <w:r>
        <w:noBreakHyphen/>
        <w:t>party may be made on the same form.</w:t>
      </w:r>
    </w:p>
    <w:p>
      <w:pPr>
        <w:pStyle w:val="BlankClose"/>
      </w:pPr>
    </w:p>
    <w:p>
      <w:pPr>
        <w:pStyle w:val="nzHeading5"/>
      </w:pPr>
      <w:r>
        <w:rPr>
          <w:rStyle w:val="CharSectno"/>
        </w:rPr>
        <w:t>7</w:t>
      </w:r>
      <w:r>
        <w:t>.</w:t>
      </w:r>
      <w:r>
        <w:tab/>
        <w:t>Rule 22C amended</w:t>
      </w:r>
    </w:p>
    <w:p>
      <w:pPr>
        <w:pStyle w:val="nzSubsection"/>
      </w:pPr>
      <w:r>
        <w:tab/>
      </w:r>
      <w:r>
        <w:tab/>
        <w:t>In rule 22C(1) after “to be” insert:</w:t>
      </w:r>
    </w:p>
    <w:p>
      <w:pPr>
        <w:pStyle w:val="BlankOpen"/>
      </w:pPr>
    </w:p>
    <w:p>
      <w:pPr>
        <w:pStyle w:val="nzSubsection"/>
      </w:pPr>
      <w:r>
        <w:tab/>
      </w:r>
      <w:r>
        <w:tab/>
        <w:t xml:space="preserve">filed or </w:t>
      </w:r>
    </w:p>
    <w:p>
      <w:pPr>
        <w:pStyle w:val="BlankClose"/>
      </w:pPr>
    </w:p>
    <w:p>
      <w:pPr>
        <w:pStyle w:val="nzHeading5"/>
      </w:pPr>
      <w:r>
        <w:rPr>
          <w:rStyle w:val="CharSectno"/>
        </w:rPr>
        <w:t>8</w:t>
      </w:r>
      <w:r>
        <w:t>.</w:t>
      </w:r>
      <w:r>
        <w:tab/>
        <w:t>Rules 23B and 23C inserted</w:t>
      </w:r>
    </w:p>
    <w:p>
      <w:pPr>
        <w:pStyle w:val="nzSubsection"/>
        <w:keepNext/>
      </w:pPr>
      <w:r>
        <w:tab/>
      </w:r>
      <w:r>
        <w:tab/>
        <w:t>At the end of Part 3 Division 4 insert:</w:t>
      </w:r>
    </w:p>
    <w:p>
      <w:pPr>
        <w:pStyle w:val="BlankOpen"/>
      </w:pPr>
    </w:p>
    <w:p>
      <w:pPr>
        <w:pStyle w:val="nzHeading5"/>
      </w:pPr>
      <w:r>
        <w:t>23B.</w:t>
      </w:r>
      <w:r>
        <w:tab/>
        <w:t>RSC Order 58 rule 14 modified: form of originating summons</w:t>
      </w:r>
    </w:p>
    <w:p>
      <w:pPr>
        <w:pStyle w:val="nzSubsection"/>
      </w:pPr>
      <w:r>
        <w:tab/>
        <w:t>(1)</w:t>
      </w:r>
      <w:r>
        <w:tab/>
        <w:t>The RSC Order 58 rule 14 applies, subject to this rule.</w:t>
      </w:r>
    </w:p>
    <w:p>
      <w:pPr>
        <w:pStyle w:val="nzSubsection"/>
      </w:pPr>
      <w:r>
        <w:tab/>
        <w:t>(2)</w:t>
      </w:r>
      <w:r>
        <w:tab/>
        <w:t>An originating summons filed in the Court may be in the form of Form 1B.</w:t>
      </w:r>
    </w:p>
    <w:p>
      <w:pPr>
        <w:pStyle w:val="nzSubsection"/>
      </w:pPr>
      <w:r>
        <w:tab/>
        <w:t>(3)</w:t>
      </w:r>
      <w:r>
        <w:tab/>
        <w:t>The respondent to an originating summons must file a Form 1AA (Memorandum of appearance) in relation to the summons on or before the hearing date specified on the summons.</w:t>
      </w:r>
    </w:p>
    <w:p>
      <w:pPr>
        <w:pStyle w:val="nzSubsection"/>
      </w:pPr>
      <w:r>
        <w:tab/>
        <w:t>(4)</w:t>
      </w:r>
      <w:r>
        <w:tab/>
        <w:t>The respondent must serve the Form 1AA as soon as practicable after filing it.</w:t>
      </w:r>
    </w:p>
    <w:p>
      <w:pPr>
        <w:pStyle w:val="nzHeading5"/>
      </w:pPr>
      <w:r>
        <w:t>23C.</w:t>
      </w:r>
      <w:r>
        <w:tab/>
        <w:t>Enforcement of order under another Act giving jurisdiction</w:t>
      </w:r>
    </w:p>
    <w:p>
      <w:pPr>
        <w:pStyle w:val="nzSubsection"/>
      </w:pPr>
      <w:r>
        <w:tab/>
        <w:t>(1)</w:t>
      </w:r>
      <w:r>
        <w:tab/>
        <w:t xml:space="preserve">This rule applies to an order that may, under another written law — </w:t>
      </w:r>
    </w:p>
    <w:p>
      <w:pPr>
        <w:pStyle w:val="nzIndenta"/>
      </w:pPr>
      <w:r>
        <w:tab/>
        <w:t>(a)</w:t>
      </w:r>
      <w:r>
        <w:tab/>
        <w:t xml:space="preserve">be filed with the Court; and </w:t>
      </w:r>
    </w:p>
    <w:p>
      <w:pPr>
        <w:pStyle w:val="nzIndenta"/>
      </w:pPr>
      <w:r>
        <w:tab/>
        <w:t>(b)</w:t>
      </w:r>
      <w:r>
        <w:tab/>
        <w:t>be enforced as if it were an order of the Court.</w:t>
      </w:r>
    </w:p>
    <w:p>
      <w:pPr>
        <w:pStyle w:val="nzSubsection"/>
      </w:pPr>
      <w:r>
        <w:tab/>
        <w:t>(2)</w:t>
      </w:r>
      <w:r>
        <w:tab/>
        <w:t>A party filing the order must also file a Form 1C (Notification of contact and service information) together with the order.</w:t>
      </w:r>
    </w:p>
    <w:p>
      <w:pPr>
        <w:pStyle w:val="nz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nzSubsection"/>
      </w:pPr>
      <w:r>
        <w:tab/>
        <w:t>(4)</w:t>
      </w:r>
      <w:r>
        <w:tab/>
        <w:t>The party referred to in subrule (3) must serve the Form 1C as soon as practicable after filing it.</w:t>
      </w:r>
    </w:p>
    <w:p>
      <w:pPr>
        <w:pStyle w:val="BlankClose"/>
      </w:pPr>
    </w:p>
    <w:p>
      <w:pPr>
        <w:pStyle w:val="nzHeading5"/>
      </w:pPr>
      <w:r>
        <w:rPr>
          <w:rStyle w:val="CharSectno"/>
        </w:rPr>
        <w:t>9</w:t>
      </w:r>
      <w:r>
        <w:t>.</w:t>
      </w:r>
      <w:r>
        <w:tab/>
        <w:t>Rule 23 amended</w:t>
      </w:r>
    </w:p>
    <w:p>
      <w:pPr>
        <w:pStyle w:val="nzSubsection"/>
      </w:pPr>
      <w:r>
        <w:tab/>
      </w:r>
      <w:r>
        <w:tab/>
        <w:t xml:space="preserve">In rule 23 in the definition of </w:t>
      </w:r>
      <w:r>
        <w:rPr>
          <w:b/>
          <w:i/>
        </w:rPr>
        <w:t>mediator</w:t>
      </w:r>
      <w:r>
        <w:t xml:space="preserve"> delete “who is approved as a mediator by the Chief Judge.” and insert:</w:t>
      </w:r>
    </w:p>
    <w:p>
      <w:pPr>
        <w:pStyle w:val="BlankOpen"/>
      </w:pPr>
    </w:p>
    <w:p>
      <w:pPr>
        <w:pStyle w:val="nzSubsection"/>
      </w:pPr>
      <w:r>
        <w:tab/>
      </w:r>
      <w:r>
        <w:tab/>
        <w:t>agreed by the parties and approved by the Court.</w:t>
      </w:r>
    </w:p>
    <w:p>
      <w:pPr>
        <w:pStyle w:val="BlankClose"/>
      </w:pPr>
    </w:p>
    <w:p>
      <w:pPr>
        <w:pStyle w:val="nzHeading5"/>
      </w:pPr>
      <w:r>
        <w:rPr>
          <w:rStyle w:val="CharSectno"/>
        </w:rPr>
        <w:t>10</w:t>
      </w:r>
      <w:r>
        <w:t>.</w:t>
      </w:r>
      <w:r>
        <w:tab/>
        <w:t>Rule 35AA inserted</w:t>
      </w:r>
    </w:p>
    <w:p>
      <w:pPr>
        <w:pStyle w:val="nzSubsection"/>
        <w:keepNext/>
      </w:pPr>
      <w:r>
        <w:tab/>
      </w:r>
      <w:r>
        <w:tab/>
        <w:t>After rule 35 insert:</w:t>
      </w:r>
    </w:p>
    <w:p>
      <w:pPr>
        <w:pStyle w:val="BlankOpen"/>
      </w:pPr>
    </w:p>
    <w:p>
      <w:pPr>
        <w:pStyle w:val="nzHeading5"/>
      </w:pPr>
      <w:r>
        <w:t>35AA.</w:t>
      </w:r>
      <w:r>
        <w:tab/>
        <w:t>Settlement at mediations</w:t>
      </w:r>
    </w:p>
    <w:p>
      <w:pPr>
        <w:pStyle w:val="nzSubsection"/>
      </w:pPr>
      <w:r>
        <w:tab/>
        <w:t>(1)</w:t>
      </w:r>
      <w:r>
        <w:tab/>
        <w:t>At the conference the parties must, in good faith, attempt to settle the case or, failing settlement, resolve as many of the issues between them as possible and identify the issues to be tried.</w:t>
      </w:r>
    </w:p>
    <w:p>
      <w:pPr>
        <w:pStyle w:val="nzSubsection"/>
      </w:pPr>
      <w:r>
        <w:tab/>
        <w:t>(2)</w:t>
      </w:r>
      <w:r>
        <w:tab/>
        <w:t>Evidence of anything said or any admission made in the course of the conference is not admissible at the trial of the case.</w:t>
      </w:r>
    </w:p>
    <w:p>
      <w:pPr>
        <w:pStyle w:val="nzSubsection"/>
      </w:pPr>
      <w:r>
        <w:tab/>
        <w:t>(3)</w:t>
      </w:r>
      <w:r>
        <w:tab/>
        <w:t xml:space="preserve">Subrule (2) does not apply — </w:t>
      </w:r>
    </w:p>
    <w:p>
      <w:pPr>
        <w:pStyle w:val="nzIndenta"/>
      </w:pPr>
      <w:r>
        <w:tab/>
        <w:t>(a)</w:t>
      </w:r>
      <w:r>
        <w:tab/>
        <w:t>to the hearing of an application for costs arising out of the conference; or</w:t>
      </w:r>
    </w:p>
    <w:p>
      <w:pPr>
        <w:pStyle w:val="nzIndenta"/>
      </w:pPr>
      <w:r>
        <w:tab/>
        <w:t>(b)</w:t>
      </w:r>
      <w:r>
        <w:tab/>
        <w:t>to anything said or any admission made that all parties at the conference, in an agreement recorded in writing by the mediator, agree is admissible at the trial of the case.</w:t>
      </w:r>
    </w:p>
    <w:p>
      <w:pPr>
        <w:pStyle w:val="BlankClose"/>
      </w:pPr>
    </w:p>
    <w:p>
      <w:pPr>
        <w:pStyle w:val="nzHeading5"/>
      </w:pPr>
      <w:r>
        <w:rPr>
          <w:rStyle w:val="CharSectno"/>
        </w:rPr>
        <w:t>11</w:t>
      </w:r>
      <w:r>
        <w:t>.</w:t>
      </w:r>
      <w:r>
        <w:tab/>
        <w:t>Rule 37 amended</w:t>
      </w:r>
    </w:p>
    <w:p>
      <w:pPr>
        <w:pStyle w:val="nzSubsection"/>
      </w:pPr>
      <w:r>
        <w:tab/>
      </w:r>
      <w:r>
        <w:tab/>
        <w:t>After rule 37(4) insert:</w:t>
      </w:r>
    </w:p>
    <w:p>
      <w:pPr>
        <w:pStyle w:val="BlankOpen"/>
      </w:pPr>
    </w:p>
    <w:p>
      <w:pPr>
        <w:pStyle w:val="nzSubsection"/>
      </w:pPr>
      <w:r>
        <w:tab/>
        <w:t>(5)</w:t>
      </w:r>
      <w:r>
        <w:tab/>
        <w:t>The Court may, in a particular case, direct that a form other than Form 1 be used to enter the case for trial.</w:t>
      </w:r>
    </w:p>
    <w:p>
      <w:pPr>
        <w:pStyle w:val="BlankClose"/>
      </w:pPr>
    </w:p>
    <w:p>
      <w:pPr>
        <w:pStyle w:val="nzHeading5"/>
      </w:pPr>
      <w:r>
        <w:rPr>
          <w:rStyle w:val="CharSectno"/>
        </w:rPr>
        <w:t>12</w:t>
      </w:r>
      <w:r>
        <w:t>.</w:t>
      </w:r>
      <w:r>
        <w:tab/>
        <w:t>Rule 41 amended</w:t>
      </w:r>
    </w:p>
    <w:p>
      <w:pPr>
        <w:pStyle w:val="nzSubsection"/>
      </w:pPr>
      <w:r>
        <w:tab/>
      </w:r>
      <w:r>
        <w:tab/>
        <w:t>In rule 41(3)(a) after “lawyer” insert:</w:t>
      </w:r>
    </w:p>
    <w:p>
      <w:pPr>
        <w:pStyle w:val="BlankOpen"/>
      </w:pPr>
    </w:p>
    <w:p>
      <w:pPr>
        <w:pStyle w:val="nzSubsection"/>
      </w:pPr>
      <w:r>
        <w:tab/>
      </w:r>
      <w:r>
        <w:tab/>
        <w:t xml:space="preserve">on the record </w:t>
      </w:r>
    </w:p>
    <w:p>
      <w:pPr>
        <w:pStyle w:val="BlankClose"/>
      </w:pPr>
    </w:p>
    <w:p>
      <w:pPr>
        <w:pStyle w:val="nzHeading5"/>
      </w:pPr>
      <w:r>
        <w:rPr>
          <w:rStyle w:val="CharSectno"/>
        </w:rPr>
        <w:t>13</w:t>
      </w:r>
      <w:r>
        <w:t>.</w:t>
      </w:r>
      <w:r>
        <w:tab/>
        <w:t>Part 4 Division 3 Subdivision 5A inserted</w:t>
      </w:r>
    </w:p>
    <w:p>
      <w:pPr>
        <w:pStyle w:val="nzSubsection"/>
      </w:pPr>
      <w:r>
        <w:tab/>
      </w:r>
      <w:r>
        <w:tab/>
        <w:t>After rule 41 insert:</w:t>
      </w:r>
    </w:p>
    <w:p>
      <w:pPr>
        <w:pStyle w:val="BlankOpen"/>
      </w:pPr>
    </w:p>
    <w:p>
      <w:pPr>
        <w:pStyle w:val="nzHeading4"/>
      </w:pPr>
      <w:r>
        <w:t>Subdivision 5A — Settlement of cases</w:t>
      </w:r>
    </w:p>
    <w:p>
      <w:pPr>
        <w:pStyle w:val="nzHeading5"/>
      </w:pPr>
      <w:r>
        <w:t>42A.</w:t>
      </w:r>
      <w:r>
        <w:tab/>
        <w:t>Offers of compromise</w:t>
      </w:r>
    </w:p>
    <w:p>
      <w:pPr>
        <w:pStyle w:val="nzSubsection"/>
      </w:pPr>
      <w:r>
        <w:tab/>
        <w:t>(1)</w:t>
      </w:r>
      <w:r>
        <w:tab/>
        <w:t>The RSC Order 24A applies, subject to subrule (2).</w:t>
      </w:r>
    </w:p>
    <w:p>
      <w:pPr>
        <w:pStyle w:val="nzSubsection"/>
      </w:pPr>
      <w:r>
        <w:tab/>
        <w:t>(2)</w:t>
      </w:r>
      <w:r>
        <w:tab/>
        <w:t>The RSC Order 24A rule 10(4) does not apply to a case.</w:t>
      </w:r>
    </w:p>
    <w:p>
      <w:pPr>
        <w:pStyle w:val="nzSubsection"/>
      </w:pPr>
      <w:r>
        <w:tab/>
        <w:t>(3)</w:t>
      </w:r>
      <w:r>
        <w:tab/>
        <w:t xml:space="preserve">Subrule (4) applies if — </w:t>
      </w:r>
    </w:p>
    <w:p>
      <w:pPr>
        <w:pStyle w:val="nzIndenta"/>
      </w:pPr>
      <w:r>
        <w:tab/>
        <w:t>(a)</w:t>
      </w:r>
      <w:r>
        <w:tab/>
        <w:t>an offer is made by a plaintiff; and</w:t>
      </w:r>
    </w:p>
    <w:p>
      <w:pPr>
        <w:pStyle w:val="nzIndenta"/>
      </w:pPr>
      <w:r>
        <w:tab/>
        <w:t>(b)</w:t>
      </w:r>
      <w:r>
        <w:tab/>
        <w:t xml:space="preserve">the offer is not accepted by the defendant; and </w:t>
      </w:r>
    </w:p>
    <w:p>
      <w:pPr>
        <w:pStyle w:val="nzIndenta"/>
      </w:pPr>
      <w:r>
        <w:tab/>
        <w:t>(c)</w:t>
      </w:r>
      <w:r>
        <w:tab/>
        <w:t xml:space="preserve">the plaintiff obtains judgment on the claim to which the offer relates; and </w:t>
      </w:r>
    </w:p>
    <w:p>
      <w:pPr>
        <w:pStyle w:val="nzIndenta"/>
      </w:pPr>
      <w:r>
        <w:tab/>
        <w:t>(d)</w:t>
      </w:r>
      <w:r>
        <w:tab/>
        <w:t>the judgment is no less favourable to the plaintiff than the terms of the offer.</w:t>
      </w:r>
    </w:p>
    <w:p>
      <w:pPr>
        <w:pStyle w:val="nzSubsection"/>
      </w:pPr>
      <w:r>
        <w:tab/>
        <w:t>(4)</w:t>
      </w:r>
      <w:r>
        <w:tab/>
        <w:t xml:space="preserve">Unless the Court otherwise orders, the plaintiff is entitled to an order against the defendant for — </w:t>
      </w:r>
    </w:p>
    <w:p>
      <w:pPr>
        <w:pStyle w:val="nzIndenta"/>
      </w:pPr>
      <w:r>
        <w:tab/>
        <w:t>(a)</w:t>
      </w:r>
      <w:r>
        <w:tab/>
        <w:t>the plaintif</w:t>
      </w:r>
      <w:r>
        <w:rPr>
          <w:spacing w:val="20"/>
        </w:rPr>
        <w:t>f</w:t>
      </w:r>
      <w:r>
        <w:t>’s costs in respect of the claim from the date on which the offer was made, taxed as between a law practice and its client; and</w:t>
      </w:r>
    </w:p>
    <w:p>
      <w:pPr>
        <w:pStyle w:val="nzIndenta"/>
      </w:pPr>
      <w:r>
        <w:tab/>
        <w:t>(b)</w:t>
      </w:r>
      <w:r>
        <w:tab/>
        <w:t>the plaintif</w:t>
      </w:r>
      <w:r>
        <w:rPr>
          <w:spacing w:val="20"/>
        </w:rPr>
        <w:t>f</w:t>
      </w:r>
      <w:r>
        <w:t>’s costs incurred before that date, taxed on a party and party basis.</w:t>
      </w:r>
    </w:p>
    <w:p>
      <w:pPr>
        <w:pStyle w:val="BlankClose"/>
      </w:pPr>
    </w:p>
    <w:p>
      <w:pPr>
        <w:pStyle w:val="nzHeading5"/>
      </w:pPr>
      <w:r>
        <w:rPr>
          <w:rStyle w:val="CharSectno"/>
        </w:rPr>
        <w:t>14</w:t>
      </w:r>
      <w:r>
        <w:t>.</w:t>
      </w:r>
      <w:r>
        <w:tab/>
        <w:t>Rule 44G amended</w:t>
      </w:r>
    </w:p>
    <w:p>
      <w:pPr>
        <w:pStyle w:val="nzSubsection"/>
      </w:pPr>
      <w:r>
        <w:tab/>
      </w:r>
      <w:r>
        <w:tab/>
        <w:t>After rule 44G(4) insert:</w:t>
      </w:r>
    </w:p>
    <w:p>
      <w:pPr>
        <w:pStyle w:val="BlankOpen"/>
      </w:pPr>
    </w:p>
    <w:p>
      <w:pPr>
        <w:pStyle w:val="nzSubsection"/>
      </w:pPr>
      <w:r>
        <w:tab/>
        <w:t>(5)</w:t>
      </w:r>
      <w:r>
        <w:tab/>
        <w:t>The Court may, in exceptional circumstances and on such terms as it thinks just, set aside the dismissal of a case under subrule (1).</w:t>
      </w:r>
    </w:p>
    <w:p>
      <w:pPr>
        <w:pStyle w:val="nzSubsection"/>
      </w:pPr>
      <w:r>
        <w:tab/>
        <w:t>(6)</w:t>
      </w:r>
      <w:r>
        <w:tab/>
        <w:t>For the purposes of subrule (5) it does not matter that the case was dismissed before the commencement of that subrule.</w:t>
      </w:r>
    </w:p>
    <w:p>
      <w:pPr>
        <w:pStyle w:val="BlankClose"/>
      </w:pPr>
    </w:p>
    <w:p>
      <w:pPr>
        <w:pStyle w:val="nzHeading5"/>
      </w:pPr>
      <w:r>
        <w:rPr>
          <w:rStyle w:val="CharSectno"/>
        </w:rPr>
        <w:t>15</w:t>
      </w:r>
      <w:r>
        <w:t>.</w:t>
      </w:r>
      <w:r>
        <w:tab/>
        <w:t>Rule 45H amended</w:t>
      </w:r>
    </w:p>
    <w:p>
      <w:pPr>
        <w:pStyle w:val="nzSubsection"/>
      </w:pPr>
      <w:r>
        <w:tab/>
      </w:r>
      <w:r>
        <w:tab/>
        <w:t>In rule 45H(3)(c) delete “contention; and” and insert:</w:t>
      </w:r>
    </w:p>
    <w:p>
      <w:pPr>
        <w:pStyle w:val="BlankOpen"/>
      </w:pPr>
    </w:p>
    <w:p>
      <w:pPr>
        <w:pStyle w:val="nzSubsection"/>
      </w:pPr>
      <w:r>
        <w:tab/>
      </w:r>
      <w:r>
        <w:tab/>
        <w:t>contention, and each relevant page or paragraph in that authority; and</w:t>
      </w:r>
    </w:p>
    <w:p>
      <w:pPr>
        <w:pStyle w:val="BlankClose"/>
        <w:keepNext/>
      </w:pPr>
    </w:p>
    <w:p>
      <w:pPr>
        <w:pStyle w:val="nzHeading5"/>
      </w:pPr>
      <w:r>
        <w:rPr>
          <w:rStyle w:val="CharSectno"/>
        </w:rPr>
        <w:t>16</w:t>
      </w:r>
      <w:r>
        <w:t>.</w:t>
      </w:r>
      <w:r>
        <w:tab/>
        <w:t>Part 5 Division 3 inserted</w:t>
      </w:r>
    </w:p>
    <w:p>
      <w:pPr>
        <w:pStyle w:val="nzSubsection"/>
      </w:pPr>
      <w:r>
        <w:tab/>
      </w:r>
      <w:r>
        <w:tab/>
        <w:t>At the end of Part 5 insert:</w:t>
      </w:r>
    </w:p>
    <w:p>
      <w:pPr>
        <w:pStyle w:val="BlankOpen"/>
      </w:pPr>
    </w:p>
    <w:p>
      <w:pPr>
        <w:pStyle w:val="nzHeading3"/>
      </w:pPr>
      <w:r>
        <w:t>Division 3 — Medical examination</w:t>
      </w:r>
    </w:p>
    <w:p>
      <w:pPr>
        <w:pStyle w:val="nzHeading5"/>
      </w:pPr>
      <w:r>
        <w:t>47A.</w:t>
      </w:r>
      <w:r>
        <w:tab/>
        <w:t>RSC Order 28 modified</w:t>
      </w:r>
    </w:p>
    <w:p>
      <w:pPr>
        <w:pStyle w:val="nzSubsection"/>
      </w:pPr>
      <w:r>
        <w:tab/>
        <w:t>(1)</w:t>
      </w:r>
      <w:r>
        <w:tab/>
        <w:t>The RSC Order 28 applies, subject to this rule.</w:t>
      </w:r>
    </w:p>
    <w:p>
      <w:pPr>
        <w:pStyle w:val="nz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nzIndenta"/>
      </w:pPr>
      <w:r>
        <w:tab/>
        <w:t>(a)</w:t>
      </w:r>
      <w:r>
        <w:tab/>
        <w:t>dental;</w:t>
      </w:r>
    </w:p>
    <w:p>
      <w:pPr>
        <w:pStyle w:val="nzIndenta"/>
      </w:pPr>
      <w:r>
        <w:tab/>
        <w:t>(b)</w:t>
      </w:r>
      <w:r>
        <w:tab/>
        <w:t>medical;</w:t>
      </w:r>
    </w:p>
    <w:p>
      <w:pPr>
        <w:pStyle w:val="nzIndenta"/>
      </w:pPr>
      <w:r>
        <w:tab/>
        <w:t>(c)</w:t>
      </w:r>
      <w:r>
        <w:tab/>
        <w:t>occupational therapy;</w:t>
      </w:r>
    </w:p>
    <w:p>
      <w:pPr>
        <w:pStyle w:val="nzIndenta"/>
      </w:pPr>
      <w:r>
        <w:tab/>
        <w:t>(d)</w:t>
      </w:r>
      <w:r>
        <w:tab/>
        <w:t>optometry;</w:t>
      </w:r>
    </w:p>
    <w:p>
      <w:pPr>
        <w:pStyle w:val="nzIndenta"/>
      </w:pPr>
      <w:r>
        <w:tab/>
        <w:t>(e)</w:t>
      </w:r>
      <w:r>
        <w:tab/>
        <w:t>physiotherapy;</w:t>
      </w:r>
    </w:p>
    <w:p>
      <w:pPr>
        <w:pStyle w:val="nzIndenta"/>
      </w:pPr>
      <w:r>
        <w:tab/>
        <w:t>(f)</w:t>
      </w:r>
      <w:r>
        <w:tab/>
        <w:t>psychology.</w:t>
      </w:r>
    </w:p>
    <w:p>
      <w:pPr>
        <w:pStyle w:val="BlankClose"/>
      </w:pPr>
    </w:p>
    <w:p>
      <w:pPr>
        <w:pStyle w:val="nzHeading5"/>
      </w:pPr>
      <w:r>
        <w:rPr>
          <w:rStyle w:val="CharSectno"/>
        </w:rPr>
        <w:t>17</w:t>
      </w:r>
      <w:r>
        <w:t>.</w:t>
      </w:r>
      <w:r>
        <w:tab/>
        <w:t>Rule 47B inserted</w:t>
      </w:r>
    </w:p>
    <w:p>
      <w:pPr>
        <w:pStyle w:val="nzSubsection"/>
      </w:pPr>
      <w:r>
        <w:tab/>
      </w:r>
      <w:r>
        <w:tab/>
        <w:t>At the beginning of Part 5A insert:</w:t>
      </w:r>
    </w:p>
    <w:p>
      <w:pPr>
        <w:pStyle w:val="BlankOpen"/>
      </w:pPr>
    </w:p>
    <w:p>
      <w:pPr>
        <w:pStyle w:val="nzHeading5"/>
      </w:pPr>
      <w:r>
        <w:t>47B.</w:t>
      </w:r>
      <w:r>
        <w:tab/>
        <w:t>RSC Order 36A modified</w:t>
      </w:r>
    </w:p>
    <w:p>
      <w:pPr>
        <w:pStyle w:val="nzSubsection"/>
      </w:pPr>
      <w:r>
        <w:tab/>
        <w:t>(1)</w:t>
      </w:r>
      <w:r>
        <w:tab/>
        <w:t>The RSC Order 36A applies, subject to this rule.</w:t>
      </w:r>
    </w:p>
    <w:p>
      <w:pPr>
        <w:pStyle w:val="nz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nzIndenta"/>
      </w:pPr>
      <w:r>
        <w:tab/>
        <w:t>(a)</w:t>
      </w:r>
      <w:r>
        <w:tab/>
        <w:t>dental;</w:t>
      </w:r>
    </w:p>
    <w:p>
      <w:pPr>
        <w:pStyle w:val="nzIndenta"/>
      </w:pPr>
      <w:r>
        <w:tab/>
        <w:t>(b)</w:t>
      </w:r>
      <w:r>
        <w:tab/>
        <w:t>medical;</w:t>
      </w:r>
    </w:p>
    <w:p>
      <w:pPr>
        <w:pStyle w:val="nzIndenta"/>
      </w:pPr>
      <w:r>
        <w:tab/>
        <w:t>(c)</w:t>
      </w:r>
      <w:r>
        <w:tab/>
        <w:t>occupational therapy;</w:t>
      </w:r>
    </w:p>
    <w:p>
      <w:pPr>
        <w:pStyle w:val="nzIndenta"/>
      </w:pPr>
      <w:r>
        <w:tab/>
        <w:t>(d)</w:t>
      </w:r>
      <w:r>
        <w:tab/>
        <w:t>optometry;</w:t>
      </w:r>
    </w:p>
    <w:p>
      <w:pPr>
        <w:pStyle w:val="nzIndenta"/>
      </w:pPr>
      <w:r>
        <w:tab/>
        <w:t>(e)</w:t>
      </w:r>
      <w:r>
        <w:tab/>
        <w:t>physiotherapy;</w:t>
      </w:r>
    </w:p>
    <w:p>
      <w:pPr>
        <w:pStyle w:val="nzIndenta"/>
      </w:pPr>
      <w:r>
        <w:tab/>
        <w:t>(f)</w:t>
      </w:r>
      <w:r>
        <w:tab/>
        <w:t>psychology.</w:t>
      </w:r>
    </w:p>
    <w:p>
      <w:pPr>
        <w:pStyle w:val="BlankClose"/>
      </w:pPr>
    </w:p>
    <w:p>
      <w:pPr>
        <w:pStyle w:val="nzHeading5"/>
      </w:pPr>
      <w:r>
        <w:rPr>
          <w:rStyle w:val="CharSectno"/>
        </w:rPr>
        <w:t>18</w:t>
      </w:r>
      <w:r>
        <w:t>.</w:t>
      </w:r>
      <w:r>
        <w:tab/>
        <w:t>Rule 58 amended</w:t>
      </w:r>
    </w:p>
    <w:p>
      <w:pPr>
        <w:pStyle w:val="nzSubsection"/>
      </w:pPr>
      <w:r>
        <w:tab/>
      </w:r>
      <w:r>
        <w:tab/>
        <w:t>In rule 58(7) after “subrule (3)” insert:</w:t>
      </w:r>
    </w:p>
    <w:p>
      <w:pPr>
        <w:pStyle w:val="BlankOpen"/>
      </w:pPr>
    </w:p>
    <w:p>
      <w:pPr>
        <w:pStyle w:val="nzSubsection"/>
      </w:pPr>
      <w:r>
        <w:tab/>
      </w:r>
      <w:r>
        <w:tab/>
        <w:t>or rule 61A</w:t>
      </w:r>
    </w:p>
    <w:p>
      <w:pPr>
        <w:pStyle w:val="BlankClose"/>
      </w:pPr>
    </w:p>
    <w:p>
      <w:pPr>
        <w:pStyle w:val="nzHeading5"/>
      </w:pPr>
      <w:r>
        <w:rPr>
          <w:rStyle w:val="CharSectno"/>
        </w:rPr>
        <w:t>19</w:t>
      </w:r>
      <w:r>
        <w:t>.</w:t>
      </w:r>
      <w:r>
        <w:tab/>
        <w:t>Rule 61A inserted</w:t>
      </w:r>
    </w:p>
    <w:p>
      <w:pPr>
        <w:pStyle w:val="nzSubsection"/>
        <w:keepNext/>
      </w:pPr>
      <w:r>
        <w:tab/>
      </w:r>
      <w:r>
        <w:tab/>
        <w:t>At the end of Part 6 insert:</w:t>
      </w:r>
    </w:p>
    <w:p>
      <w:pPr>
        <w:pStyle w:val="BlankOpen"/>
      </w:pPr>
    </w:p>
    <w:p>
      <w:pPr>
        <w:pStyle w:val="nzHeading5"/>
      </w:pPr>
      <w:r>
        <w:t>61A.</w:t>
      </w:r>
      <w:r>
        <w:tab/>
        <w:t>Return of security for costs deposit</w:t>
      </w:r>
    </w:p>
    <w:p>
      <w:pPr>
        <w:pStyle w:val="nzSubsection"/>
      </w:pPr>
      <w:r>
        <w:tab/>
      </w:r>
      <w:r>
        <w:tab/>
        <w:t xml:space="preserve">If — </w:t>
      </w:r>
    </w:p>
    <w:p>
      <w:pPr>
        <w:pStyle w:val="nz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nzIndenta"/>
      </w:pPr>
      <w:r>
        <w:tab/>
        <w:t>(b)</w:t>
      </w:r>
      <w:r>
        <w:tab/>
        <w:t>under that order, the party has paid the security for costs deposit; and</w:t>
      </w:r>
    </w:p>
    <w:p>
      <w:pPr>
        <w:pStyle w:val="nzIndenta"/>
      </w:pPr>
      <w:r>
        <w:tab/>
        <w:t>(c)</w:t>
      </w:r>
      <w:r>
        <w:tab/>
        <w:t>no action has been taken on the appeal for 12 months; and</w:t>
      </w:r>
    </w:p>
    <w:p>
      <w:pPr>
        <w:pStyle w:val="nzIndenta"/>
      </w:pPr>
      <w:r>
        <w:tab/>
        <w:t>(d)</w:t>
      </w:r>
      <w:r>
        <w:tab/>
        <w:t>no claim has been made on the security for costs deposit,</w:t>
      </w:r>
    </w:p>
    <w:p>
      <w:pPr>
        <w:pStyle w:val="nzSubsection"/>
      </w:pPr>
      <w:r>
        <w:tab/>
      </w:r>
      <w:r>
        <w:tab/>
        <w:t>the Court may return the security for costs deposit to the party.</w:t>
      </w:r>
    </w:p>
    <w:p>
      <w:pPr>
        <w:pStyle w:val="BlankClose"/>
      </w:pPr>
    </w:p>
    <w:p>
      <w:pPr>
        <w:pStyle w:val="nzHeading5"/>
      </w:pPr>
      <w:r>
        <w:rPr>
          <w:rStyle w:val="CharSectno"/>
        </w:rPr>
        <w:t>20</w:t>
      </w:r>
      <w:r>
        <w:t>.</w:t>
      </w:r>
      <w:r>
        <w:tab/>
        <w:t>Rule 71F inserted</w:t>
      </w:r>
    </w:p>
    <w:p>
      <w:pPr>
        <w:pStyle w:val="nzSubsection"/>
      </w:pPr>
      <w:r>
        <w:tab/>
      </w:r>
      <w:r>
        <w:tab/>
        <w:t>At the beginning of Part 10 insert:</w:t>
      </w:r>
    </w:p>
    <w:p>
      <w:pPr>
        <w:pStyle w:val="BlankOpen"/>
      </w:pPr>
    </w:p>
    <w:p>
      <w:pPr>
        <w:pStyle w:val="nzHeading5"/>
      </w:pPr>
      <w:r>
        <w:t>71F.</w:t>
      </w:r>
      <w:r>
        <w:tab/>
        <w:t>Term used: court record</w:t>
      </w:r>
    </w:p>
    <w:p>
      <w:pPr>
        <w:pStyle w:val="nzSubsection"/>
      </w:pPr>
      <w:r>
        <w:tab/>
      </w:r>
      <w:r>
        <w:tab/>
        <w:t xml:space="preserve">In this Part — </w:t>
      </w:r>
    </w:p>
    <w:p>
      <w:pPr>
        <w:pStyle w:val="nzDefstart"/>
      </w:pPr>
      <w:r>
        <w:rPr>
          <w:b/>
        </w:rPr>
        <w:tab/>
      </w:r>
      <w:r>
        <w:rPr>
          <w:rStyle w:val="CharDefText"/>
        </w:rPr>
        <w:t>court record</w:t>
      </w:r>
      <w:r>
        <w:t xml:space="preserve"> in respect of a case, means —</w:t>
      </w:r>
    </w:p>
    <w:p>
      <w:pPr>
        <w:pStyle w:val="nzDefpara"/>
      </w:pPr>
      <w:r>
        <w:tab/>
        <w:t>(a)</w:t>
      </w:r>
      <w:r>
        <w:tab/>
        <w:t>any record or thing held by the Court in respect of the case; and</w:t>
      </w:r>
    </w:p>
    <w:p>
      <w:pPr>
        <w:pStyle w:val="nzDefpara"/>
      </w:pPr>
      <w:r>
        <w:tab/>
        <w:t>(b)</w:t>
      </w:r>
      <w:r>
        <w:tab/>
        <w:t>the transcript of proceedings in the case before the Court.</w:t>
      </w:r>
    </w:p>
    <w:p>
      <w:pPr>
        <w:pStyle w:val="BlankClose"/>
      </w:pPr>
    </w:p>
    <w:p>
      <w:pPr>
        <w:pStyle w:val="nzHeading5"/>
      </w:pPr>
      <w:r>
        <w:rPr>
          <w:rStyle w:val="CharSectno"/>
        </w:rPr>
        <w:t>21</w:t>
      </w:r>
      <w:r>
        <w:t>.</w:t>
      </w:r>
      <w:r>
        <w:tab/>
        <w:t>Rule 71 amended</w:t>
      </w:r>
    </w:p>
    <w:p>
      <w:pPr>
        <w:pStyle w:val="nzSubsection"/>
      </w:pPr>
      <w:r>
        <w:tab/>
        <w:t>(1)</w:t>
      </w:r>
      <w:r>
        <w:tab/>
        <w:t>Delete rule 71(1) and (1A) and insert:</w:t>
      </w:r>
    </w:p>
    <w:p>
      <w:pPr>
        <w:pStyle w:val="BlankOpen"/>
      </w:pPr>
    </w:p>
    <w:p>
      <w:pPr>
        <w:pStyle w:val="nzSubsection"/>
      </w:pPr>
      <w:r>
        <w:tab/>
        <w:t>(1)</w:t>
      </w:r>
      <w:r>
        <w:tab/>
        <w:t>This rule does not apply to searches for, and inspections of, Court documents and information using the Court’s website.</w:t>
      </w:r>
    </w:p>
    <w:p>
      <w:pPr>
        <w:pStyle w:val="nzSubsection"/>
      </w:pPr>
      <w:r>
        <w:tab/>
        <w:t>(1A)</w:t>
      </w:r>
      <w:r>
        <w:tab/>
        <w:t xml:space="preserve">Any person is entitled, on payment of the prescribed fee, to search for, inspect and receive a copy of any of the following Court documents or information in a case — </w:t>
      </w:r>
    </w:p>
    <w:p>
      <w:pPr>
        <w:pStyle w:val="nzIndenta"/>
      </w:pPr>
      <w:r>
        <w:tab/>
        <w:t>(a)</w:t>
      </w:r>
      <w:r>
        <w:tab/>
        <w:t>the identity of the parties to a case;</w:t>
      </w:r>
    </w:p>
    <w:p>
      <w:pPr>
        <w:pStyle w:val="nzIndenta"/>
      </w:pPr>
      <w:r>
        <w:tab/>
        <w:t>(b)</w:t>
      </w:r>
      <w:r>
        <w:tab/>
        <w:t>the identity of the parties’ lawyers;</w:t>
      </w:r>
    </w:p>
    <w:p>
      <w:pPr>
        <w:pStyle w:val="nzIndenta"/>
      </w:pPr>
      <w:r>
        <w:tab/>
        <w:t>(c)</w:t>
      </w:r>
      <w:r>
        <w:tab/>
        <w:t>the date on which the case commenced;</w:t>
      </w:r>
    </w:p>
    <w:p>
      <w:pPr>
        <w:pStyle w:val="nzIndenta"/>
      </w:pPr>
      <w:r>
        <w:tab/>
        <w:t>(d)</w:t>
      </w:r>
      <w:r>
        <w:tab/>
        <w:t>the date and time of a hearing in the case;</w:t>
      </w:r>
    </w:p>
    <w:p>
      <w:pPr>
        <w:pStyle w:val="nzIndenta"/>
      </w:pPr>
      <w:r>
        <w:tab/>
        <w:t>(e)</w:t>
      </w:r>
      <w:r>
        <w:tab/>
        <w:t>a writ and the statement of claim (if any) endorsed on it under the RSC Order 6 rule 3;</w:t>
      </w:r>
    </w:p>
    <w:p>
      <w:pPr>
        <w:pStyle w:val="nzIndenta"/>
      </w:pPr>
      <w:r>
        <w:tab/>
        <w:t>(f)</w:t>
      </w:r>
      <w:r>
        <w:tab/>
        <w:t>an index of documents filed in a registry;</w:t>
      </w:r>
    </w:p>
    <w:p>
      <w:pPr>
        <w:pStyle w:val="nzIndenta"/>
      </w:pPr>
      <w:r>
        <w:tab/>
        <w:t>(g)</w:t>
      </w:r>
      <w:r>
        <w:tab/>
        <w:t>a judgment or order of the Court.</w:t>
      </w:r>
    </w:p>
    <w:p>
      <w:pPr>
        <w:pStyle w:val="BlankClose"/>
      </w:pPr>
    </w:p>
    <w:p>
      <w:pPr>
        <w:pStyle w:val="nzSubsection"/>
      </w:pPr>
      <w:r>
        <w:tab/>
        <w:t>(2)</w:t>
      </w:r>
      <w:r>
        <w:tab/>
        <w:t>In rule 71(10):</w:t>
      </w:r>
    </w:p>
    <w:p>
      <w:pPr>
        <w:pStyle w:val="nzIndenta"/>
      </w:pPr>
      <w:r>
        <w:tab/>
        <w:t>(a)</w:t>
      </w:r>
      <w:r>
        <w:tab/>
        <w:t>after “obtain” insert:</w:t>
      </w:r>
    </w:p>
    <w:p>
      <w:pPr>
        <w:pStyle w:val="BlankOpen"/>
      </w:pPr>
    </w:p>
    <w:p>
      <w:pPr>
        <w:pStyle w:val="nzIndenta"/>
      </w:pPr>
      <w:r>
        <w:tab/>
      </w:r>
      <w:r>
        <w:tab/>
        <w:t xml:space="preserve">information, including </w:t>
      </w:r>
    </w:p>
    <w:p>
      <w:pPr>
        <w:pStyle w:val="BlankClose"/>
      </w:pPr>
    </w:p>
    <w:p>
      <w:pPr>
        <w:pStyle w:val="nzIndenta"/>
      </w:pPr>
      <w:r>
        <w:tab/>
        <w:t>(b)</w:t>
      </w:r>
      <w:r>
        <w:tab/>
        <w:t xml:space="preserve"> delete “information that” and insert:</w:t>
      </w:r>
    </w:p>
    <w:p>
      <w:pPr>
        <w:pStyle w:val="BlankOpen"/>
      </w:pPr>
    </w:p>
    <w:p>
      <w:pPr>
        <w:pStyle w:val="nzIndenta"/>
      </w:pPr>
      <w:r>
        <w:tab/>
      </w:r>
      <w:r>
        <w:tab/>
        <w:t xml:space="preserve">information, that </w:t>
      </w:r>
    </w:p>
    <w:p>
      <w:pPr>
        <w:pStyle w:val="BlankClose"/>
      </w:pPr>
    </w:p>
    <w:p>
      <w:pPr>
        <w:pStyle w:val="nzNotesPerm"/>
      </w:pPr>
      <w:r>
        <w:tab/>
        <w:t>Note:</w:t>
      </w:r>
      <w:r>
        <w:tab/>
        <w:t>The heading to amended rule 71 is to read:</w:t>
      </w:r>
    </w:p>
    <w:p>
      <w:pPr>
        <w:pStyle w:val="nzNotesPerm"/>
      </w:pPr>
      <w:r>
        <w:tab/>
      </w:r>
      <w:r>
        <w:tab/>
      </w:r>
      <w:r>
        <w:rPr>
          <w:b/>
        </w:rPr>
        <w:t>Access to records and things (registry)</w:t>
      </w:r>
    </w:p>
    <w:p>
      <w:pPr>
        <w:pStyle w:val="nzHeading5"/>
      </w:pPr>
      <w:r>
        <w:rPr>
          <w:rStyle w:val="CharSectno"/>
        </w:rPr>
        <w:t>22</w:t>
      </w:r>
      <w:r>
        <w:t>.</w:t>
      </w:r>
      <w:r>
        <w:tab/>
        <w:t>Rule 72 replaced</w:t>
      </w:r>
    </w:p>
    <w:p>
      <w:pPr>
        <w:pStyle w:val="nzSubsection"/>
      </w:pPr>
      <w:r>
        <w:tab/>
      </w:r>
      <w:r>
        <w:tab/>
        <w:t>Delete rule 72 and insert:</w:t>
      </w:r>
    </w:p>
    <w:p>
      <w:pPr>
        <w:pStyle w:val="BlankOpen"/>
      </w:pPr>
    </w:p>
    <w:p>
      <w:pPr>
        <w:pStyle w:val="nzHeading5"/>
      </w:pPr>
      <w:r>
        <w:t>72.</w:t>
      </w:r>
      <w:r>
        <w:tab/>
        <w:t>Access to records and things (Court’s website)</w:t>
      </w:r>
    </w:p>
    <w:p>
      <w:pPr>
        <w:pStyle w:val="nzSubsection"/>
      </w:pPr>
      <w:r>
        <w:tab/>
        <w:t>(1)</w:t>
      </w:r>
      <w:r>
        <w:tab/>
        <w:t xml:space="preserve">In this rule — </w:t>
      </w:r>
    </w:p>
    <w:p>
      <w:pPr>
        <w:pStyle w:val="nzDefstart"/>
      </w:pPr>
      <w:r>
        <w:tab/>
      </w:r>
      <w:r>
        <w:rPr>
          <w:rStyle w:val="CharDefText"/>
        </w:rPr>
        <w:t>registered user</w:t>
      </w:r>
      <w:r>
        <w:t xml:space="preserve"> means a person who is authorised to file documents electronically by filing an electronic version of them by means of the Court’s website under rule 20.</w:t>
      </w:r>
    </w:p>
    <w:p>
      <w:pPr>
        <w:pStyle w:val="nz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nzIndenta"/>
      </w:pPr>
      <w:r>
        <w:tab/>
        <w:t>(a)</w:t>
      </w:r>
      <w:r>
        <w:tab/>
        <w:t>the identity of the parties to a case;</w:t>
      </w:r>
    </w:p>
    <w:p>
      <w:pPr>
        <w:pStyle w:val="nzIndenta"/>
      </w:pPr>
      <w:r>
        <w:tab/>
        <w:t>(b)</w:t>
      </w:r>
      <w:r>
        <w:tab/>
        <w:t>the identity of the parties’ lawyers;</w:t>
      </w:r>
    </w:p>
    <w:p>
      <w:pPr>
        <w:pStyle w:val="nzIndenta"/>
      </w:pPr>
      <w:r>
        <w:tab/>
        <w:t>(c)</w:t>
      </w:r>
      <w:r>
        <w:tab/>
        <w:t>the date on which the case commenced;</w:t>
      </w:r>
    </w:p>
    <w:p>
      <w:pPr>
        <w:pStyle w:val="nzIndenta"/>
      </w:pPr>
      <w:r>
        <w:tab/>
        <w:t>(d)</w:t>
      </w:r>
      <w:r>
        <w:tab/>
        <w:t>the date and time of a hearing in the case;</w:t>
      </w:r>
    </w:p>
    <w:p>
      <w:pPr>
        <w:pStyle w:val="nzIndenta"/>
      </w:pPr>
      <w:r>
        <w:tab/>
        <w:t>(e)</w:t>
      </w:r>
      <w:r>
        <w:tab/>
        <w:t>an index of documents filed in a registry.</w:t>
      </w:r>
    </w:p>
    <w:p>
      <w:pPr>
        <w:pStyle w:val="nzSubsection"/>
      </w:pPr>
      <w:r>
        <w:tab/>
        <w:t>(3)</w:t>
      </w:r>
      <w:r>
        <w:tab/>
        <w:t xml:space="preserve">A registered user who is a party to the case is entitled to search for, and inspect electronic copies of, any of the following Court documents or information in that case — </w:t>
      </w:r>
    </w:p>
    <w:p>
      <w:pPr>
        <w:pStyle w:val="nzIndenta"/>
      </w:pPr>
      <w:r>
        <w:tab/>
        <w:t>(a)</w:t>
      </w:r>
      <w:r>
        <w:tab/>
        <w:t>documents filed electronically in a registry;</w:t>
      </w:r>
    </w:p>
    <w:p>
      <w:pPr>
        <w:pStyle w:val="nzIndenta"/>
      </w:pPr>
      <w:r>
        <w:tab/>
        <w:t>(b)</w:t>
      </w:r>
      <w:r>
        <w:tab/>
        <w:t>judgments or orders made by the Court.</w:t>
      </w:r>
    </w:p>
    <w:p>
      <w:pPr>
        <w:pStyle w:val="nz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BlankClose"/>
      </w:pPr>
    </w:p>
    <w:p>
      <w:pPr>
        <w:pStyle w:val="nzHeading5"/>
      </w:pPr>
      <w:r>
        <w:rPr>
          <w:rStyle w:val="CharSectno"/>
        </w:rPr>
        <w:t>23</w:t>
      </w:r>
      <w:r>
        <w:t>.</w:t>
      </w:r>
      <w:r>
        <w:tab/>
        <w:t>Schedule 1 Form 1AA amended</w:t>
      </w:r>
    </w:p>
    <w:p>
      <w:pPr>
        <w:pStyle w:val="nzSubsection"/>
      </w:pPr>
      <w:r>
        <w:tab/>
      </w:r>
      <w:r>
        <w:tab/>
        <w:t>In Schedule 1 Form 1AA after the row beginning “</w:t>
      </w:r>
      <w:r>
        <w:rPr>
          <w:sz w:val="22"/>
          <w:szCs w:val="22"/>
        </w:rPr>
        <w:t>Date of filing</w:t>
      </w:r>
      <w:r>
        <w:t>” insert:</w:t>
      </w:r>
    </w:p>
    <w:p>
      <w:pPr>
        <w:pStyle w:val="BlankOpe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394"/>
      </w:tblGrid>
      <w:tr>
        <w:trPr>
          <w:tblHeader/>
        </w:trPr>
        <w:tc>
          <w:tcPr>
            <w:tcW w:w="6379" w:type="dxa"/>
            <w:gridSpan w:val="2"/>
          </w:tcPr>
          <w:p>
            <w:pPr>
              <w:pStyle w:val="yTableNAm"/>
            </w:pPr>
            <w:r>
              <w:rPr>
                <w:szCs w:val="22"/>
              </w:rPr>
              <w:t>Disclosure pursuant to RSC Order 9A</w:t>
            </w:r>
          </w:p>
        </w:tc>
      </w:tr>
      <w:tr>
        <w:tc>
          <w:tcPr>
            <w:tcW w:w="1985" w:type="dxa"/>
          </w:tcPr>
          <w:p>
            <w:pPr>
              <w:pStyle w:val="yTableNAm"/>
            </w:pPr>
            <w:r>
              <w:rPr>
                <w:szCs w:val="22"/>
              </w:rPr>
              <w:t>Identity of any person who is an interested non</w:t>
            </w:r>
            <w:r>
              <w:rPr>
                <w:szCs w:val="22"/>
              </w:rPr>
              <w:noBreakHyphen/>
              <w:t>party</w:t>
            </w:r>
          </w:p>
          <w:p>
            <w:pPr>
              <w:pStyle w:val="yTableNAm"/>
              <w:rPr>
                <w:sz w:val="20"/>
              </w:rPr>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394" w:type="dxa"/>
          </w:tcPr>
          <w:p>
            <w:pPr>
              <w:pStyle w:val="yTableNAm"/>
            </w:pPr>
          </w:p>
        </w:tc>
      </w:tr>
    </w:tbl>
    <w:p>
      <w:pPr>
        <w:pStyle w:val="BlankClose"/>
      </w:pPr>
    </w:p>
    <w:p>
      <w:pPr>
        <w:pStyle w:val="nzHeading5"/>
      </w:pPr>
      <w:r>
        <w:rPr>
          <w:rStyle w:val="CharSectno"/>
        </w:rPr>
        <w:t>24</w:t>
      </w:r>
      <w:r>
        <w:t>.</w:t>
      </w:r>
      <w:r>
        <w:tab/>
        <w:t>Schedule 1 Forms 1B and 1C inserted</w:t>
      </w:r>
    </w:p>
    <w:p>
      <w:pPr>
        <w:pStyle w:val="nzSubsection"/>
      </w:pPr>
      <w:r>
        <w:tab/>
      </w:r>
      <w:r>
        <w:tab/>
        <w:t>After Schedule 1 Form 1A insert:</w:t>
      </w:r>
    </w:p>
    <w:p>
      <w:pPr>
        <w:pStyle w:val="BlankOpen"/>
      </w:pPr>
    </w:p>
    <w:p>
      <w:pPr>
        <w:pStyle w:val="zyMiscellaneousHeading"/>
        <w:spacing w:after="120"/>
        <w:jc w:val="left"/>
        <w:rPr>
          <w:b/>
        </w:rPr>
      </w:pPr>
      <w:r>
        <w:rPr>
          <w:b/>
        </w:rPr>
        <w:t>1B.</w:t>
      </w:r>
      <w:r>
        <w:rPr>
          <w:b/>
        </w:rPr>
        <w:tab/>
        <w:t>Originating summons (r. 23B)</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trHeight w:val="288"/>
        </w:trPr>
        <w:tc>
          <w:tcPr>
            <w:tcW w:w="3828"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2551" w:type="dxa"/>
            <w:gridSpan w:val="2"/>
          </w:tcPr>
          <w:p>
            <w:pPr>
              <w:pStyle w:val="yTableNAm"/>
            </w:pPr>
            <w:r>
              <w:t>Application No:</w:t>
            </w:r>
          </w:p>
        </w:tc>
      </w:tr>
      <w:tr>
        <w:trPr>
          <w:trHeight w:val="288"/>
        </w:trPr>
        <w:tc>
          <w:tcPr>
            <w:tcW w:w="3828" w:type="dxa"/>
            <w:gridSpan w:val="2"/>
            <w:vMerge/>
          </w:tcPr>
          <w:p>
            <w:pPr>
              <w:pStyle w:val="zyTableNAm"/>
            </w:pPr>
          </w:p>
        </w:tc>
        <w:tc>
          <w:tcPr>
            <w:tcW w:w="2551" w:type="dxa"/>
            <w:gridSpan w:val="2"/>
          </w:tcPr>
          <w:p>
            <w:pPr>
              <w:pStyle w:val="yTableNAm"/>
            </w:pPr>
            <w:r>
              <w:rPr>
                <w:b/>
              </w:rPr>
              <w:t>Originating summons</w:t>
            </w:r>
          </w:p>
        </w:tc>
      </w:tr>
      <w:tr>
        <w:tc>
          <w:tcPr>
            <w:tcW w:w="1985" w:type="dxa"/>
          </w:tcPr>
          <w:p>
            <w:pPr>
              <w:pStyle w:val="yTableNAm"/>
            </w:pPr>
            <w:r>
              <w:t>Parties</w:t>
            </w:r>
          </w:p>
        </w:tc>
        <w:tc>
          <w:tcPr>
            <w:tcW w:w="4394" w:type="dxa"/>
            <w:gridSpan w:val="3"/>
          </w:tcPr>
          <w:p>
            <w:pPr>
              <w:pStyle w:val="yTableNAm"/>
            </w:pPr>
            <w:r>
              <w:t>Applicant</w:t>
            </w:r>
          </w:p>
          <w:p>
            <w:pPr>
              <w:pStyle w:val="yTableNAm"/>
            </w:pPr>
          </w:p>
          <w:p>
            <w:pPr>
              <w:pStyle w:val="yTableNAm"/>
            </w:pPr>
            <w:r>
              <w:t>Respondent</w:t>
            </w:r>
          </w:p>
          <w:p>
            <w:pPr>
              <w:pStyle w:val="yTableNAm"/>
            </w:pPr>
          </w:p>
        </w:tc>
      </w:tr>
      <w:tr>
        <w:tc>
          <w:tcPr>
            <w:tcW w:w="1985" w:type="dxa"/>
          </w:tcPr>
          <w:p>
            <w:pPr>
              <w:pStyle w:val="yTableNAm"/>
            </w:pPr>
            <w:r>
              <w:t>Date of filing</w:t>
            </w:r>
          </w:p>
        </w:tc>
        <w:tc>
          <w:tcPr>
            <w:tcW w:w="4394" w:type="dxa"/>
            <w:gridSpan w:val="3"/>
          </w:tcPr>
          <w:p>
            <w:pPr>
              <w:pStyle w:val="yTableNAm"/>
            </w:pPr>
          </w:p>
        </w:tc>
      </w:tr>
      <w:tr>
        <w:tc>
          <w:tcPr>
            <w:tcW w:w="1985" w:type="dxa"/>
          </w:tcPr>
          <w:p>
            <w:pPr>
              <w:pStyle w:val="yTableNAm"/>
            </w:pPr>
            <w:r>
              <w:t xml:space="preserve">Act or rule that allows the application </w:t>
            </w:r>
            <w:r>
              <w:rPr>
                <w:vertAlign w:val="superscript"/>
              </w:rPr>
              <w:t>2</w:t>
            </w:r>
          </w:p>
        </w:tc>
        <w:tc>
          <w:tcPr>
            <w:tcW w:w="4394" w:type="dxa"/>
            <w:gridSpan w:val="3"/>
          </w:tcPr>
          <w:p>
            <w:pPr>
              <w:pStyle w:val="yTableNAm"/>
            </w:pPr>
          </w:p>
        </w:tc>
      </w:tr>
      <w:tr>
        <w:tc>
          <w:tcPr>
            <w:tcW w:w="6379" w:type="dxa"/>
            <w:gridSpan w:val="4"/>
          </w:tcPr>
          <w:p>
            <w:pPr>
              <w:pStyle w:val="yTableNAm"/>
            </w:pPr>
            <w:r>
              <w:rPr>
                <w:b/>
              </w:rPr>
              <w:t>Summons</w:t>
            </w:r>
          </w:p>
        </w:tc>
      </w:tr>
      <w:tr>
        <w:tc>
          <w:tcPr>
            <w:tcW w:w="6379" w:type="dxa"/>
            <w:gridSpan w:val="4"/>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85" w:type="dxa"/>
          </w:tcPr>
          <w:p>
            <w:pPr>
              <w:pStyle w:val="yTableNAm"/>
            </w:pPr>
            <w:r>
              <w:t xml:space="preserve">Hearing date </w:t>
            </w:r>
            <w:r>
              <w:rPr>
                <w:vertAlign w:val="superscript"/>
              </w:rPr>
              <w:t>3</w:t>
            </w:r>
          </w:p>
        </w:tc>
        <w:tc>
          <w:tcPr>
            <w:tcW w:w="4394" w:type="dxa"/>
            <w:gridSpan w:val="3"/>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85" w:type="dxa"/>
          </w:tcPr>
          <w:p>
            <w:pPr>
              <w:pStyle w:val="yTableNAm"/>
            </w:pPr>
            <w:r>
              <w:t>Notice to the respondent</w:t>
            </w:r>
          </w:p>
        </w:tc>
        <w:tc>
          <w:tcPr>
            <w:tcW w:w="4394" w:type="dxa"/>
            <w:gridSpan w:val="3"/>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379" w:type="dxa"/>
            <w:gridSpan w:val="4"/>
          </w:tcPr>
          <w:p>
            <w:pPr>
              <w:pStyle w:val="yTableNAm"/>
            </w:pPr>
            <w:r>
              <w:rPr>
                <w:b/>
              </w:rPr>
              <w:t>Applicant’s contact and service details</w:t>
            </w:r>
          </w:p>
        </w:tc>
      </w:tr>
      <w:tr>
        <w:tc>
          <w:tcPr>
            <w:tcW w:w="1985"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394" w:type="dxa"/>
            <w:gridSpan w:val="3"/>
          </w:tcPr>
          <w:p>
            <w:pPr>
              <w:pStyle w:val="yTableNAm"/>
            </w:pPr>
          </w:p>
        </w:tc>
      </w:tr>
      <w:tr>
        <w:tc>
          <w:tcPr>
            <w:tcW w:w="1985" w:type="dxa"/>
          </w:tcPr>
          <w:p>
            <w:pPr>
              <w:pStyle w:val="yTableNAm"/>
            </w:pPr>
            <w:r>
              <w:t>Name of lawyer</w:t>
            </w:r>
          </w:p>
          <w:p>
            <w:pPr>
              <w:pStyle w:val="yTableNAm"/>
              <w:rPr>
                <w:sz w:val="20"/>
              </w:rPr>
            </w:pPr>
            <w:r>
              <w:rPr>
                <w:sz w:val="20"/>
              </w:rPr>
              <w:t>(If one has been appointed)</w:t>
            </w:r>
          </w:p>
        </w:tc>
        <w:tc>
          <w:tcPr>
            <w:tcW w:w="4394" w:type="dxa"/>
            <w:gridSpan w:val="3"/>
          </w:tcPr>
          <w:p>
            <w:pPr>
              <w:pStyle w:val="yTableNAm"/>
            </w:pPr>
          </w:p>
        </w:tc>
      </w:tr>
      <w:tr>
        <w:tc>
          <w:tcPr>
            <w:tcW w:w="1985" w:type="dxa"/>
          </w:tcPr>
          <w:p>
            <w:pPr>
              <w:pStyle w:val="yTableNAm"/>
            </w:pPr>
            <w:r>
              <w:t>Postal address for service of documents</w:t>
            </w:r>
          </w:p>
          <w:p>
            <w:pPr>
              <w:pStyle w:val="yTableNAm"/>
              <w:rPr>
                <w:sz w:val="20"/>
              </w:rPr>
            </w:pPr>
            <w:r>
              <w:rPr>
                <w:sz w:val="20"/>
              </w:rPr>
              <w:t>(Must be provided)</w:t>
            </w:r>
          </w:p>
        </w:tc>
        <w:tc>
          <w:tcPr>
            <w:tcW w:w="4394" w:type="dxa"/>
            <w:gridSpan w:val="3"/>
          </w:tcPr>
          <w:p>
            <w:pPr>
              <w:pStyle w:val="yTableNAm"/>
            </w:pPr>
          </w:p>
        </w:tc>
      </w:tr>
      <w:tr>
        <w:tc>
          <w:tcPr>
            <w:tcW w:w="1985" w:type="dxa"/>
          </w:tcPr>
          <w:p>
            <w:pPr>
              <w:pStyle w:val="yTableNAm"/>
            </w:pPr>
            <w:r>
              <w:t>Email address</w:t>
            </w:r>
          </w:p>
          <w:p>
            <w:pPr>
              <w:pStyle w:val="yTableNAm"/>
              <w:rPr>
                <w:sz w:val="20"/>
              </w:rPr>
            </w:pPr>
            <w:r>
              <w:rPr>
                <w:sz w:val="20"/>
              </w:rPr>
              <w:t>(Optional — if provided, may be used for service of documents)</w:t>
            </w:r>
          </w:p>
        </w:tc>
        <w:tc>
          <w:tcPr>
            <w:tcW w:w="4394" w:type="dxa"/>
            <w:gridSpan w:val="3"/>
          </w:tcPr>
          <w:p>
            <w:pPr>
              <w:pStyle w:val="yTableNAm"/>
            </w:pPr>
          </w:p>
        </w:tc>
      </w:tr>
      <w:tr>
        <w:tc>
          <w:tcPr>
            <w:tcW w:w="1985" w:type="dxa"/>
          </w:tcPr>
          <w:p>
            <w:pPr>
              <w:pStyle w:val="yTableNAm"/>
            </w:pPr>
            <w:r>
              <w:t>Fax number</w:t>
            </w:r>
          </w:p>
          <w:p>
            <w:pPr>
              <w:pStyle w:val="yTableNAm"/>
              <w:rPr>
                <w:sz w:val="20"/>
              </w:rPr>
            </w:pPr>
            <w:r>
              <w:rPr>
                <w:sz w:val="20"/>
              </w:rPr>
              <w:t>(Optional — if provided, may be used for service of documents)</w:t>
            </w:r>
          </w:p>
        </w:tc>
        <w:tc>
          <w:tcPr>
            <w:tcW w:w="4394" w:type="dxa"/>
            <w:gridSpan w:val="3"/>
          </w:tcPr>
          <w:p>
            <w:pPr>
              <w:pStyle w:val="yTableNAm"/>
            </w:pPr>
          </w:p>
        </w:tc>
      </w:tr>
      <w:tr>
        <w:tc>
          <w:tcPr>
            <w:tcW w:w="1985" w:type="dxa"/>
          </w:tcPr>
          <w:p>
            <w:pPr>
              <w:pStyle w:val="yTableNAm"/>
            </w:pPr>
            <w:r>
              <w:t>Telephone number</w:t>
            </w:r>
          </w:p>
        </w:tc>
        <w:tc>
          <w:tcPr>
            <w:tcW w:w="4394" w:type="dxa"/>
            <w:gridSpan w:val="3"/>
          </w:tcPr>
          <w:p>
            <w:pPr>
              <w:pStyle w:val="yTableNAm"/>
            </w:pPr>
          </w:p>
        </w:tc>
      </w:tr>
      <w:tr>
        <w:tc>
          <w:tcPr>
            <w:tcW w:w="1985" w:type="dxa"/>
          </w:tcPr>
          <w:p>
            <w:pPr>
              <w:pStyle w:val="yTableNAm"/>
            </w:pPr>
            <w:r>
              <w:t>Reference</w:t>
            </w:r>
          </w:p>
        </w:tc>
        <w:tc>
          <w:tcPr>
            <w:tcW w:w="4394" w:type="dxa"/>
            <w:gridSpan w:val="3"/>
          </w:tcPr>
          <w:p>
            <w:pPr>
              <w:pStyle w:val="yTableNAm"/>
            </w:pPr>
          </w:p>
        </w:tc>
      </w:tr>
      <w:tr>
        <w:tc>
          <w:tcPr>
            <w:tcW w:w="1985" w:type="dxa"/>
          </w:tcPr>
          <w:p>
            <w:pPr>
              <w:pStyle w:val="yTableNAm"/>
            </w:pPr>
            <w:r>
              <w:t>Signature of applicant or lawyer</w:t>
            </w:r>
          </w:p>
        </w:tc>
        <w:tc>
          <w:tcPr>
            <w:tcW w:w="2197" w:type="dxa"/>
            <w:gridSpan w:val="2"/>
          </w:tcPr>
          <w:p>
            <w:pPr>
              <w:pStyle w:val="yTableNAm"/>
            </w:pPr>
            <w:r>
              <w:br/>
              <w:t>Applicant/lawyer</w:t>
            </w:r>
          </w:p>
        </w:tc>
        <w:tc>
          <w:tcPr>
            <w:tcW w:w="2197" w:type="dxa"/>
          </w:tcPr>
          <w:p>
            <w:pPr>
              <w:pStyle w:val="yTableNAm"/>
            </w:pPr>
            <w:r>
              <w:t>Date of signing:</w:t>
            </w:r>
          </w:p>
        </w:tc>
      </w:tr>
    </w:tbl>
    <w:p>
      <w:pPr>
        <w:pStyle w:val="nzMiscellaneousBody"/>
      </w:pPr>
      <w:r>
        <w:t xml:space="preserve">Notes to Form 1B — </w:t>
      </w:r>
      <w:r>
        <w:br/>
        <w:t>1.</w:t>
      </w:r>
      <w:r>
        <w:tab/>
        <w:t>If not held at Perth, state the location of the relevant registry.</w:t>
      </w:r>
    </w:p>
    <w:p>
      <w:pPr>
        <w:pStyle w:val="nzMiscellaneousBody"/>
        <w:ind w:left="1140" w:hanging="573"/>
      </w:pPr>
      <w:r>
        <w:t>2.</w:t>
      </w:r>
      <w:r>
        <w:tab/>
        <w:t>State the name of the Act or rules and section or rule number under which the application is being made.</w:t>
      </w:r>
    </w:p>
    <w:p>
      <w:pPr>
        <w:pStyle w:val="nzMiscellaneousBody"/>
        <w:ind w:left="1140" w:hanging="573"/>
      </w:pPr>
      <w:r>
        <w:t>3.</w:t>
      </w:r>
      <w:r>
        <w:tab/>
        <w:t>The Court will complete this row when the originating summons is filed.</w:t>
      </w:r>
    </w:p>
    <w:p>
      <w:pPr>
        <w:pStyle w:val="zyMiscellaneousHeading"/>
        <w:spacing w:before="240" w:after="120"/>
        <w:jc w:val="left"/>
        <w:rPr>
          <w:b/>
        </w:rPr>
      </w:pPr>
      <w:r>
        <w:rPr>
          <w:b/>
        </w:rPr>
        <w:t>1C.</w:t>
      </w:r>
      <w:r>
        <w:rPr>
          <w:b/>
        </w:rPr>
        <w:tab/>
        <w:t>Notification of contact and service information (r. 23C)</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cantSplit/>
          <w:trHeight w:val="288"/>
        </w:trPr>
        <w:tc>
          <w:tcPr>
            <w:tcW w:w="3828"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2551" w:type="dxa"/>
            <w:gridSpan w:val="2"/>
          </w:tcPr>
          <w:p>
            <w:pPr>
              <w:pStyle w:val="yTableNAm"/>
            </w:pPr>
            <w:r>
              <w:t>Application No:</w:t>
            </w:r>
          </w:p>
        </w:tc>
      </w:tr>
      <w:tr>
        <w:trPr>
          <w:cantSplit/>
          <w:trHeight w:val="288"/>
        </w:trPr>
        <w:tc>
          <w:tcPr>
            <w:tcW w:w="3828" w:type="dxa"/>
            <w:gridSpan w:val="2"/>
            <w:vMerge/>
          </w:tcPr>
          <w:p>
            <w:pPr>
              <w:pStyle w:val="zyTableNAm"/>
            </w:pPr>
          </w:p>
        </w:tc>
        <w:tc>
          <w:tcPr>
            <w:tcW w:w="2551" w:type="dxa"/>
            <w:gridSpan w:val="2"/>
          </w:tcPr>
          <w:p>
            <w:pPr>
              <w:pStyle w:val="yTableNAm"/>
            </w:pPr>
            <w:r>
              <w:rPr>
                <w:b/>
              </w:rPr>
              <w:t>Notification of contact and service information</w:t>
            </w:r>
          </w:p>
        </w:tc>
      </w:tr>
      <w:tr>
        <w:trPr>
          <w:cantSplit/>
        </w:trPr>
        <w:tc>
          <w:tcPr>
            <w:tcW w:w="1985" w:type="dxa"/>
          </w:tcPr>
          <w:p>
            <w:pPr>
              <w:pStyle w:val="yTableNAm"/>
            </w:pPr>
            <w:r>
              <w:t>Parties</w:t>
            </w:r>
          </w:p>
        </w:tc>
        <w:tc>
          <w:tcPr>
            <w:tcW w:w="4394" w:type="dxa"/>
            <w:gridSpan w:val="3"/>
          </w:tcPr>
          <w:p>
            <w:pPr>
              <w:pStyle w:val="yTableNAm"/>
            </w:pPr>
            <w:r>
              <w:t>Applicant</w:t>
            </w:r>
          </w:p>
          <w:p>
            <w:pPr>
              <w:pStyle w:val="yTableNAm"/>
            </w:pPr>
          </w:p>
          <w:p>
            <w:pPr>
              <w:pStyle w:val="yTableNAm"/>
            </w:pPr>
            <w:r>
              <w:t>Respondent</w:t>
            </w:r>
          </w:p>
          <w:p>
            <w:pPr>
              <w:pStyle w:val="yTableNAm"/>
            </w:pPr>
          </w:p>
        </w:tc>
      </w:tr>
      <w:tr>
        <w:trPr>
          <w:cantSplit/>
        </w:trPr>
        <w:tc>
          <w:tcPr>
            <w:tcW w:w="1985" w:type="dxa"/>
          </w:tcPr>
          <w:p>
            <w:pPr>
              <w:pStyle w:val="yTableNAm"/>
            </w:pPr>
            <w:r>
              <w:t>Date of filing</w:t>
            </w:r>
          </w:p>
        </w:tc>
        <w:tc>
          <w:tcPr>
            <w:tcW w:w="4394" w:type="dxa"/>
            <w:gridSpan w:val="3"/>
          </w:tcPr>
          <w:p>
            <w:pPr>
              <w:pStyle w:val="yTableNAm"/>
            </w:pPr>
          </w:p>
        </w:tc>
      </w:tr>
      <w:tr>
        <w:trPr>
          <w:cantSplit/>
        </w:trPr>
        <w:tc>
          <w:tcPr>
            <w:tcW w:w="6379" w:type="dxa"/>
            <w:gridSpan w:val="4"/>
          </w:tcPr>
          <w:p>
            <w:pPr>
              <w:pStyle w:val="yTableNAm"/>
            </w:pPr>
            <w:r>
              <w:rPr>
                <w:b/>
              </w:rPr>
              <w:t>Service and contact details</w:t>
            </w:r>
          </w:p>
        </w:tc>
      </w:tr>
      <w:tr>
        <w:trPr>
          <w:cantSplit/>
        </w:trPr>
        <w:tc>
          <w:tcPr>
            <w:tcW w:w="1985"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394" w:type="dxa"/>
            <w:gridSpan w:val="3"/>
          </w:tcPr>
          <w:p>
            <w:pPr>
              <w:pStyle w:val="yTableNAm"/>
            </w:pPr>
          </w:p>
        </w:tc>
      </w:tr>
      <w:tr>
        <w:trPr>
          <w:cantSplit/>
        </w:trPr>
        <w:tc>
          <w:tcPr>
            <w:tcW w:w="1985" w:type="dxa"/>
          </w:tcPr>
          <w:p>
            <w:pPr>
              <w:pStyle w:val="yTableNAm"/>
            </w:pPr>
            <w:r>
              <w:t>Name of lawyer</w:t>
            </w:r>
          </w:p>
          <w:p>
            <w:pPr>
              <w:pStyle w:val="yTableNAm"/>
              <w:rPr>
                <w:sz w:val="20"/>
              </w:rPr>
            </w:pPr>
            <w:r>
              <w:rPr>
                <w:sz w:val="20"/>
              </w:rPr>
              <w:t>(If one has been appointed)</w:t>
            </w:r>
          </w:p>
        </w:tc>
        <w:tc>
          <w:tcPr>
            <w:tcW w:w="4394" w:type="dxa"/>
            <w:gridSpan w:val="3"/>
          </w:tcPr>
          <w:p>
            <w:pPr>
              <w:pStyle w:val="yTableNAm"/>
            </w:pPr>
          </w:p>
        </w:tc>
      </w:tr>
      <w:tr>
        <w:trPr>
          <w:cantSplit/>
        </w:trPr>
        <w:tc>
          <w:tcPr>
            <w:tcW w:w="1985" w:type="dxa"/>
          </w:tcPr>
          <w:p>
            <w:pPr>
              <w:pStyle w:val="yTableNAm"/>
            </w:pPr>
            <w:r>
              <w:t>Postal address for service of documents</w:t>
            </w:r>
          </w:p>
          <w:p>
            <w:pPr>
              <w:pStyle w:val="yTableNAm"/>
              <w:rPr>
                <w:sz w:val="20"/>
              </w:rPr>
            </w:pPr>
            <w:r>
              <w:rPr>
                <w:sz w:val="20"/>
              </w:rPr>
              <w:t>(Must be provided)</w:t>
            </w:r>
          </w:p>
        </w:tc>
        <w:tc>
          <w:tcPr>
            <w:tcW w:w="4394" w:type="dxa"/>
            <w:gridSpan w:val="3"/>
          </w:tcPr>
          <w:p>
            <w:pPr>
              <w:pStyle w:val="yTableNAm"/>
            </w:pPr>
          </w:p>
        </w:tc>
      </w:tr>
      <w:tr>
        <w:trPr>
          <w:cantSplit/>
        </w:trPr>
        <w:tc>
          <w:tcPr>
            <w:tcW w:w="1985" w:type="dxa"/>
          </w:tcPr>
          <w:p>
            <w:pPr>
              <w:pStyle w:val="yTableNAm"/>
            </w:pPr>
            <w:r>
              <w:t>Email address</w:t>
            </w:r>
          </w:p>
          <w:p>
            <w:pPr>
              <w:pStyle w:val="yTableNAm"/>
              <w:rPr>
                <w:sz w:val="20"/>
              </w:rPr>
            </w:pPr>
            <w:r>
              <w:rPr>
                <w:sz w:val="20"/>
              </w:rPr>
              <w:t>(Optional — if provided, may be used for service of documents)</w:t>
            </w:r>
          </w:p>
        </w:tc>
        <w:tc>
          <w:tcPr>
            <w:tcW w:w="4394" w:type="dxa"/>
            <w:gridSpan w:val="3"/>
          </w:tcPr>
          <w:p>
            <w:pPr>
              <w:pStyle w:val="yTableNAm"/>
            </w:pPr>
          </w:p>
        </w:tc>
      </w:tr>
      <w:tr>
        <w:trPr>
          <w:cantSplit/>
        </w:trPr>
        <w:tc>
          <w:tcPr>
            <w:tcW w:w="1985" w:type="dxa"/>
          </w:tcPr>
          <w:p>
            <w:pPr>
              <w:pStyle w:val="yTableNAm"/>
            </w:pPr>
            <w:r>
              <w:t>Fax number</w:t>
            </w:r>
          </w:p>
          <w:p>
            <w:pPr>
              <w:pStyle w:val="yTableNAm"/>
              <w:rPr>
                <w:sz w:val="20"/>
              </w:rPr>
            </w:pPr>
            <w:r>
              <w:rPr>
                <w:sz w:val="20"/>
              </w:rPr>
              <w:t>(Optional — if provided, may be used for service of documents)</w:t>
            </w:r>
          </w:p>
        </w:tc>
        <w:tc>
          <w:tcPr>
            <w:tcW w:w="4394" w:type="dxa"/>
            <w:gridSpan w:val="3"/>
          </w:tcPr>
          <w:p>
            <w:pPr>
              <w:pStyle w:val="yTableNAm"/>
            </w:pPr>
          </w:p>
        </w:tc>
      </w:tr>
      <w:tr>
        <w:trPr>
          <w:cantSplit/>
        </w:trPr>
        <w:tc>
          <w:tcPr>
            <w:tcW w:w="1985" w:type="dxa"/>
          </w:tcPr>
          <w:p>
            <w:pPr>
              <w:pStyle w:val="yTableNAm"/>
            </w:pPr>
            <w:r>
              <w:t>Telephone number</w:t>
            </w:r>
          </w:p>
        </w:tc>
        <w:tc>
          <w:tcPr>
            <w:tcW w:w="4394" w:type="dxa"/>
            <w:gridSpan w:val="3"/>
          </w:tcPr>
          <w:p>
            <w:pPr>
              <w:pStyle w:val="yTableNAm"/>
            </w:pPr>
          </w:p>
        </w:tc>
      </w:tr>
      <w:tr>
        <w:trPr>
          <w:cantSplit/>
        </w:trPr>
        <w:tc>
          <w:tcPr>
            <w:tcW w:w="1985" w:type="dxa"/>
          </w:tcPr>
          <w:p>
            <w:pPr>
              <w:pStyle w:val="yTableNAm"/>
            </w:pPr>
            <w:r>
              <w:t>Reference</w:t>
            </w:r>
          </w:p>
        </w:tc>
        <w:tc>
          <w:tcPr>
            <w:tcW w:w="4394" w:type="dxa"/>
            <w:gridSpan w:val="3"/>
          </w:tcPr>
          <w:p>
            <w:pPr>
              <w:pStyle w:val="yTableNAm"/>
            </w:pPr>
          </w:p>
        </w:tc>
      </w:tr>
      <w:tr>
        <w:trPr>
          <w:cantSplit/>
        </w:trPr>
        <w:tc>
          <w:tcPr>
            <w:tcW w:w="1985" w:type="dxa"/>
          </w:tcPr>
          <w:p>
            <w:pPr>
              <w:pStyle w:val="yTableNAm"/>
            </w:pPr>
            <w:r>
              <w:t>Signature of applicant or lawyer</w:t>
            </w:r>
          </w:p>
        </w:tc>
        <w:tc>
          <w:tcPr>
            <w:tcW w:w="2197" w:type="dxa"/>
            <w:gridSpan w:val="2"/>
          </w:tcPr>
          <w:p>
            <w:pPr>
              <w:pStyle w:val="yTableNAm"/>
            </w:pPr>
            <w:r>
              <w:br/>
              <w:t>Party/lawyer</w:t>
            </w:r>
          </w:p>
        </w:tc>
        <w:tc>
          <w:tcPr>
            <w:tcW w:w="2197" w:type="dxa"/>
          </w:tcPr>
          <w:p>
            <w:pPr>
              <w:pStyle w:val="yTableNAm"/>
            </w:pPr>
            <w:r>
              <w:t>Date of signing:</w:t>
            </w:r>
          </w:p>
        </w:tc>
      </w:tr>
    </w:tbl>
    <w:p>
      <w:pPr>
        <w:pStyle w:val="nzMiscellaneousBody"/>
      </w:pPr>
      <w:r>
        <w:t xml:space="preserve">Note to Form 1C — </w:t>
      </w:r>
      <w:r>
        <w:br/>
        <w:t>1.</w:t>
      </w:r>
      <w:r>
        <w:tab/>
        <w:t>If not held at Perth, state the location of the relevant registry.</w:t>
      </w:r>
    </w:p>
    <w:p>
      <w:pPr>
        <w:pStyle w:val="BlankClose"/>
      </w:pPr>
    </w:p>
    <w:p>
      <w:pPr>
        <w:pStyle w:val="nzHeading5"/>
      </w:pPr>
      <w:r>
        <w:rPr>
          <w:rStyle w:val="CharSectno"/>
        </w:rPr>
        <w:t>25</w:t>
      </w:r>
      <w:r>
        <w:t>.</w:t>
      </w:r>
      <w:r>
        <w:tab/>
        <w:t>Schedule 1 Form 1 replaced</w:t>
      </w:r>
    </w:p>
    <w:p>
      <w:pPr>
        <w:pStyle w:val="nzSubsection"/>
      </w:pPr>
      <w:r>
        <w:tab/>
      </w:r>
      <w:r>
        <w:tab/>
        <w:t>Delete Schedule 1 Form 1 and insert:</w:t>
      </w:r>
    </w:p>
    <w:p>
      <w:pPr>
        <w:pStyle w:val="BlankOpen"/>
        <w:keepNext w:val="0"/>
        <w:keepLines w:val="0"/>
      </w:pPr>
    </w:p>
    <w:p>
      <w:pPr>
        <w:pStyle w:val="zyMiscellaneousHeading"/>
        <w:keepNext w:val="0"/>
        <w:spacing w:after="120"/>
        <w:jc w:val="left"/>
        <w:rPr>
          <w:b/>
        </w:rPr>
      </w:pPr>
      <w:r>
        <w:rPr>
          <w:b/>
        </w:rPr>
        <w:t>1.</w:t>
      </w:r>
      <w:r>
        <w:rPr>
          <w:b/>
        </w:rPr>
        <w:tab/>
        <w:t>Entry for trial (r. 37)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186"/>
        <w:gridCol w:w="657"/>
        <w:gridCol w:w="354"/>
        <w:gridCol w:w="118"/>
        <w:gridCol w:w="662"/>
        <w:gridCol w:w="1417"/>
      </w:tblGrid>
      <w:tr>
        <w:trPr>
          <w:trHeight w:val="288"/>
        </w:trPr>
        <w:tc>
          <w:tcPr>
            <w:tcW w:w="3828"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551" w:type="dxa"/>
            <w:gridSpan w:val="4"/>
          </w:tcPr>
          <w:p>
            <w:pPr>
              <w:pStyle w:val="yTableNAm"/>
            </w:pPr>
            <w:r>
              <w:t>Action No:</w:t>
            </w:r>
          </w:p>
        </w:tc>
      </w:tr>
      <w:tr>
        <w:trPr>
          <w:trHeight w:val="288"/>
        </w:trPr>
        <w:tc>
          <w:tcPr>
            <w:tcW w:w="3828" w:type="dxa"/>
            <w:gridSpan w:val="3"/>
            <w:vMerge/>
          </w:tcPr>
          <w:p>
            <w:pPr>
              <w:pStyle w:val="zyTableNAm"/>
            </w:pPr>
          </w:p>
        </w:tc>
        <w:tc>
          <w:tcPr>
            <w:tcW w:w="2551" w:type="dxa"/>
            <w:gridSpan w:val="4"/>
          </w:tcPr>
          <w:p>
            <w:pPr>
              <w:pStyle w:val="yTableNAm"/>
            </w:pPr>
            <w:r>
              <w:rPr>
                <w:b/>
              </w:rPr>
              <w:t>Entry for trial</w:t>
            </w:r>
          </w:p>
        </w:tc>
      </w:tr>
      <w:tr>
        <w:trPr>
          <w:trHeight w:val="288"/>
        </w:trPr>
        <w:tc>
          <w:tcPr>
            <w:tcW w:w="1985" w:type="dxa"/>
          </w:tcPr>
          <w:p>
            <w:pPr>
              <w:pStyle w:val="yTableNAm"/>
              <w:keepNext/>
            </w:pPr>
            <w:r>
              <w:t>Matter</w:t>
            </w:r>
          </w:p>
        </w:tc>
        <w:tc>
          <w:tcPr>
            <w:tcW w:w="4394" w:type="dxa"/>
            <w:gridSpan w:val="6"/>
          </w:tcPr>
          <w:p>
            <w:pPr>
              <w:pStyle w:val="yTableNAm"/>
              <w:keepNext/>
            </w:pPr>
            <w:r>
              <w:t>[</w:t>
            </w:r>
            <w:r>
              <w:rPr>
                <w:i/>
              </w:rPr>
              <w:t>Names of all parties</w:t>
            </w:r>
            <w:r>
              <w:t>]</w:t>
            </w:r>
          </w:p>
        </w:tc>
      </w:tr>
      <w:tr>
        <w:trPr>
          <w:trHeight w:val="288"/>
        </w:trPr>
        <w:tc>
          <w:tcPr>
            <w:tcW w:w="1985" w:type="dxa"/>
          </w:tcPr>
          <w:p>
            <w:pPr>
              <w:pStyle w:val="yTableNAm"/>
            </w:pPr>
            <w:r>
              <w:t>Date of filing</w:t>
            </w:r>
          </w:p>
        </w:tc>
        <w:tc>
          <w:tcPr>
            <w:tcW w:w="4394" w:type="dxa"/>
            <w:gridSpan w:val="6"/>
          </w:tcPr>
          <w:p>
            <w:pPr>
              <w:pStyle w:val="yTableNAm"/>
            </w:pPr>
          </w:p>
        </w:tc>
      </w:tr>
      <w:tr>
        <w:trPr>
          <w:trHeight w:val="288"/>
        </w:trPr>
        <w:tc>
          <w:tcPr>
            <w:tcW w:w="1985" w:type="dxa"/>
          </w:tcPr>
          <w:p>
            <w:pPr>
              <w:pStyle w:val="yTableNAm"/>
            </w:pPr>
            <w:r>
              <w:t>Certificate</w:t>
            </w:r>
          </w:p>
        </w:tc>
        <w:tc>
          <w:tcPr>
            <w:tcW w:w="4394" w:type="dxa"/>
            <w:gridSpan w:val="6"/>
          </w:tcPr>
          <w:p>
            <w:pPr>
              <w:pStyle w:val="yTableNAm"/>
            </w:pPr>
            <w:r>
              <w:t>The [</w:t>
            </w:r>
            <w:r>
              <w:rPr>
                <w:i/>
              </w:rPr>
              <w:t>party</w:t>
            </w:r>
            <w:r>
              <w:t xml:space="preserve">] certifies that — </w:t>
            </w:r>
          </w:p>
          <w:p>
            <w:pPr>
              <w:pStyle w:val="yTableNAm"/>
              <w:tabs>
                <w:tab w:val="clear" w:pos="567"/>
                <w:tab w:val="left" w:pos="175"/>
                <w:tab w:val="left" w:pos="601"/>
              </w:tabs>
              <w:ind w:left="601" w:hanging="601"/>
            </w:pPr>
            <w:r>
              <w:tab/>
            </w:r>
            <w:r>
              <w:rPr>
                <w:sz w:val="20"/>
              </w:rPr>
              <w:t>●</w:t>
            </w:r>
            <w:r>
              <w:tab/>
              <w:t>each party has given discovery to, and permitted inspection by, each other party;</w:t>
            </w:r>
          </w:p>
          <w:p>
            <w:pPr>
              <w:pStyle w:val="yTableNAm"/>
              <w:tabs>
                <w:tab w:val="clear" w:pos="567"/>
                <w:tab w:val="left" w:pos="175"/>
                <w:tab w:val="left" w:pos="601"/>
              </w:tabs>
              <w:ind w:left="601" w:hanging="601"/>
            </w:pPr>
            <w:r>
              <w:tab/>
            </w:r>
            <w:r>
              <w:rPr>
                <w:sz w:val="20"/>
              </w:rPr>
              <w:t>●</w:t>
            </w:r>
            <w:r>
              <w:tab/>
              <w:t>all requests for answers to interrogatories have been answered or validly objected to (delete if inapplicable);</w:t>
            </w:r>
          </w:p>
          <w:p>
            <w:pPr>
              <w:pStyle w:val="yTableNAm"/>
              <w:tabs>
                <w:tab w:val="clear" w:pos="567"/>
                <w:tab w:val="left" w:pos="175"/>
                <w:tab w:val="left" w:pos="601"/>
              </w:tabs>
              <w:ind w:left="601" w:hanging="601"/>
            </w:pPr>
            <w:r>
              <w:tab/>
            </w:r>
            <w:r>
              <w:rPr>
                <w:sz w:val="20"/>
              </w:rPr>
              <w:t>●</w:t>
            </w:r>
            <w:r>
              <w:tab/>
              <w:t>each party has complied with all case management directions and orders made by the Court;</w:t>
            </w:r>
          </w:p>
          <w:p>
            <w:pPr>
              <w:pStyle w:val="yTableNAm"/>
              <w:tabs>
                <w:tab w:val="clear" w:pos="567"/>
                <w:tab w:val="left" w:pos="175"/>
                <w:tab w:val="left" w:pos="601"/>
              </w:tabs>
              <w:ind w:left="601" w:hanging="601"/>
            </w:pPr>
            <w:r>
              <w:tab/>
            </w:r>
            <w:r>
              <w:rPr>
                <w:sz w:val="20"/>
              </w:rPr>
              <w:t>●</w:t>
            </w:r>
            <w:r>
              <w:tab/>
              <w:t>the [</w:t>
            </w:r>
            <w:r>
              <w:rPr>
                <w:i/>
              </w:rPr>
              <w:t>party</w:t>
            </w:r>
            <w:r>
              <w:t>] does not require any other interlocutory orders to be made;</w:t>
            </w:r>
          </w:p>
          <w:p>
            <w:pPr>
              <w:pStyle w:val="yTableNAm"/>
              <w:tabs>
                <w:tab w:val="clear" w:pos="567"/>
                <w:tab w:val="left" w:pos="175"/>
                <w:tab w:val="left" w:pos="601"/>
              </w:tabs>
              <w:ind w:left="601" w:hanging="601"/>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175"/>
                <w:tab w:val="left" w:pos="601"/>
              </w:tabs>
              <w:ind w:left="601" w:hanging="601"/>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175"/>
                <w:tab w:val="left" w:pos="601"/>
              </w:tabs>
              <w:ind w:left="601" w:hanging="601"/>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175"/>
                <w:tab w:val="left" w:pos="601"/>
              </w:tabs>
              <w:ind w:left="601" w:hanging="601"/>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985" w:type="dxa"/>
          </w:tcPr>
          <w:p>
            <w:pPr>
              <w:pStyle w:val="yTableNAm"/>
            </w:pPr>
            <w:r>
              <w:t>Entry for trial</w:t>
            </w:r>
          </w:p>
        </w:tc>
        <w:tc>
          <w:tcPr>
            <w:tcW w:w="4394" w:type="dxa"/>
            <w:gridSpan w:val="6"/>
          </w:tcPr>
          <w:p>
            <w:pPr>
              <w:pStyle w:val="yTableNAm"/>
            </w:pPr>
            <w:r>
              <w:t>The [</w:t>
            </w:r>
            <w:r>
              <w:rPr>
                <w:i/>
              </w:rPr>
              <w:t>party</w:t>
            </w:r>
            <w:r>
              <w:t>] enters this matter for trial.</w:t>
            </w:r>
          </w:p>
        </w:tc>
      </w:tr>
      <w:tr>
        <w:trPr>
          <w:trHeight w:val="288"/>
        </w:trPr>
        <w:tc>
          <w:tcPr>
            <w:tcW w:w="1985" w:type="dxa"/>
          </w:tcPr>
          <w:p>
            <w:pPr>
              <w:pStyle w:val="yTableNAm"/>
            </w:pPr>
            <w:r>
              <w:t>Has the requirement to attend a pre</w:t>
            </w:r>
            <w:r>
              <w:noBreakHyphen/>
              <w:t xml:space="preserve">trial conference been dispensed with? </w:t>
            </w:r>
            <w:r>
              <w:rPr>
                <w:vertAlign w:val="superscript"/>
              </w:rPr>
              <w:t>2</w:t>
            </w:r>
          </w:p>
        </w:tc>
        <w:tc>
          <w:tcPr>
            <w:tcW w:w="4394" w:type="dxa"/>
            <w:gridSpan w:val="6"/>
          </w:tcPr>
          <w:p>
            <w:pPr>
              <w:pStyle w:val="yTableNAm"/>
            </w:pPr>
          </w:p>
        </w:tc>
      </w:tr>
      <w:tr>
        <w:trPr>
          <w:trHeight w:val="288"/>
        </w:trPr>
        <w:tc>
          <w:tcPr>
            <w:tcW w:w="1985" w:type="dxa"/>
          </w:tcPr>
          <w:p>
            <w:pPr>
              <w:pStyle w:val="yTableNAm"/>
              <w:keepNext/>
            </w:pPr>
            <w:r>
              <w:t>Unavailable dates</w:t>
            </w:r>
          </w:p>
        </w:tc>
        <w:tc>
          <w:tcPr>
            <w:tcW w:w="4394" w:type="dxa"/>
            <w:gridSpan w:val="6"/>
          </w:tcPr>
          <w:p>
            <w:pPr>
              <w:pStyle w:val="yTableNAm"/>
              <w:keepNext/>
            </w:pPr>
            <w:r>
              <w:t>The parties are not available for a pre</w:t>
            </w:r>
            <w:r>
              <w:noBreakHyphen/>
              <w:t>trial conference on these dates:</w:t>
            </w:r>
          </w:p>
        </w:tc>
      </w:tr>
      <w:tr>
        <w:trPr>
          <w:trHeight w:val="288"/>
        </w:trPr>
        <w:tc>
          <w:tcPr>
            <w:tcW w:w="1985" w:type="dxa"/>
          </w:tcPr>
          <w:p>
            <w:pPr>
              <w:pStyle w:val="yTableNAm"/>
            </w:pPr>
            <w:r>
              <w:t>Date of pre</w:t>
            </w:r>
            <w:r>
              <w:noBreakHyphen/>
              <w:t xml:space="preserve">trial conference / directions hearing / listing conference </w:t>
            </w:r>
            <w:r>
              <w:rPr>
                <w:vertAlign w:val="superscript"/>
              </w:rPr>
              <w:t>3</w:t>
            </w:r>
          </w:p>
        </w:tc>
        <w:tc>
          <w:tcPr>
            <w:tcW w:w="4394"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985" w:type="dxa"/>
          </w:tcPr>
          <w:p>
            <w:pPr>
              <w:pStyle w:val="yTableNAm"/>
            </w:pPr>
            <w:r>
              <w:t>Information about the pre</w:t>
            </w:r>
            <w:r>
              <w:noBreakHyphen/>
              <w:t>trial conference</w:t>
            </w:r>
          </w:p>
        </w:tc>
        <w:tc>
          <w:tcPr>
            <w:tcW w:w="4394"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985" w:type="dxa"/>
            <w:vMerge w:val="restart"/>
          </w:tcPr>
          <w:p>
            <w:pPr>
              <w:pStyle w:val="yTableNAm"/>
            </w:pPr>
            <w:r>
              <w:t>Contact details of party or lawyer</w:t>
            </w:r>
          </w:p>
        </w:tc>
        <w:tc>
          <w:tcPr>
            <w:tcW w:w="1186" w:type="dxa"/>
          </w:tcPr>
          <w:p>
            <w:pPr>
              <w:pStyle w:val="yTableNAm"/>
            </w:pPr>
            <w:r>
              <w:t>Name</w:t>
            </w:r>
          </w:p>
        </w:tc>
        <w:tc>
          <w:tcPr>
            <w:tcW w:w="3208" w:type="dxa"/>
            <w:gridSpan w:val="5"/>
          </w:tcPr>
          <w:p>
            <w:pPr>
              <w:pStyle w:val="yTableNAm"/>
            </w:pPr>
          </w:p>
        </w:tc>
      </w:tr>
      <w:tr>
        <w:trPr>
          <w:trHeight w:val="62"/>
        </w:trPr>
        <w:tc>
          <w:tcPr>
            <w:tcW w:w="1985" w:type="dxa"/>
            <w:vMerge/>
          </w:tcPr>
          <w:p>
            <w:pPr>
              <w:pStyle w:val="zyTableNAm"/>
            </w:pPr>
          </w:p>
        </w:tc>
        <w:tc>
          <w:tcPr>
            <w:tcW w:w="1186" w:type="dxa"/>
          </w:tcPr>
          <w:p>
            <w:pPr>
              <w:pStyle w:val="yTableNAm"/>
            </w:pPr>
            <w:r>
              <w:t>Firm</w:t>
            </w:r>
          </w:p>
        </w:tc>
        <w:tc>
          <w:tcPr>
            <w:tcW w:w="3208" w:type="dxa"/>
            <w:gridSpan w:val="5"/>
          </w:tcPr>
          <w:p>
            <w:pPr>
              <w:pStyle w:val="yTableNAm"/>
            </w:pPr>
          </w:p>
        </w:tc>
      </w:tr>
      <w:tr>
        <w:trPr>
          <w:trHeight w:val="62"/>
        </w:trPr>
        <w:tc>
          <w:tcPr>
            <w:tcW w:w="1985" w:type="dxa"/>
            <w:vMerge/>
          </w:tcPr>
          <w:p>
            <w:pPr>
              <w:pStyle w:val="zyTableNAm"/>
            </w:pPr>
          </w:p>
        </w:tc>
        <w:tc>
          <w:tcPr>
            <w:tcW w:w="1186" w:type="dxa"/>
          </w:tcPr>
          <w:p>
            <w:pPr>
              <w:pStyle w:val="yTableNAm"/>
            </w:pPr>
            <w:r>
              <w:t>Address</w:t>
            </w:r>
          </w:p>
        </w:tc>
        <w:tc>
          <w:tcPr>
            <w:tcW w:w="3208" w:type="dxa"/>
            <w:gridSpan w:val="5"/>
          </w:tcPr>
          <w:p>
            <w:pPr>
              <w:pStyle w:val="yTableNAm"/>
            </w:pPr>
          </w:p>
        </w:tc>
      </w:tr>
      <w:tr>
        <w:trPr>
          <w:trHeight w:val="62"/>
        </w:trPr>
        <w:tc>
          <w:tcPr>
            <w:tcW w:w="1985" w:type="dxa"/>
            <w:vMerge/>
          </w:tcPr>
          <w:p>
            <w:pPr>
              <w:pStyle w:val="zyTableNAm"/>
            </w:pPr>
          </w:p>
        </w:tc>
        <w:tc>
          <w:tcPr>
            <w:tcW w:w="1186" w:type="dxa"/>
          </w:tcPr>
          <w:p>
            <w:pPr>
              <w:pStyle w:val="yTableNAm"/>
            </w:pPr>
            <w:r>
              <w:t>Phone</w:t>
            </w:r>
          </w:p>
        </w:tc>
        <w:tc>
          <w:tcPr>
            <w:tcW w:w="1129" w:type="dxa"/>
            <w:gridSpan w:val="3"/>
          </w:tcPr>
          <w:p>
            <w:pPr>
              <w:pStyle w:val="zyTableNAm"/>
            </w:pPr>
          </w:p>
        </w:tc>
        <w:tc>
          <w:tcPr>
            <w:tcW w:w="662" w:type="dxa"/>
          </w:tcPr>
          <w:p>
            <w:pPr>
              <w:pStyle w:val="yTableNAm"/>
            </w:pPr>
            <w:r>
              <w:t>Fax</w:t>
            </w:r>
          </w:p>
        </w:tc>
        <w:tc>
          <w:tcPr>
            <w:tcW w:w="1417" w:type="dxa"/>
          </w:tcPr>
          <w:p>
            <w:pPr>
              <w:pStyle w:val="yTableNAm"/>
            </w:pPr>
          </w:p>
        </w:tc>
      </w:tr>
      <w:tr>
        <w:trPr>
          <w:trHeight w:val="62"/>
        </w:trPr>
        <w:tc>
          <w:tcPr>
            <w:tcW w:w="1985" w:type="dxa"/>
            <w:vMerge/>
          </w:tcPr>
          <w:p>
            <w:pPr>
              <w:pStyle w:val="zyTableNAm"/>
            </w:pPr>
          </w:p>
        </w:tc>
        <w:tc>
          <w:tcPr>
            <w:tcW w:w="1186" w:type="dxa"/>
          </w:tcPr>
          <w:p>
            <w:pPr>
              <w:pStyle w:val="yTableNAm"/>
            </w:pPr>
            <w:r>
              <w:t>Email</w:t>
            </w:r>
          </w:p>
        </w:tc>
        <w:tc>
          <w:tcPr>
            <w:tcW w:w="3208" w:type="dxa"/>
            <w:gridSpan w:val="5"/>
          </w:tcPr>
          <w:p>
            <w:pPr>
              <w:pStyle w:val="yTableNAm"/>
            </w:pPr>
          </w:p>
        </w:tc>
      </w:tr>
      <w:tr>
        <w:trPr>
          <w:trHeight w:val="62"/>
        </w:trPr>
        <w:tc>
          <w:tcPr>
            <w:tcW w:w="1985" w:type="dxa"/>
            <w:vMerge/>
          </w:tcPr>
          <w:p>
            <w:pPr>
              <w:pStyle w:val="zyTableNAm"/>
            </w:pPr>
          </w:p>
        </w:tc>
        <w:tc>
          <w:tcPr>
            <w:tcW w:w="1186" w:type="dxa"/>
          </w:tcPr>
          <w:p>
            <w:pPr>
              <w:pStyle w:val="yTableNAm"/>
            </w:pPr>
            <w:r>
              <w:t>Reference</w:t>
            </w:r>
          </w:p>
        </w:tc>
        <w:tc>
          <w:tcPr>
            <w:tcW w:w="3208" w:type="dxa"/>
            <w:gridSpan w:val="5"/>
          </w:tcPr>
          <w:p>
            <w:pPr>
              <w:pStyle w:val="yTableNAm"/>
            </w:pPr>
          </w:p>
        </w:tc>
      </w:tr>
      <w:tr>
        <w:tc>
          <w:tcPr>
            <w:tcW w:w="1985" w:type="dxa"/>
          </w:tcPr>
          <w:p>
            <w:pPr>
              <w:pStyle w:val="yTableNAm"/>
              <w:keepNext/>
            </w:pPr>
          </w:p>
          <w:p>
            <w:pPr>
              <w:pStyle w:val="yTableNAm"/>
              <w:keepNext/>
            </w:pPr>
            <w:r>
              <w:t xml:space="preserve">Signature of person making this certification </w:t>
            </w:r>
          </w:p>
        </w:tc>
        <w:tc>
          <w:tcPr>
            <w:tcW w:w="2197" w:type="dxa"/>
            <w:gridSpan w:val="3"/>
          </w:tcPr>
          <w:p>
            <w:pPr>
              <w:pStyle w:val="yTableNAm"/>
              <w:keepNext/>
            </w:pPr>
          </w:p>
          <w:p>
            <w:pPr>
              <w:pStyle w:val="yTableNAm"/>
              <w:keepNext/>
            </w:pPr>
            <w:r>
              <w:t>Name of person making this certification</w:t>
            </w:r>
          </w:p>
        </w:tc>
        <w:tc>
          <w:tcPr>
            <w:tcW w:w="2197" w:type="dxa"/>
            <w:gridSpan w:val="3"/>
          </w:tcPr>
          <w:p>
            <w:pPr>
              <w:pStyle w:val="yTableNAm"/>
              <w:keepNext/>
            </w:pPr>
            <w:r>
              <w:t>Date of signing:</w:t>
            </w:r>
          </w:p>
        </w:tc>
      </w:tr>
    </w:tbl>
    <w:p>
      <w:pPr>
        <w:pStyle w:val="nzMiscellaneousBody"/>
      </w:pPr>
      <w:r>
        <w:t xml:space="preserve">Notes to Form 1 — </w:t>
      </w:r>
      <w:r>
        <w:br/>
        <w:t>1.</w:t>
      </w:r>
      <w:r>
        <w:tab/>
        <w:t>If not held at Perth, state the location of the relevant registry.</w:t>
      </w:r>
    </w:p>
    <w:p>
      <w:pPr>
        <w:pStyle w:val="nzMiscellaneousBody"/>
      </w:pPr>
      <w:r>
        <w:t>2.</w:t>
      </w:r>
      <w:r>
        <w:tab/>
        <w:t>If it has, specify the date of the order.</w:t>
      </w:r>
    </w:p>
    <w:p>
      <w:pPr>
        <w:pStyle w:val="nzMiscellaneousBody"/>
        <w:ind w:left="1140" w:hanging="573"/>
      </w:pPr>
      <w:r>
        <w:t>3.</w:t>
      </w:r>
      <w:r>
        <w:tab/>
        <w:t>The Court will complete this row when the entry for trial notice is filed.  If a listing conference or directions hearing has already been allocated, insert this information into the hearing details.</w:t>
      </w:r>
    </w:p>
    <w:p>
      <w:pPr>
        <w:pStyle w:val="BlankClose"/>
        <w:keepNext/>
      </w:pPr>
    </w:p>
    <w:p>
      <w:pPr>
        <w:pStyle w:val="BlankClose"/>
        <w:keepNext/>
      </w:pPr>
    </w:p>
    <w:p>
      <w:pPr>
        <w:pStyle w:val="nSubsection"/>
        <w:rPr>
          <w:iCs/>
        </w:rPr>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69" w:name="_Toc377544557"/>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WCIMA</w:t>
      </w:r>
      <w:r>
        <w:tab/>
        <w:t>Sch. 1 Form 8A</w:t>
      </w:r>
    </w:p>
    <w:p>
      <w:pPr>
        <w:pStyle w:val="DefinedTerms"/>
      </w:pPr>
      <w:r>
        <w:t>WCIMA appeal</w:t>
      </w:r>
      <w:r>
        <w:tab/>
        <w:t>49</w:t>
      </w:r>
    </w:p>
    <w:p>
      <w:pPr>
        <w:pStyle w:val="DefinedTerms"/>
      </w:pPr>
      <w:r>
        <w:t>working day</w:t>
      </w:r>
      <w:r>
        <w:tab/>
        <w:t>3</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1:41</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DistrtCourtRu2005_02-b0-01.docx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432"/>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CD02-19B9-4FB9-B312-B6AAB620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29561</Words>
  <Characters>136872</Characters>
  <Application>Microsoft Office Word</Application>
  <DocSecurity>0</DocSecurity>
  <Lines>4562</Lines>
  <Paragraphs>2919</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2005 - 02-b0-01</dc:title>
  <dc:subject/>
  <dc:creator/>
  <cp:keywords/>
  <dc:description/>
  <cp:lastModifiedBy>svcMRProcess</cp:lastModifiedBy>
  <cp:revision>4</cp:revision>
  <cp:lastPrinted>2013-12-13T06:35:00Z</cp:lastPrinted>
  <dcterms:created xsi:type="dcterms:W3CDTF">2018-09-11T05:41:00Z</dcterms:created>
  <dcterms:modified xsi:type="dcterms:W3CDTF">2018-09-11T05:42:00Z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20131231</vt:lpwstr>
  </property>
  <property fmtid="{D5CDD505-2E9C-101B-9397-08002B2CF9AE}" pid="4" name="DocumentType">
    <vt:lpwstr>Reg</vt:lpwstr>
  </property>
  <property fmtid="{D5CDD505-2E9C-101B-9397-08002B2CF9AE}" pid="5" name="OwlsUID">
    <vt:i4>3509</vt:i4>
  </property>
  <property fmtid="{D5CDD505-2E9C-101B-9397-08002B2CF9AE}" pid="6" name="AsAtDate">
    <vt:lpwstr>31 Dec 2013</vt:lpwstr>
  </property>
  <property fmtid="{D5CDD505-2E9C-101B-9397-08002B2CF9AE}" pid="7" name="Suffix">
    <vt:lpwstr>02-b0-01</vt:lpwstr>
  </property>
  <property fmtid="{D5CDD505-2E9C-101B-9397-08002B2CF9AE}" pid="8" name="ReprintNo">
    <vt:lpwstr>2</vt:lpwstr>
  </property>
  <property fmtid="{D5CDD505-2E9C-101B-9397-08002B2CF9AE}" pid="9" name="ReprintedAsAt">
    <vt:filetime>2013-12-05T16:00:00Z</vt:filetime>
  </property>
</Properties>
</file>