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_Toc418861203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_Toc418861204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_Toc418861205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_Toc418861206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_Toc418861207 \h </w:instrText>
      </w:r>
      <w:r>
        <w:fldChar w:fldCharType="separate"/>
      </w:r>
      <w:r>
        <w:t>1</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_Toc418861208 \h </w:instrText>
      </w:r>
      <w:r>
        <w:fldChar w:fldCharType="separate"/>
      </w:r>
      <w:r>
        <w:t>1</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_Toc418861209 \h </w:instrText>
      </w:r>
      <w:r>
        <w:fldChar w:fldCharType="separate"/>
      </w:r>
      <w:r>
        <w:t>1</w:t>
      </w:r>
      <w:r>
        <w:fldChar w:fldCharType="end"/>
      </w:r>
    </w:p>
    <w:p>
      <w:pPr>
        <w:pStyle w:val="TOC8"/>
        <w:rPr>
          <w:rFonts w:asciiTheme="minorHAnsi" w:eastAsiaTheme="minorEastAsia" w:hAnsiTheme="minorHAnsi" w:cstheme="minorBidi"/>
          <w:szCs w:val="22"/>
        </w:rPr>
      </w:pPr>
      <w:r>
        <w:t>8.</w:t>
      </w:r>
      <w:r>
        <w:tab/>
        <w:t>Prescribed rates of interest (s. 30(3), 32(4) and 52(3) and (7))</w:t>
      </w:r>
      <w:r>
        <w:tab/>
      </w:r>
      <w:r>
        <w:fldChar w:fldCharType="begin"/>
      </w:r>
      <w:r>
        <w:instrText xml:space="preserve"> PAGEREF _Toc418861210 \h </w:instrText>
      </w:r>
      <w:r>
        <w:fldChar w:fldCharType="separate"/>
      </w:r>
      <w:r>
        <w:t>1</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_Toc418861211 \h </w:instrText>
      </w:r>
      <w:r>
        <w:fldChar w:fldCharType="separate"/>
      </w:r>
      <w:r>
        <w:t>1</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_Toc418861212 \h </w:instrText>
      </w:r>
      <w:r>
        <w:fldChar w:fldCharType="separate"/>
      </w:r>
      <w:r>
        <w:t>1</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_Toc418861213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_Toc418861215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3" w:name="_Toc377564552"/>
      <w:bookmarkStart w:id="4" w:name="_Toc41886120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18861204"/>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377564554"/>
      <w:bookmarkStart w:id="8" w:name="_Toc418861205"/>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377564555"/>
      <w:bookmarkStart w:id="10" w:name="_Toc418861206"/>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377564556"/>
      <w:bookmarkStart w:id="12" w:name="_Toc418861207"/>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3" w:name="_Toc377564557"/>
      <w:bookmarkStart w:id="14" w:name="_Toc418861208"/>
      <w:r>
        <w:rPr>
          <w:rStyle w:val="CharSectno"/>
        </w:rPr>
        <w:t>6</w:t>
      </w:r>
      <w:r>
        <w:t>.</w:t>
      </w:r>
      <w:r>
        <w:tab/>
        <w:t>Prescribed qualification to completion of eligible transaction (s. 14(6))</w:t>
      </w:r>
      <w:bookmarkEnd w:id="13"/>
      <w:bookmarkEnd w:id="14"/>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5" w:name="_Toc377564558"/>
      <w:bookmarkStart w:id="16" w:name="_Toc418861209"/>
      <w:r>
        <w:rPr>
          <w:rStyle w:val="CharSectno"/>
        </w:rPr>
        <w:t>7</w:t>
      </w:r>
      <w:r>
        <w:t>.</w:t>
      </w:r>
      <w:r>
        <w:tab/>
        <w:t>Certain owners of land excluded from the operation of s. 16(1)</w:t>
      </w:r>
      <w:bookmarkEnd w:id="15"/>
      <w:bookmarkEnd w:id="16"/>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17" w:name="_Toc377564559"/>
      <w:bookmarkStart w:id="18" w:name="_Toc418861210"/>
      <w:r>
        <w:rPr>
          <w:rStyle w:val="CharSectno"/>
        </w:rPr>
        <w:t>8</w:t>
      </w:r>
      <w:r>
        <w:t>.</w:t>
      </w:r>
      <w:r>
        <w:tab/>
        <w:t>Prescribed rates of interest (s. 30(3), 32(4) and 52(3) and (7))</w:t>
      </w:r>
      <w:bookmarkEnd w:id="17"/>
      <w:bookmarkEnd w:id="18"/>
    </w:p>
    <w:p>
      <w:pPr>
        <w:pStyle w:val="Subsection"/>
      </w:pPr>
      <w:r>
        <w:tab/>
        <w:t>(1)</w:t>
      </w:r>
      <w:r>
        <w:tab/>
        <w:t>The rate of interest for the purposes of section 30(3) of the Act is 2.7% per annum.</w:t>
      </w:r>
    </w:p>
    <w:p>
      <w:pPr>
        <w:pStyle w:val="Subsection"/>
      </w:pPr>
      <w:r>
        <w:tab/>
        <w:t>(2)</w:t>
      </w:r>
      <w:r>
        <w:tab/>
        <w:t>The rate of interest for the purposes of section 32(4) of the Act is 2.7% per annum.</w:t>
      </w:r>
    </w:p>
    <w:p>
      <w:pPr>
        <w:pStyle w:val="Subsection"/>
      </w:pPr>
      <w:r>
        <w:tab/>
        <w:t>(3)</w:t>
      </w:r>
      <w:r>
        <w:tab/>
        <w:t>The rate of interest for the purposes of section 52(3) and (7) of the Act is 10.7% per annum.</w:t>
      </w:r>
    </w:p>
    <w:p>
      <w:pPr>
        <w:pStyle w:val="Footnotesection"/>
      </w:pPr>
      <w:r>
        <w:tab/>
        <w:t>[Regulation 8 amended in Gazette 13 Aug 2004 p. 3252; 20 Mar 2007 p. 1048; 14 Mar 2008 p. 837; 17 May 2013 p. 1986; 17 Dec 2013 p. 6239.]</w:t>
      </w:r>
    </w:p>
    <w:p>
      <w:pPr>
        <w:pStyle w:val="Heading5"/>
      </w:pPr>
      <w:bookmarkStart w:id="19" w:name="_Toc377564560"/>
      <w:bookmarkStart w:id="20" w:name="_Toc418861211"/>
      <w:r>
        <w:rPr>
          <w:rStyle w:val="CharSectno"/>
        </w:rPr>
        <w:t>9</w:t>
      </w:r>
      <w:r>
        <w:t>.</w:t>
      </w:r>
      <w:r>
        <w:tab/>
        <w:t>Conditions to be included in administration agreements (s. 37(2))</w:t>
      </w:r>
      <w:bookmarkEnd w:id="19"/>
      <w:bookmarkEnd w:id="2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21" w:name="_Toc377564561"/>
      <w:bookmarkStart w:id="22" w:name="_Toc418861212"/>
      <w:r>
        <w:rPr>
          <w:rStyle w:val="CharSectno"/>
        </w:rPr>
        <w:t>10</w:t>
      </w:r>
      <w:r>
        <w:t>.</w:t>
      </w:r>
      <w:r>
        <w:tab/>
        <w:t>Witness fees and expenses (s. 41(7))</w:t>
      </w:r>
      <w:bookmarkEnd w:id="21"/>
      <w:bookmarkEnd w:id="2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3" w:name="_Toc377564562"/>
      <w:bookmarkStart w:id="24" w:name="_Toc418861213"/>
      <w:r>
        <w:rPr>
          <w:rStyle w:val="CharSectno"/>
        </w:rPr>
        <w:t>11</w:t>
      </w:r>
      <w:r>
        <w:t>.</w:t>
      </w:r>
      <w:r>
        <w:tab/>
        <w:t>Authorised receipt and permitted disclosure of confidential information (s. 65(3))</w:t>
      </w:r>
      <w:bookmarkEnd w:id="23"/>
      <w:bookmarkEnd w:id="24"/>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7564563"/>
      <w:bookmarkStart w:id="26" w:name="_Toc418861214"/>
      <w:r>
        <w:t>Notes</w:t>
      </w:r>
      <w:bookmarkEnd w:id="25"/>
      <w:bookmarkEnd w:id="26"/>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27" w:name="_Toc377564564"/>
      <w:bookmarkStart w:id="28" w:name="_Toc418861215"/>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Borders>
              <w:bottom w:val="single" w:sz="4" w:space="0" w:color="auto"/>
            </w:tcBorders>
          </w:tcPr>
          <w:p>
            <w:pPr>
              <w:pStyle w:val="nTable"/>
              <w:keepNext/>
              <w:spacing w:after="40"/>
            </w:pPr>
            <w:r>
              <w:rPr>
                <w:i/>
              </w:rPr>
              <w:t xml:space="preserve">First Home Owner Grant Amendment Regulations (No. 2) 2013 </w:t>
            </w:r>
          </w:p>
        </w:tc>
        <w:tc>
          <w:tcPr>
            <w:tcW w:w="1276" w:type="dxa"/>
            <w:tcBorders>
              <w:bottom w:val="single" w:sz="4" w:space="0" w:color="auto"/>
            </w:tcBorders>
          </w:tcPr>
          <w:p>
            <w:pPr>
              <w:pStyle w:val="nTable"/>
              <w:keepNext/>
              <w:spacing w:after="40"/>
            </w:pPr>
            <w:r>
              <w:t>17 Dec 2013 p. 6239</w:t>
            </w:r>
            <w:r>
              <w:noBreakHyphen/>
              <w:t>40</w:t>
            </w:r>
          </w:p>
        </w:tc>
        <w:tc>
          <w:tcPr>
            <w:tcW w:w="2693" w:type="dxa"/>
            <w:tcBorders>
              <w:bottom w:val="single" w:sz="4" w:space="0" w:color="auto"/>
            </w:tcBorders>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8110756"/>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13174</Characters>
  <Application>Microsoft Office Word</Application>
  <DocSecurity>0</DocSecurity>
  <Lines>424</Lines>
  <Paragraphs>234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2000 - 02-e0-03</dc:title>
  <dc:subject>Subsidiary Legislation</dc:subject>
  <dc:creator>svcMRProcess</dc:creator>
  <cp:lastModifiedBy>svcMRProcess</cp:lastModifiedBy>
  <cp:revision>4</cp:revision>
  <cp:lastPrinted>2009-10-23T02:12:00Z</cp:lastPrinted>
  <dcterms:created xsi:type="dcterms:W3CDTF">2015-05-08T07:34:00Z</dcterms:created>
  <dcterms:modified xsi:type="dcterms:W3CDTF">2015-05-08T07:34:00Z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AsAtDate">
    <vt:lpwstr>01 Jan 2014</vt:lpwstr>
  </property>
  <property fmtid="{D5CDD505-2E9C-101B-9397-08002B2CF9AE}" pid="8" name="Suffix">
    <vt:lpwstr>02-e0-03</vt:lpwstr>
  </property>
</Properties>
</file>