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_Toc376241011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_Toc376241012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_Toc376241013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_Toc376241014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_Toc376241015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_Toc376241016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_Toc376241017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_Toc376241018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_Toc376241019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_Toc376241020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_Toc376241021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_Toc376241022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_Toc376241023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_Toc376241024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_Toc376241025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_Toc376241026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_Toc376241027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_Toc376241028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_Toc376241029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_Toc376241030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_Toc376241031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_Toc376241032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prescribed (to take etc. oaths etc.) (Act s. 18(3)(c))</w:t>
      </w:r>
      <w:r>
        <w:tab/>
      </w:r>
      <w:r>
        <w:fldChar w:fldCharType="begin"/>
      </w:r>
      <w:r>
        <w:instrText xml:space="preserve"> PAGEREF _Toc376241033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_Toc376241034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_Toc376241035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_Toc376241036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_Toc376241037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_Toc376241038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_Toc376241039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_Toc376241040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_Toc376241041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_Toc376241042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_Toc376241043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_Toc376241044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_Toc376241045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_Toc376241046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_Toc376241047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_Toc376241048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_Toc376241049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_Toc376241050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_Toc376241051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_Toc376241052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_Toc376241053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_Toc376241054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_Toc376241055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_Toc376241056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_Toc376241057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_Toc376241058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_Toc376241059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_Toc376241060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_Toc376241061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_Toc376241062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_Toc376241063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_Toc376241064 \h </w:instrText>
      </w:r>
      <w:r>
        <w:fldChar w:fldCharType="separate"/>
      </w:r>
      <w:r>
        <w:t>48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_Toc376241065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_Toc376241066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_Toc376241067 \h </w:instrText>
      </w:r>
      <w:r>
        <w:fldChar w:fldCharType="separate"/>
      </w:r>
      <w:r>
        <w:t>51</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_Toc376241068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_Toc376241069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_Toc376241070 \h </w:instrText>
      </w:r>
      <w:r>
        <w:fldChar w:fldCharType="separate"/>
      </w:r>
      <w:r>
        <w:t>52</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_Toc376241071 \h </w:instrText>
      </w:r>
      <w:r>
        <w:fldChar w:fldCharType="separate"/>
      </w:r>
      <w:r>
        <w:t>53</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_Toc376241072 \h </w:instrText>
      </w:r>
      <w:r>
        <w:fldChar w:fldCharType="separate"/>
      </w:r>
      <w:r>
        <w:t>53</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_Toc376241073 \h </w:instrText>
      </w:r>
      <w:r>
        <w:fldChar w:fldCharType="separate"/>
      </w:r>
      <w:r>
        <w:t>55</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_Toc376241074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_Toc376241075 \h </w:instrText>
      </w:r>
      <w:r>
        <w:fldChar w:fldCharType="separate"/>
      </w:r>
      <w:r>
        <w:t>56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_Toc376241076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_Toc376241077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_Toc376241078 \h </w:instrText>
      </w:r>
      <w:r>
        <w:fldChar w:fldCharType="separate"/>
      </w:r>
      <w:r>
        <w:t>57</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_Toc376241079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_Toc376241080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_Toc376241081 \h </w:instrText>
      </w:r>
      <w:r>
        <w:fldChar w:fldCharType="separate"/>
      </w:r>
      <w:r>
        <w:t>59</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_Toc376241082 \h </w:instrText>
      </w:r>
      <w:r>
        <w:fldChar w:fldCharType="separate"/>
      </w:r>
      <w:r>
        <w:t>59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_Toc376241083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_Toc376241084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_Toc376241085 \h </w:instrText>
      </w:r>
      <w:r>
        <w:fldChar w:fldCharType="separate"/>
      </w:r>
      <w:r>
        <w:t>63</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_Toc376241086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_Toc376241087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_Toc376241088 \h </w:instrText>
      </w:r>
      <w:r>
        <w:fldChar w:fldCharType="separate"/>
      </w:r>
      <w:r>
        <w:t>66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_Toc376241089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Details of applicant</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_Toc376241096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7624101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76241012"/>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76241013"/>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76241014"/>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76241015"/>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76241016"/>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76241017"/>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7624101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76241019"/>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76241020"/>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76241021"/>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7624102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76241023"/>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 w:name="_Toc376241024"/>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76241025"/>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76241026"/>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76241027"/>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76241028"/>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76241029"/>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 w:name="_Toc376241030"/>
      <w:r>
        <w:rPr>
          <w:rStyle w:val="CharSectno"/>
        </w:rPr>
        <w:t>8D</w:t>
      </w:r>
      <w:r>
        <w:t>.</w:t>
      </w:r>
      <w:r>
        <w:tab/>
        <w:t>Exemption from Act, sales etc. at farmers’ markets</w:t>
      </w:r>
      <w:bookmarkEnd w:id="20"/>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1" w:name="_Toc376241031"/>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2" w:name="_Toc376241032"/>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76241033"/>
      <w:r>
        <w:rPr>
          <w:rStyle w:val="CharSectno"/>
        </w:rPr>
        <w:t>9</w:t>
      </w:r>
      <w:r>
        <w:rPr>
          <w:snapToGrid w:val="0"/>
        </w:rPr>
        <w:t>.</w:t>
      </w:r>
      <w:r>
        <w:rPr>
          <w:snapToGrid w:val="0"/>
        </w:rPr>
        <w:tab/>
        <w:t>Persons prescribed (to take etc. oaths etc.)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76241034"/>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5" w:name="_Toc376241035"/>
      <w:r>
        <w:rPr>
          <w:rStyle w:val="CharSectno"/>
        </w:rPr>
        <w:t>9A</w:t>
      </w:r>
      <w:r>
        <w:t>.</w:t>
      </w:r>
      <w:r>
        <w:tab/>
      </w:r>
      <w:r>
        <w:rPr>
          <w:snapToGrid w:val="0"/>
        </w:rPr>
        <w:t>Special facility licence, purposes for which may be granted</w:t>
      </w:r>
      <w:bookmarkEnd w:id="25"/>
    </w:p>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76241036"/>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76241037"/>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76241038"/>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9" w:name="_Toc376241039"/>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76241040"/>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31" w:name="_Toc376241041"/>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32" w:name="_Toc376241042"/>
      <w:r>
        <w:rPr>
          <w:rStyle w:val="CharSectno"/>
        </w:rPr>
        <w:t>9G</w:t>
      </w:r>
      <w:r>
        <w:t>.</w:t>
      </w:r>
      <w:r>
        <w:tab/>
        <w:t xml:space="preserve">Reciprocal arrangements for club membership, requirements for </w:t>
      </w:r>
      <w:r>
        <w:rPr>
          <w:snapToGrid w:val="0"/>
        </w:rPr>
        <w:t>(Act s.</w:t>
      </w:r>
      <w:r>
        <w:t> 49(3)(c)(iv))</w:t>
      </w:r>
      <w:bookmarkEnd w:id="3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3" w:name="_Toc376241043"/>
      <w:r>
        <w:rPr>
          <w:rStyle w:val="CharSectno"/>
        </w:rPr>
        <w:t>10</w:t>
      </w:r>
      <w:r>
        <w:rPr>
          <w:snapToGrid w:val="0"/>
        </w:rPr>
        <w:t>.</w:t>
      </w:r>
      <w:r>
        <w:rPr>
          <w:snapToGrid w:val="0"/>
        </w:rPr>
        <w:tab/>
        <w:t>Requirements prescribed (Act s. </w:t>
      </w:r>
      <w:r>
        <w:t>57(2)(d)</w:t>
      </w:r>
      <w:r>
        <w:rPr>
          <w:snapToGrid w:val="0"/>
        </w:rPr>
        <w:t>)</w:t>
      </w:r>
      <w:bookmarkEnd w:id="33"/>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76241044"/>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76241045"/>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6" w:name="_Toc376241046"/>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r>
        <w:t>[</w:t>
      </w:r>
      <w:r>
        <w:rPr>
          <w:b/>
          <w:bCs/>
        </w:rPr>
        <w:t>14.</w:t>
      </w:r>
      <w:r>
        <w:tab/>
        <w:t>Deleted in Gazette 28 Sep 2007 p. 4928.]</w:t>
      </w:r>
    </w:p>
    <w:p>
      <w:pPr>
        <w:pStyle w:val="Heading5"/>
        <w:spacing w:before="260"/>
      </w:pPr>
      <w:bookmarkStart w:id="37" w:name="_Toc376241047"/>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8" w:name="_Toc376241048"/>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9" w:name="_Toc376241049"/>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40" w:name="_Toc376241050"/>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41" w:name="_Toc376241051"/>
      <w:r>
        <w:rPr>
          <w:rStyle w:val="CharSectno"/>
        </w:rPr>
        <w:t>14ADB</w:t>
      </w:r>
      <w:r>
        <w:t>.</w:t>
      </w:r>
      <w:r>
        <w:tab/>
        <w:t>Manager’s approval, conditions on (Act s. 102C)</w:t>
      </w:r>
      <w:bookmarkEnd w:id="41"/>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42" w:name="_Toc376241052"/>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43" w:name="_Toc376241053"/>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76241054"/>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76241055"/>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76241056"/>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76241057"/>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76241058"/>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9" w:name="_Toc376241059"/>
      <w:r>
        <w:rPr>
          <w:rStyle w:val="CharSectno"/>
        </w:rPr>
        <w:t>14AF</w:t>
      </w:r>
      <w:r>
        <w:t>.</w:t>
      </w:r>
      <w:r>
        <w:tab/>
        <w:t>Transitional provisions for r. 14AD</w:t>
      </w:r>
      <w:bookmarkEnd w:id="49"/>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50" w:name="_Toc376241060"/>
      <w:r>
        <w:rPr>
          <w:rStyle w:val="CharSectno"/>
        </w:rPr>
        <w:t>14AG</w:t>
      </w:r>
      <w:r>
        <w:t>.</w:t>
      </w:r>
      <w:r>
        <w:tab/>
        <w:t>Licensee to maintain register </w:t>
      </w:r>
      <w:r>
        <w:rPr>
          <w:snapToGrid w:val="0"/>
        </w:rPr>
        <w:t>(Act s. </w:t>
      </w:r>
      <w:r>
        <w:t>103A(1)(b))</w:t>
      </w:r>
      <w:bookmarkEnd w:id="50"/>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r>
        <w:t>[</w:t>
      </w:r>
      <w:r>
        <w:rPr>
          <w:b/>
          <w:bCs/>
        </w:rPr>
        <w:t>15.</w:t>
      </w:r>
      <w:r>
        <w:tab/>
        <w:t>Deleted in Gazette 28 Sep 2007 p. 4929.]</w:t>
      </w:r>
    </w:p>
    <w:p>
      <w:pPr>
        <w:pStyle w:val="Heading5"/>
        <w:spacing w:before="200"/>
        <w:rPr>
          <w:snapToGrid w:val="0"/>
        </w:rPr>
      </w:pPr>
      <w:bookmarkStart w:id="51" w:name="_Toc376241061"/>
      <w:r>
        <w:rPr>
          <w:rStyle w:val="CharSectno"/>
        </w:rPr>
        <w:t>16</w:t>
      </w:r>
      <w:r>
        <w:rPr>
          <w:snapToGrid w:val="0"/>
        </w:rPr>
        <w:t>.</w:t>
      </w:r>
      <w:r>
        <w:rPr>
          <w:snapToGrid w:val="0"/>
        </w:rPr>
        <w:tab/>
        <w:t>Amount of liability prescribed (Act s. 107)</w:t>
      </w:r>
      <w:bookmarkEnd w:id="51"/>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2" w:name="_Toc376241062"/>
      <w:r>
        <w:rPr>
          <w:rStyle w:val="CharSectno"/>
        </w:rPr>
        <w:t>17A</w:t>
      </w:r>
      <w:r>
        <w:t>.</w:t>
      </w:r>
      <w:r>
        <w:tab/>
        <w:t xml:space="preserve">Sports arenas prescribed (Act s. 110(4B) </w:t>
      </w:r>
      <w:r>
        <w:rPr>
          <w:i/>
        </w:rPr>
        <w:t>sports arena</w:t>
      </w:r>
      <w:r>
        <w:t>)</w:t>
      </w:r>
      <w:bookmarkEnd w:id="52"/>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53" w:name="_Toc376241063"/>
      <w:r>
        <w:rPr>
          <w:rStyle w:val="CharSectno"/>
        </w:rPr>
        <w:t>17</w:t>
      </w:r>
      <w:r>
        <w:rPr>
          <w:snapToGrid w:val="0"/>
        </w:rPr>
        <w:t>.</w:t>
      </w:r>
      <w:r>
        <w:rPr>
          <w:snapToGrid w:val="0"/>
        </w:rPr>
        <w:tab/>
        <w:t>Out of bounds area, notice for (Act s. 121(6))</w:t>
      </w:r>
      <w:bookmarkEnd w:id="53"/>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54" w:name="_Toc376241064"/>
      <w:r>
        <w:rPr>
          <w:rStyle w:val="CharSectno"/>
        </w:rPr>
        <w:t>18</w:t>
      </w:r>
      <w:r>
        <w:t>.</w:t>
      </w:r>
      <w:r>
        <w:tab/>
        <w:t>Premises prescribed to be regulated premises (Act s. 122(1)(f))</w:t>
      </w:r>
      <w:bookmarkEnd w:id="54"/>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55" w:name="_Toc376241065"/>
      <w:r>
        <w:rPr>
          <w:rStyle w:val="CharSectno"/>
        </w:rPr>
        <w:t>18A</w:t>
      </w:r>
      <w:r>
        <w:rPr>
          <w:snapToGrid w:val="0"/>
        </w:rPr>
        <w:t>.</w:t>
      </w:r>
      <w:r>
        <w:rPr>
          <w:snapToGrid w:val="0"/>
        </w:rPr>
        <w:tab/>
        <w:t>Documents prescribed as evidence of age etc. (Act s. 126(1)(b)(i)(III) and s. 160(1))</w:t>
      </w:r>
      <w:bookmarkEnd w:id="55"/>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56" w:name="_Toc376241066"/>
      <w:r>
        <w:rPr>
          <w:rStyle w:val="CharSectno"/>
        </w:rPr>
        <w:t>18B</w:t>
      </w:r>
      <w:r>
        <w:rPr>
          <w:snapToGrid w:val="0"/>
        </w:rPr>
        <w:t>.</w:t>
      </w:r>
      <w:r>
        <w:rPr>
          <w:snapToGrid w:val="0"/>
        </w:rPr>
        <w:tab/>
        <w:t>Proof of age card, issue of etc.</w:t>
      </w:r>
      <w:bookmarkEnd w:id="5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57" w:name="_Toc376241067"/>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8" w:name="_Toc376241068"/>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9" w:name="_Toc376241069"/>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76241070"/>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76241071"/>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76241072"/>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76241073"/>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76241074"/>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76241075"/>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76241076"/>
      <w:r>
        <w:rPr>
          <w:rStyle w:val="CharSectno"/>
        </w:rPr>
        <w:t>19</w:t>
      </w:r>
      <w:r>
        <w:rPr>
          <w:snapToGrid w:val="0"/>
        </w:rPr>
        <w:t>.</w:t>
      </w:r>
      <w:r>
        <w:rPr>
          <w:snapToGrid w:val="0"/>
        </w:rPr>
        <w:tab/>
        <w:t>Subsidy, application for</w:t>
      </w:r>
      <w:bookmarkEnd w:id="6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7624107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76241078"/>
      <w:r>
        <w:rPr>
          <w:rStyle w:val="CharSectno"/>
        </w:rPr>
        <w:t>21</w:t>
      </w:r>
      <w:r>
        <w:t>.</w:t>
      </w:r>
      <w:r>
        <w:tab/>
        <w:t>Wholesaler, subsidy for (Act s. 130)</w:t>
      </w:r>
      <w:bookmarkEnd w:id="68"/>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9" w:name="_Toc376241079"/>
      <w:r>
        <w:rPr>
          <w:rStyle w:val="CharSectno"/>
        </w:rPr>
        <w:t>21A</w:t>
      </w:r>
      <w:r>
        <w:t>.</w:t>
      </w:r>
      <w:r>
        <w:tab/>
        <w:t>Wine producer, subsidy for (Act s. 130)</w:t>
      </w:r>
      <w:bookmarkEnd w:id="69"/>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3563"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76241080"/>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76241081"/>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76241082"/>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73" w:name="_Toc376241083"/>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76241084"/>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76241085"/>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6" w:name="_Toc376241086"/>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76241087"/>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8" w:name="_Toc376241088"/>
      <w:r>
        <w:rPr>
          <w:rStyle w:val="CharSectno"/>
        </w:rPr>
        <w:t>26</w:t>
      </w:r>
      <w:r>
        <w:rPr>
          <w:snapToGrid w:val="0"/>
        </w:rPr>
        <w:t>.</w:t>
      </w:r>
      <w:r>
        <w:rPr>
          <w:snapToGrid w:val="0"/>
        </w:rPr>
        <w:tab/>
        <w:t>Fees generally (Sch. 3)</w:t>
      </w:r>
      <w:bookmarkEnd w:id="78"/>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 xml:space="preserve">if no more than 2 such permits have been issued — an additional amount of $262; or </w:t>
      </w:r>
    </w:p>
    <w:p>
      <w:pPr>
        <w:pStyle w:val="Indenta"/>
        <w:spacing w:before="100"/>
      </w:pPr>
      <w:r>
        <w:tab/>
        <w:t>(b)</w:t>
      </w:r>
      <w:r>
        <w:tab/>
        <w:t>if 3 or more such permits have been issued — an additional amount of $524.</w:t>
      </w:r>
    </w:p>
    <w:p>
      <w:pPr>
        <w:pStyle w:val="Subsection"/>
        <w:keepNext/>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2014;8 Nov 2013 p.</w:t>
      </w:r>
      <w:r>
        <w:rPr>
          <w:sz w:val="22"/>
          <w:szCs w:val="22"/>
        </w:rPr>
        <w:t xml:space="preserve"> </w:t>
      </w:r>
      <w:r>
        <w:t>4977-8.]</w:t>
      </w:r>
    </w:p>
    <w:p>
      <w:pPr>
        <w:pStyle w:val="Heading5"/>
        <w:rPr>
          <w:snapToGrid w:val="0"/>
        </w:rPr>
      </w:pPr>
      <w:bookmarkStart w:id="79" w:name="_Toc376241089"/>
      <w:r>
        <w:rPr>
          <w:rStyle w:val="CharSectno"/>
        </w:rPr>
        <w:t>27</w:t>
      </w:r>
      <w:r>
        <w:rPr>
          <w:snapToGrid w:val="0"/>
        </w:rPr>
        <w:t>.</w:t>
      </w:r>
      <w:r>
        <w:rPr>
          <w:snapToGrid w:val="0"/>
        </w:rPr>
        <w:tab/>
        <w:t>Infringement notices, forms etc. prescribed for (Act s. 167)</w:t>
      </w:r>
      <w:bookmarkEnd w:id="79"/>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80" w:name="RuleErr_4"/>
            <w:r>
              <w:rPr>
                <w:i/>
                <w:iCs/>
              </w:rPr>
              <w:t>Liquor Control (Bayulu Restricted Area) Regulations 2013</w:t>
            </w:r>
            <w:bookmarkEnd w:id="80"/>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rPr>
              <w:t>Liquor Control (Warralong Restricted Area) Regulations 2013</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keepLines w:val="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74005684"/>
      <w:bookmarkStart w:id="82" w:name="_Toc374005772"/>
      <w:bookmarkStart w:id="83" w:name="_Toc374015365"/>
      <w:bookmarkStart w:id="84" w:name="_Toc376241090"/>
      <w:r>
        <w:rPr>
          <w:rStyle w:val="CharSchNo"/>
        </w:rPr>
        <w:t>Schedule 1</w:t>
      </w:r>
      <w:bookmarkEnd w:id="81"/>
      <w:bookmarkEnd w:id="82"/>
      <w:bookmarkEnd w:id="83"/>
      <w:bookmarkEnd w:id="84"/>
    </w:p>
    <w:p>
      <w:pPr>
        <w:pStyle w:val="yShoulderClause"/>
        <w:spacing w:before="60"/>
        <w:rPr>
          <w:snapToGrid w:val="0"/>
        </w:rPr>
      </w:pPr>
      <w:r>
        <w:rPr>
          <w:snapToGrid w:val="0"/>
        </w:rPr>
        <w:t>[Regulation 3]</w:t>
      </w:r>
    </w:p>
    <w:p>
      <w:pPr>
        <w:pStyle w:val="yHeading2"/>
        <w:outlineLvl w:val="9"/>
      </w:pPr>
      <w:bookmarkStart w:id="85" w:name="_Toc374005685"/>
      <w:bookmarkStart w:id="86" w:name="_Toc374005773"/>
      <w:bookmarkStart w:id="87" w:name="_Toc374015366"/>
      <w:bookmarkStart w:id="88" w:name="_Toc376241091"/>
      <w:r>
        <w:rPr>
          <w:rStyle w:val="CharSchText"/>
        </w:rPr>
        <w:t>Forms</w:t>
      </w:r>
      <w:bookmarkEnd w:id="85"/>
      <w:bookmarkEnd w:id="86"/>
      <w:bookmarkEnd w:id="87"/>
      <w:bookmarkEnd w:id="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9" w:name="_Toc374005686"/>
      <w:bookmarkStart w:id="90" w:name="_Toc374005774"/>
      <w:bookmarkStart w:id="91" w:name="_Toc374015367"/>
      <w:bookmarkStart w:id="92" w:name="_Toc376241092"/>
      <w:r>
        <w:rPr>
          <w:rStyle w:val="CharSchNo"/>
        </w:rPr>
        <w:t>Schedule 2</w:t>
      </w:r>
      <w:bookmarkEnd w:id="89"/>
      <w:bookmarkEnd w:id="90"/>
      <w:bookmarkEnd w:id="91"/>
      <w:bookmarkEnd w:id="92"/>
    </w:p>
    <w:p>
      <w:pPr>
        <w:pStyle w:val="yShoulderClause"/>
        <w:spacing w:before="60"/>
        <w:rPr>
          <w:snapToGrid w:val="0"/>
        </w:rPr>
      </w:pPr>
      <w:r>
        <w:rPr>
          <w:snapToGrid w:val="0"/>
        </w:rPr>
        <w:t>[Regulation 13]</w:t>
      </w:r>
    </w:p>
    <w:p>
      <w:pPr>
        <w:pStyle w:val="yHeading2"/>
        <w:spacing w:before="120" w:after="80"/>
      </w:pPr>
      <w:bookmarkStart w:id="93" w:name="_Toc374005687"/>
      <w:bookmarkStart w:id="94" w:name="_Toc374005775"/>
      <w:bookmarkStart w:id="95" w:name="_Toc374015368"/>
      <w:bookmarkStart w:id="96" w:name="_Toc376241093"/>
      <w:r>
        <w:rPr>
          <w:rStyle w:val="CharSchText"/>
        </w:rPr>
        <w:t>Details of applicant</w:t>
      </w:r>
      <w:bookmarkEnd w:id="93"/>
      <w:bookmarkEnd w:id="94"/>
      <w:bookmarkEnd w:id="95"/>
      <w:bookmarkEnd w:id="9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7" w:name="_Toc374005688"/>
      <w:bookmarkStart w:id="98" w:name="_Toc374005776"/>
      <w:bookmarkStart w:id="99" w:name="_Toc374015369"/>
      <w:bookmarkStart w:id="100" w:name="_Toc376241094"/>
      <w:r>
        <w:rPr>
          <w:rStyle w:val="CharSchNo"/>
        </w:rPr>
        <w:t>Schedule 3</w:t>
      </w:r>
      <w:r>
        <w:rPr>
          <w:rStyle w:val="CharSDivNo"/>
        </w:rPr>
        <w:t> </w:t>
      </w:r>
      <w:r>
        <w:t>—</w:t>
      </w:r>
      <w:r>
        <w:rPr>
          <w:rStyle w:val="CharSDivText"/>
        </w:rPr>
        <w:t> </w:t>
      </w:r>
      <w:r>
        <w:rPr>
          <w:rStyle w:val="CharSchText"/>
        </w:rPr>
        <w:t>Fees</w:t>
      </w:r>
      <w:bookmarkEnd w:id="97"/>
      <w:bookmarkEnd w:id="98"/>
      <w:bookmarkEnd w:id="99"/>
      <w:bookmarkEnd w:id="100"/>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r>
            <w:r>
              <w:rPr>
                <w:szCs w:val="22"/>
              </w:rPr>
              <w:t>3 250</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r>
            <w:r>
              <w:rPr>
                <w:szCs w:val="22"/>
              </w:rPr>
              <w:t>835</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rPr>
                <w:szCs w:val="22"/>
              </w:rPr>
              <w:t>800</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rPr>
                <w:szCs w:val="22"/>
              </w:rPr>
              <w:t>51</w:t>
            </w:r>
          </w:p>
          <w:p>
            <w:pPr>
              <w:pStyle w:val="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rPr>
                <w:szCs w:val="22"/>
              </w:rPr>
              <w:t>214</w:t>
            </w:r>
          </w:p>
          <w:p>
            <w:pPr>
              <w:pStyle w:val="yTableNAm"/>
              <w:tabs>
                <w:tab w:val="clear" w:pos="567"/>
                <w:tab w:val="left" w:leader="dot" w:pos="5387"/>
              </w:tabs>
              <w:jc w:val="right"/>
            </w:pPr>
            <w:r>
              <w:rPr>
                <w:szCs w:val="22"/>
              </w:rPr>
              <w:t>1 055</w:t>
            </w:r>
          </w:p>
          <w:p>
            <w:pPr>
              <w:pStyle w:val="yTableNAm"/>
              <w:tabs>
                <w:tab w:val="clear" w:pos="567"/>
                <w:tab w:val="left" w:leader="dot" w:pos="5387"/>
              </w:tabs>
              <w:jc w:val="right"/>
            </w:pPr>
            <w:r>
              <w:rPr>
                <w:szCs w:val="22"/>
              </w:rPr>
              <w:t>2 142</w:t>
            </w:r>
          </w:p>
          <w:p>
            <w:pPr>
              <w:pStyle w:val="yTableNAm"/>
              <w:tabs>
                <w:tab w:val="clear" w:pos="567"/>
                <w:tab w:val="left" w:leader="dot" w:pos="5387"/>
              </w:tabs>
              <w:jc w:val="right"/>
            </w:pPr>
            <w:r>
              <w:rPr>
                <w:szCs w:val="22"/>
              </w:rPr>
              <w:t>4 290</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rPr>
                <w:szCs w:val="22"/>
              </w:rPr>
              <w:t>51</w:t>
            </w:r>
          </w:p>
          <w:p>
            <w:pPr>
              <w:pStyle w:val="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r>
            <w:r>
              <w:rPr>
                <w:szCs w:val="22"/>
              </w:rPr>
              <w:t>152</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rPr>
                <w:szCs w:val="22"/>
              </w:rPr>
              <w:t>104</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r>
            <w:r>
              <w:rPr>
                <w:szCs w:val="22"/>
              </w:rPr>
              <w:t>377</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rPr>
                <w:szCs w:val="22"/>
              </w:rPr>
              <w:t>219</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r>
            <w:r>
              <w:rPr>
                <w:szCs w:val="22"/>
              </w:rPr>
              <w:t>71</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rPr>
                <w:szCs w:val="22"/>
              </w:rPr>
              <w:t>4 290</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r>
            <w:r>
              <w:rPr>
                <w:szCs w:val="22"/>
              </w:rPr>
              <w:t>262</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rPr>
                <w:szCs w:val="22"/>
              </w:rPr>
              <w:t>219</w:t>
            </w:r>
          </w:p>
          <w:p>
            <w:pPr>
              <w:pStyle w:val="yTableNAm"/>
              <w:tabs>
                <w:tab w:val="clear" w:pos="567"/>
                <w:tab w:val="left" w:leader="dot" w:pos="5387"/>
              </w:tabs>
              <w:jc w:val="right"/>
            </w:pPr>
          </w:p>
          <w:p>
            <w:pPr>
              <w:pStyle w:val="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rPr>
                <w:rFonts w:ascii="Arial" w:hAnsi="Arial"/>
                <w:b/>
              </w:rPr>
            </w:pPr>
            <w:r>
              <w:br/>
              <w:t>62</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rPr>
                <w:rFonts w:ascii="Arial" w:hAnsi="Arial"/>
                <w:b/>
              </w:rPr>
            </w:pPr>
            <w:r>
              <w:t>56</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01" w:name="_Toc374005689"/>
      <w:bookmarkStart w:id="102" w:name="_Toc374005777"/>
      <w:bookmarkStart w:id="103" w:name="_Toc374015370"/>
      <w:bookmarkStart w:id="104" w:name="_Toc376241095"/>
      <w:r>
        <w:t>Notes</w:t>
      </w:r>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376241096"/>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rPr>
              <w:t>Liquor Control Amendment Regulations (No. 7) 2013</w:t>
            </w:r>
            <w: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lang w:val="en-US"/>
              </w:rPr>
            </w:pPr>
            <w:r>
              <w:rPr>
                <w:bCs/>
                <w:snapToGrid w:val="0"/>
                <w:sz w:val="19"/>
                <w:szCs w:val="19"/>
                <w:lang w:val="en-US"/>
              </w:rPr>
              <w:t>r. 1 and 2: 8 Nov 2013 (see r. 2(a));</w:t>
            </w:r>
            <w:r>
              <w:rPr>
                <w:bCs/>
                <w:snapToGrid w:val="0"/>
                <w:sz w:val="19"/>
                <w:szCs w:val="19"/>
                <w:lang w:val="en-US"/>
              </w:rPr>
              <w:br/>
              <w:t xml:space="preserve">Regulations other than r. 1 and 2: </w:t>
            </w:r>
            <w:r>
              <w:rPr>
                <w:sz w:val="19"/>
              </w:rPr>
              <w:t>1 Jan 2014 (see. r. 2(b))</w:t>
            </w:r>
          </w:p>
        </w:tc>
      </w:tr>
      <w:tr>
        <w:trPr>
          <w:cantSplit/>
        </w:trPr>
        <w:tc>
          <w:tcPr>
            <w:tcW w:w="3119" w:type="dxa"/>
            <w:tcBorders>
              <w:bottom w:val="single" w:sz="4" w:space="0" w:color="auto"/>
            </w:tcBorders>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tcBorders>
              <w:bottom w:val="single" w:sz="4" w:space="0" w:color="auto"/>
            </w:tcBorders>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lang w:val="en-US"/>
              </w:rPr>
              <w:t>r. 1 and 2: 6 Dec 2013 (see r. 2(a));</w:t>
            </w:r>
            <w:r>
              <w:rPr>
                <w:rFonts w:ascii="Times" w:hAnsi="Times"/>
                <w:bCs/>
                <w:snapToGrid w:val="0"/>
                <w:spacing w:val="-2"/>
                <w:sz w:val="19"/>
                <w:szCs w:val="19"/>
                <w:lang w:val="en-US"/>
              </w:rPr>
              <w:br/>
              <w:t>Regulations other than r. 1 and 2: 7 Dec 2013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06" w:name="_Toc374005692"/>
      <w:bookmarkStart w:id="107" w:name="_Toc374005780"/>
      <w:bookmarkStart w:id="108" w:name="_Toc374015373"/>
      <w:bookmarkStart w:id="109" w:name="_Toc376241097"/>
      <w:r>
        <w:rPr>
          <w:sz w:val="28"/>
        </w:rPr>
        <w:t>Defined terms</w:t>
      </w:r>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 w:name="DefinedTerms"/>
      <w:bookmarkEnd w:id="110"/>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510244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6F57-2971-49D2-B3C7-E07D4673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25269</Words>
  <Characters>121295</Characters>
  <Application>Microsoft Office Word</Application>
  <DocSecurity>0</DocSecurity>
  <Lines>4331</Lines>
  <Paragraphs>2526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1989 - 11-j0-00</dc:title>
  <dc:subject/>
  <dc:creator/>
  <cp:keywords/>
  <dc:description/>
  <cp:lastModifiedBy>svcMRProcess</cp:lastModifiedBy>
  <cp:revision>4</cp:revision>
  <cp:lastPrinted>2013-01-22T02:27:00Z</cp:lastPrinted>
  <dcterms:created xsi:type="dcterms:W3CDTF">2020-02-26T15:06:00Z</dcterms:created>
  <dcterms:modified xsi:type="dcterms:W3CDTF">2020-02-26T15:06:00Z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4569</vt:i4>
  </property>
  <property fmtid="{D5CDD505-2E9C-101B-9397-08002B2CF9AE}" pid="6" name="AsAtDate">
    <vt:lpwstr>01 Jan 2014</vt:lpwstr>
  </property>
  <property fmtid="{D5CDD505-2E9C-101B-9397-08002B2CF9AE}" pid="7" name="Suffix">
    <vt:lpwstr>11-j0-00</vt:lpwstr>
  </property>
  <property fmtid="{D5CDD505-2E9C-101B-9397-08002B2CF9AE}" pid="8" name="ReprintNo">
    <vt:lpwstr>11</vt:lpwstr>
  </property>
  <property fmtid="{D5CDD505-2E9C-101B-9397-08002B2CF9AE}" pid="9" name="ReprintedAsAt">
    <vt:filetime>2013-01-10T16:00:00Z</vt:filetime>
  </property>
</Properties>
</file>