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Arbitration and Review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Arbitration and Review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_Toc416795308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_Toc416795309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board and arbitrator</w:t>
      </w:r>
    </w:p>
    <w:p>
      <w:pPr>
        <w:pStyle w:val="TOC4"/>
        <w:tabs>
          <w:tab w:val="right" w:leader="dot" w:pos="7077"/>
        </w:tabs>
        <w:rPr>
          <w:rFonts w:asciiTheme="minorHAnsi" w:eastAsiaTheme="minorEastAsia" w:hAnsiTheme="minorHAnsi" w:cstheme="minorBidi"/>
          <w:b w:val="0"/>
          <w:szCs w:val="22"/>
        </w:rPr>
      </w:pPr>
      <w:r>
        <w:t>Division 2 — Review board</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49</w:t>
      </w:r>
      <w:r>
        <w:rPr>
          <w:snapToGrid w:val="0"/>
        </w:rPr>
        <w:t>.</w:t>
      </w:r>
      <w:r>
        <w:rPr>
          <w:snapToGrid w:val="0"/>
        </w:rPr>
        <w:tab/>
        <w:t>Terms used</w:t>
      </w:r>
      <w:r>
        <w:tab/>
      </w:r>
      <w:r>
        <w:fldChar w:fldCharType="begin"/>
      </w:r>
      <w:r>
        <w:instrText xml:space="preserve"> PAGEREF _Toc416795313 \h </w:instrText>
      </w:r>
      <w:r>
        <w:fldChar w:fldCharType="separate"/>
      </w:r>
      <w:r>
        <w:t>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Western Australian Electricity Review Board established</w:t>
      </w:r>
    </w:p>
    <w:p>
      <w:pPr>
        <w:pStyle w:val="TOC8"/>
        <w:rPr>
          <w:rFonts w:asciiTheme="minorHAnsi" w:eastAsiaTheme="minorEastAsia" w:hAnsiTheme="minorHAnsi" w:cstheme="minorBidi"/>
          <w:szCs w:val="22"/>
        </w:rPr>
      </w:pPr>
      <w:r>
        <w:t>50</w:t>
      </w:r>
      <w:r>
        <w:rPr>
          <w:snapToGrid w:val="0"/>
        </w:rPr>
        <w:t>.</w:t>
      </w:r>
      <w:r>
        <w:rPr>
          <w:snapToGrid w:val="0"/>
        </w:rPr>
        <w:tab/>
      </w:r>
      <w:r>
        <w:t>Western Australian Electricity Review Board</w:t>
      </w:r>
      <w:r>
        <w:tab/>
      </w:r>
      <w:r>
        <w:fldChar w:fldCharType="begin"/>
      </w:r>
      <w:r>
        <w:instrText xml:space="preserve"> PAGEREF _Toc416795315 \h </w:instrText>
      </w:r>
      <w:r>
        <w:fldChar w:fldCharType="separate"/>
      </w:r>
      <w:r>
        <w:t>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Constitution of Board</w:t>
      </w:r>
      <w:r>
        <w:tab/>
      </w:r>
      <w:r>
        <w:fldChar w:fldCharType="begin"/>
      </w:r>
      <w:r>
        <w:instrText xml:space="preserve"> PAGEREF _Toc416795316 \h </w:instrText>
      </w:r>
      <w:r>
        <w:fldChar w:fldCharType="separate"/>
      </w:r>
      <w:r>
        <w:t>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Panels</w:t>
      </w:r>
      <w:r>
        <w:tab/>
      </w:r>
      <w:r>
        <w:fldChar w:fldCharType="begin"/>
      </w:r>
      <w:r>
        <w:instrText xml:space="preserve"> PAGEREF _Toc416795317 \h </w:instrText>
      </w:r>
      <w:r>
        <w:fldChar w:fldCharType="separate"/>
      </w:r>
      <w:r>
        <w:t>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Disclosure of interests</w:t>
      </w:r>
      <w:r>
        <w:tab/>
      </w:r>
      <w:r>
        <w:fldChar w:fldCharType="begin"/>
      </w:r>
      <w:r>
        <w:instrText xml:space="preserve"> PAGEREF _Toc416795318 \h </w:instrText>
      </w:r>
      <w:r>
        <w:fldChar w:fldCharType="separate"/>
      </w:r>
      <w:r>
        <w:t>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Resignation and removal</w:t>
      </w:r>
      <w:r>
        <w:tab/>
      </w:r>
      <w:r>
        <w:fldChar w:fldCharType="begin"/>
      </w:r>
      <w:r>
        <w:instrText xml:space="preserve"> PAGEREF _Toc416795319 \h </w:instrText>
      </w:r>
      <w:r>
        <w:fldChar w:fldCharType="separate"/>
      </w:r>
      <w:r>
        <w:t>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Remuneration</w:t>
      </w:r>
      <w:r>
        <w:tab/>
      </w:r>
      <w:r>
        <w:fldChar w:fldCharType="begin"/>
      </w:r>
      <w:r>
        <w:instrText xml:space="preserve"> PAGEREF _Toc416795320 \h </w:instrText>
      </w:r>
      <w:r>
        <w:fldChar w:fldCharType="separate"/>
      </w:r>
      <w:r>
        <w:t>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Administrative support</w:t>
      </w:r>
      <w:r>
        <w:tab/>
      </w:r>
      <w:r>
        <w:fldChar w:fldCharType="begin"/>
      </w:r>
      <w:r>
        <w:instrText xml:space="preserve"> PAGEREF _Toc416795321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Proceedings before the Board</w:t>
      </w:r>
    </w:p>
    <w:p>
      <w:pPr>
        <w:pStyle w:val="TOC8"/>
        <w:rPr>
          <w:rFonts w:asciiTheme="minorHAnsi" w:eastAsiaTheme="minorEastAsia" w:hAnsiTheme="minorHAnsi" w:cstheme="minorBidi"/>
          <w:szCs w:val="22"/>
        </w:rPr>
      </w:pPr>
      <w:r>
        <w:t>57</w:t>
      </w:r>
      <w:r>
        <w:rPr>
          <w:snapToGrid w:val="0"/>
        </w:rPr>
        <w:t>.</w:t>
      </w:r>
      <w:r>
        <w:rPr>
          <w:snapToGrid w:val="0"/>
        </w:rPr>
        <w:tab/>
        <w:t>Principles governing hearings</w:t>
      </w:r>
      <w:r>
        <w:tab/>
      </w:r>
      <w:r>
        <w:fldChar w:fldCharType="begin"/>
      </w:r>
      <w:r>
        <w:instrText xml:space="preserve"> PAGEREF _Toc416795323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Powers in respect of evidence and information</w:t>
      </w:r>
      <w:r>
        <w:tab/>
      </w:r>
      <w:r>
        <w:fldChar w:fldCharType="begin"/>
      </w:r>
      <w:r>
        <w:instrText xml:space="preserve"> PAGEREF _Toc416795324 \h </w:instrText>
      </w:r>
      <w:r>
        <w:fldChar w:fldCharType="separate"/>
      </w:r>
      <w:r>
        <w:t>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Practice and procedures</w:t>
      </w:r>
      <w:r>
        <w:tab/>
      </w:r>
      <w:r>
        <w:fldChar w:fldCharType="begin"/>
      </w:r>
      <w:r>
        <w:instrText xml:space="preserve"> PAGEREF _Toc416795325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General</w:t>
      </w:r>
    </w:p>
    <w:p>
      <w:pPr>
        <w:pStyle w:val="TOC8"/>
        <w:rPr>
          <w:rFonts w:asciiTheme="minorHAnsi" w:eastAsiaTheme="minorEastAsia" w:hAnsiTheme="minorHAnsi" w:cstheme="minorBidi"/>
          <w:szCs w:val="22"/>
        </w:rPr>
      </w:pPr>
      <w:r>
        <w:t>60</w:t>
      </w:r>
      <w:r>
        <w:rPr>
          <w:snapToGrid w:val="0"/>
        </w:rPr>
        <w:t>.</w:t>
      </w:r>
      <w:r>
        <w:rPr>
          <w:snapToGrid w:val="0"/>
        </w:rPr>
        <w:tab/>
        <w:t>Immunity</w:t>
      </w:r>
      <w:r>
        <w:tab/>
      </w:r>
      <w:r>
        <w:fldChar w:fldCharType="begin"/>
      </w:r>
      <w:r>
        <w:instrText xml:space="preserve"> PAGEREF _Toc416795327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Arbitrator</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61</w:t>
      </w:r>
      <w:r>
        <w:rPr>
          <w:snapToGrid w:val="0"/>
        </w:rPr>
        <w:t>.</w:t>
      </w:r>
      <w:r>
        <w:rPr>
          <w:snapToGrid w:val="0"/>
        </w:rPr>
        <w:tab/>
        <w:t>Term used: arbitrator</w:t>
      </w:r>
      <w:r>
        <w:tab/>
      </w:r>
      <w:r>
        <w:fldChar w:fldCharType="begin"/>
      </w:r>
      <w:r>
        <w:instrText xml:space="preserve"> PAGEREF _Toc416795330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Office of Western Australian Energy Disputes Arbitrator established</w:t>
      </w:r>
    </w:p>
    <w:p>
      <w:pPr>
        <w:pStyle w:val="TOC8"/>
        <w:rPr>
          <w:rFonts w:asciiTheme="minorHAnsi" w:eastAsiaTheme="minorEastAsia" w:hAnsiTheme="minorHAnsi" w:cstheme="minorBidi"/>
          <w:szCs w:val="22"/>
        </w:rPr>
      </w:pPr>
      <w:r>
        <w:t>62</w:t>
      </w:r>
      <w:r>
        <w:rPr>
          <w:snapToGrid w:val="0"/>
        </w:rPr>
        <w:t>.</w:t>
      </w:r>
      <w:r>
        <w:rPr>
          <w:snapToGrid w:val="0"/>
        </w:rPr>
        <w:tab/>
        <w:t>Western Australian Energy Disputes Arbitrator</w:t>
      </w:r>
      <w:r>
        <w:tab/>
      </w:r>
      <w:r>
        <w:fldChar w:fldCharType="begin"/>
      </w:r>
      <w:r>
        <w:instrText xml:space="preserve"> PAGEREF _Toc416795332 \h </w:instrText>
      </w:r>
      <w:r>
        <w:fldChar w:fldCharType="separate"/>
      </w:r>
      <w:r>
        <w:t>10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Appointment of arbitrator</w:t>
      </w:r>
      <w:r>
        <w:tab/>
      </w:r>
      <w:r>
        <w:fldChar w:fldCharType="begin"/>
      </w:r>
      <w:r>
        <w:instrText xml:space="preserve"> PAGEREF _Toc416795333 \h </w:instrText>
      </w:r>
      <w:r>
        <w:fldChar w:fldCharType="separate"/>
      </w:r>
      <w:r>
        <w:t>10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_Toc416795334 \h </w:instrText>
      </w:r>
      <w:r>
        <w:fldChar w:fldCharType="separate"/>
      </w:r>
      <w:r>
        <w:t>12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 of office</w:t>
      </w:r>
      <w:r>
        <w:tab/>
      </w:r>
      <w:r>
        <w:fldChar w:fldCharType="begin"/>
      </w:r>
      <w:r>
        <w:instrText xml:space="preserve"> PAGEREF _Toc416795335 \h </w:instrText>
      </w:r>
      <w:r>
        <w:fldChar w:fldCharType="separate"/>
      </w:r>
      <w:r>
        <w:t>13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Resignation</w:t>
      </w:r>
      <w:r>
        <w:tab/>
      </w:r>
      <w:r>
        <w:fldChar w:fldCharType="begin"/>
      </w:r>
      <w:r>
        <w:instrText xml:space="preserve"> PAGEREF _Toc416795336 \h </w:instrText>
      </w:r>
      <w:r>
        <w:fldChar w:fldCharType="separate"/>
      </w:r>
      <w:r>
        <w:t>13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Suspension of arbitrator</w:t>
      </w:r>
      <w:r>
        <w:tab/>
      </w:r>
      <w:r>
        <w:fldChar w:fldCharType="begin"/>
      </w:r>
      <w:r>
        <w:instrText xml:space="preserve"> PAGEREF _Toc416795337 \h </w:instrText>
      </w:r>
      <w:r>
        <w:fldChar w:fldCharType="separate"/>
      </w:r>
      <w:r>
        <w:t>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Removal of arbitrator</w:t>
      </w:r>
      <w:r>
        <w:tab/>
      </w:r>
      <w:r>
        <w:fldChar w:fldCharType="begin"/>
      </w:r>
      <w:r>
        <w:instrText xml:space="preserve"> PAGEREF _Toc416795338 \h </w:instrText>
      </w:r>
      <w:r>
        <w:fldChar w:fldCharType="separate"/>
      </w:r>
      <w:r>
        <w:t>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Remuneration and conditions of office</w:t>
      </w:r>
      <w:r>
        <w:tab/>
      </w:r>
      <w:r>
        <w:fldChar w:fldCharType="begin"/>
      </w:r>
      <w:r>
        <w:instrText xml:space="preserve"> PAGEREF _Toc416795339 \h </w:instrText>
      </w:r>
      <w:r>
        <w:fldChar w:fldCharType="separate"/>
      </w:r>
      <w:r>
        <w:t>14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Oath of office</w:t>
      </w:r>
      <w:r>
        <w:tab/>
      </w:r>
      <w:r>
        <w:fldChar w:fldCharType="begin"/>
      </w:r>
      <w:r>
        <w:instrText xml:space="preserve"> PAGEREF _Toc416795340 \h </w:instrText>
      </w:r>
      <w:r>
        <w:fldChar w:fldCharType="separate"/>
      </w:r>
      <w:r>
        <w:t>14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Acting arbitrator</w:t>
      </w:r>
      <w:r>
        <w:tab/>
      </w:r>
      <w:r>
        <w:fldChar w:fldCharType="begin"/>
      </w:r>
      <w:r>
        <w:instrText xml:space="preserve"> PAGEREF _Toc416795341 \h </w:instrText>
      </w:r>
      <w:r>
        <w:fldChar w:fldCharType="separate"/>
      </w:r>
      <w:r>
        <w:t>14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Duties may be performed concurrently</w:t>
      </w:r>
      <w:r>
        <w:tab/>
      </w:r>
      <w:r>
        <w:fldChar w:fldCharType="begin"/>
      </w:r>
      <w:r>
        <w:instrText xml:space="preserve"> PAGEREF _Toc416795342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Functions</w:t>
      </w:r>
    </w:p>
    <w:p>
      <w:pPr>
        <w:pStyle w:val="TOC8"/>
        <w:rPr>
          <w:rFonts w:asciiTheme="minorHAnsi" w:eastAsiaTheme="minorEastAsia" w:hAnsiTheme="minorHAnsi" w:cstheme="minorBidi"/>
          <w:szCs w:val="22"/>
        </w:rPr>
      </w:pPr>
      <w:r>
        <w:t>73</w:t>
      </w:r>
      <w:r>
        <w:rPr>
          <w:snapToGrid w:val="0"/>
        </w:rPr>
        <w:t>.</w:t>
      </w:r>
      <w:r>
        <w:rPr>
          <w:snapToGrid w:val="0"/>
        </w:rPr>
        <w:tab/>
        <w:t>Functions</w:t>
      </w:r>
      <w:r>
        <w:tab/>
      </w:r>
      <w:r>
        <w:fldChar w:fldCharType="begin"/>
      </w:r>
      <w:r>
        <w:instrText xml:space="preserve"> PAGEREF _Toc416795344 \h </w:instrText>
      </w:r>
      <w:r>
        <w:fldChar w:fldCharType="separate"/>
      </w:r>
      <w:r>
        <w:t>15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Additional functions may be prescribed</w:t>
      </w:r>
      <w:r>
        <w:tab/>
      </w:r>
      <w:r>
        <w:fldChar w:fldCharType="begin"/>
      </w:r>
      <w:r>
        <w:instrText xml:space="preserve"> PAGEREF _Toc416795345 \h </w:instrText>
      </w:r>
      <w:r>
        <w:fldChar w:fldCharType="separate"/>
      </w:r>
      <w:r>
        <w:t>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Independence of arbitrator</w:t>
      </w:r>
      <w:r>
        <w:tab/>
      </w:r>
      <w:r>
        <w:fldChar w:fldCharType="begin"/>
      </w:r>
      <w:r>
        <w:instrText xml:space="preserve"> PAGEREF _Toc416795346 \h </w:instrText>
      </w:r>
      <w:r>
        <w:fldChar w:fldCharType="separate"/>
      </w:r>
      <w:r>
        <w:t>17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_Toc416795347 \h </w:instrText>
      </w:r>
      <w:r>
        <w:fldChar w:fldCharType="separate"/>
      </w:r>
      <w:r>
        <w:t>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r>
      <w:r>
        <w:rPr>
          <w:i/>
          <w:snapToGrid w:val="0"/>
        </w:rPr>
        <w:t>Commercial Arbitration Act 2012</w:t>
      </w:r>
      <w:r>
        <w:rPr>
          <w:snapToGrid w:val="0"/>
        </w:rPr>
        <w:t xml:space="preserve"> does not apply</w:t>
      </w:r>
      <w:r>
        <w:tab/>
      </w:r>
      <w:r>
        <w:fldChar w:fldCharType="begin"/>
      </w:r>
      <w:r>
        <w:instrText xml:space="preserve"> PAGEREF _Toc416795348 \h </w:instrText>
      </w:r>
      <w:r>
        <w:fldChar w:fldCharType="separate"/>
      </w:r>
      <w:r>
        <w:t>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Delegation</w:t>
      </w:r>
      <w:r>
        <w:tab/>
      </w:r>
      <w:r>
        <w:fldChar w:fldCharType="begin"/>
      </w:r>
      <w:r>
        <w:instrText xml:space="preserve"> PAGEREF _Toc416795349 \h </w:instrText>
      </w:r>
      <w:r>
        <w:fldChar w:fldCharType="separate"/>
      </w:r>
      <w:r>
        <w:t>18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Conflict of interest</w:t>
      </w:r>
      <w:r>
        <w:tab/>
      </w:r>
      <w:r>
        <w:fldChar w:fldCharType="begin"/>
      </w:r>
      <w:r>
        <w:instrText xml:space="preserve"> PAGEREF _Toc416795350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Staff and consultants</w:t>
      </w:r>
    </w:p>
    <w:p>
      <w:pPr>
        <w:pStyle w:val="TOC8"/>
        <w:rPr>
          <w:rFonts w:asciiTheme="minorHAnsi" w:eastAsiaTheme="minorEastAsia" w:hAnsiTheme="minorHAnsi" w:cstheme="minorBidi"/>
          <w:szCs w:val="22"/>
        </w:rPr>
      </w:pPr>
      <w:r>
        <w:t>80</w:t>
      </w:r>
      <w:r>
        <w:rPr>
          <w:snapToGrid w:val="0"/>
        </w:rPr>
        <w:t>.</w:t>
      </w:r>
      <w:r>
        <w:rPr>
          <w:snapToGrid w:val="0"/>
        </w:rPr>
        <w:tab/>
        <w:t>Use of government staff etc.</w:t>
      </w:r>
      <w:r>
        <w:tab/>
      </w:r>
      <w:r>
        <w:fldChar w:fldCharType="begin"/>
      </w:r>
      <w:r>
        <w:instrText xml:space="preserve"> PAGEREF _Toc416795352 \h </w:instrText>
      </w:r>
      <w:r>
        <w:fldChar w:fldCharType="separate"/>
      </w:r>
      <w:r>
        <w:t>19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Consultants</w:t>
      </w:r>
      <w:r>
        <w:tab/>
      </w:r>
      <w:r>
        <w:fldChar w:fldCharType="begin"/>
      </w:r>
      <w:r>
        <w:instrText xml:space="preserve"> PAGEREF _Toc416795353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Financial provisions</w:t>
      </w:r>
    </w:p>
    <w:p>
      <w:pPr>
        <w:pStyle w:val="TOC8"/>
        <w:rPr>
          <w:rFonts w:asciiTheme="minorHAnsi" w:eastAsiaTheme="minorEastAsia" w:hAnsiTheme="minorHAnsi" w:cstheme="minorBidi"/>
          <w:szCs w:val="22"/>
        </w:rPr>
      </w:pPr>
      <w:r>
        <w:t>82</w:t>
      </w:r>
      <w:r>
        <w:rPr>
          <w:snapToGrid w:val="0"/>
        </w:rPr>
        <w:t>.</w:t>
      </w:r>
      <w:r>
        <w:rPr>
          <w:snapToGrid w:val="0"/>
        </w:rPr>
        <w:tab/>
        <w:t>Bank account</w:t>
      </w:r>
      <w:r>
        <w:tab/>
      </w:r>
      <w:r>
        <w:fldChar w:fldCharType="begin"/>
      </w:r>
      <w:r>
        <w:instrText xml:space="preserve"> PAGEREF _Toc416795355 \h </w:instrText>
      </w:r>
      <w:r>
        <w:fldChar w:fldCharType="separate"/>
      </w:r>
      <w:r>
        <w:t>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Borrowing from Treasurer</w:t>
      </w:r>
      <w:r>
        <w:tab/>
      </w:r>
      <w:r>
        <w:fldChar w:fldCharType="begin"/>
      </w:r>
      <w:r>
        <w:instrText xml:space="preserve"> PAGEREF _Toc416795356 \h </w:instrText>
      </w:r>
      <w:r>
        <w:fldChar w:fldCharType="separate"/>
      </w:r>
      <w:r>
        <w:t>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_Toc416795357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General</w:t>
      </w:r>
    </w:p>
    <w:p>
      <w:pPr>
        <w:pStyle w:val="TOC8"/>
        <w:rPr>
          <w:rFonts w:asciiTheme="minorHAnsi" w:eastAsiaTheme="minorEastAsia" w:hAnsiTheme="minorHAnsi" w:cstheme="minorBidi"/>
          <w:szCs w:val="22"/>
        </w:rPr>
      </w:pPr>
      <w:r>
        <w:t>85</w:t>
      </w:r>
      <w:r>
        <w:rPr>
          <w:snapToGrid w:val="0"/>
        </w:rPr>
        <w:t>.</w:t>
      </w:r>
      <w:r>
        <w:rPr>
          <w:snapToGrid w:val="0"/>
        </w:rPr>
        <w:tab/>
        <w:t>Immunity</w:t>
      </w:r>
      <w:r>
        <w:tab/>
      </w:r>
      <w:r>
        <w:fldChar w:fldCharType="begin"/>
      </w:r>
      <w:r>
        <w:instrText xml:space="preserve"> PAGEREF _Toc416795359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Regulations</w:t>
      </w:r>
      <w:r>
        <w:tab/>
      </w:r>
      <w:r>
        <w:fldChar w:fldCharType="begin"/>
      </w:r>
      <w:r>
        <w:instrText xml:space="preserve"> PAGEREF _Toc416795361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_Toc416795363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21"/>
          <w:headerReference w:type="default" r:id="rId22"/>
          <w:foot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Heading2"/>
      </w:pPr>
      <w:bookmarkStart w:id="3" w:name="_Toc376260641"/>
      <w:bookmarkStart w:id="4" w:name="_Toc416795250"/>
      <w:bookmarkStart w:id="5" w:name="_Toc416795307"/>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376260642"/>
      <w:bookmarkStart w:id="7" w:name="_Toc41679530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r>
        <w:t>[</w:t>
      </w:r>
      <w:r>
        <w:rPr>
          <w:b/>
          <w:bCs/>
        </w:rPr>
        <w:t>2</w:t>
      </w:r>
      <w:r>
        <w:rPr>
          <w:b/>
          <w:bCs/>
        </w:rPr>
        <w:noBreakHyphen/>
        <w:t>4.</w:t>
      </w:r>
      <w:r>
        <w:tab/>
        <w:t>Deleted by No. 16 of 2009 s. 27.]</w:t>
      </w:r>
    </w:p>
    <w:p>
      <w:pPr>
        <w:pStyle w:val="Heading5"/>
        <w:rPr>
          <w:snapToGrid w:val="0"/>
        </w:rPr>
      </w:pPr>
      <w:bookmarkStart w:id="8" w:name="_Toc376260643"/>
      <w:bookmarkStart w:id="9" w:name="_Toc416795309"/>
      <w:r>
        <w:rPr>
          <w:rStyle w:val="CharSectno"/>
        </w:rPr>
        <w:t>5</w:t>
      </w:r>
      <w:r>
        <w:rPr>
          <w:snapToGrid w:val="0"/>
        </w:rPr>
        <w:t>.</w:t>
      </w:r>
      <w:r>
        <w:rPr>
          <w:snapToGrid w:val="0"/>
        </w:rPr>
        <w:tab/>
        <w:t>Crown to be bound</w:t>
      </w:r>
      <w:bookmarkEnd w:id="8"/>
      <w:bookmarkEnd w:id="9"/>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r>
        <w:tab/>
        <w:t>[Section 5 amended by No. 16 of 2009 s. 28.]</w:t>
      </w:r>
    </w:p>
    <w:p>
      <w:pPr>
        <w:pStyle w:val="Ednotesection"/>
      </w:pPr>
      <w:r>
        <w:t>[</w:t>
      </w:r>
      <w:r>
        <w:rPr>
          <w:b/>
          <w:bCs/>
        </w:rPr>
        <w:t>6</w:t>
      </w:r>
      <w:r>
        <w:rPr>
          <w:b/>
          <w:bCs/>
        </w:rPr>
        <w:noBreakHyphen/>
        <w:t>8.</w:t>
      </w:r>
      <w:r>
        <w:tab/>
        <w:t>Deleted by No. 16 of 2009 s. 29.]</w:t>
      </w:r>
    </w:p>
    <w:p>
      <w:pPr>
        <w:pStyle w:val="Ednotepart"/>
      </w:pPr>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10" w:name="_Toc376260644"/>
      <w:bookmarkStart w:id="11" w:name="_Toc416795253"/>
      <w:bookmarkStart w:id="12" w:name="_Toc416795310"/>
      <w:r>
        <w:rPr>
          <w:rStyle w:val="CharPartNo"/>
        </w:rPr>
        <w:t>Part 6</w:t>
      </w:r>
      <w:r>
        <w:rPr>
          <w:rStyle w:val="CharDivNo"/>
        </w:rPr>
        <w:t> </w:t>
      </w:r>
      <w:r>
        <w:t>—</w:t>
      </w:r>
      <w:r>
        <w:rPr>
          <w:rStyle w:val="CharDivText"/>
        </w:rPr>
        <w:t> </w:t>
      </w:r>
      <w:r>
        <w:rPr>
          <w:rStyle w:val="CharPartText"/>
        </w:rPr>
        <w:t>Review board and arbitrator</w:t>
      </w:r>
      <w:bookmarkEnd w:id="10"/>
      <w:bookmarkEnd w:id="11"/>
      <w:bookmarkEnd w:id="12"/>
    </w:p>
    <w:p>
      <w:pPr>
        <w:pStyle w:val="Footnoteheading"/>
      </w:pPr>
      <w:r>
        <w:tab/>
        <w:t>[Heading inserted by No. 16 of 2009 s. 31.]</w:t>
      </w:r>
    </w:p>
    <w:p>
      <w:pPr>
        <w:pStyle w:val="Ednotesubdivision"/>
        <w:ind w:left="1484" w:hanging="1484"/>
      </w:pPr>
      <w:r>
        <w:t>[Division 1:</w:t>
      </w:r>
      <w:r>
        <w:tab/>
        <w:t>Subdivision 1 heading deleted by No. 67 of 2003 Sch. 2 cl. 35;</w:t>
      </w:r>
      <w:r>
        <w:br/>
        <w:t>s. 26 deleted by No. 16 of 2009 s. 32;</w:t>
      </w:r>
      <w:r>
        <w:br/>
        <w:t>Subdivision 2 (s. 27</w:t>
      </w:r>
      <w:r>
        <w:noBreakHyphen/>
        <w:t>35) deleted by No. 67 of 2003 Sch. 2 cl. 37;</w:t>
      </w:r>
      <w:r>
        <w:br/>
        <w:t>Subdivision 3 heading deleted by No. 67 of 2003 Sch. 2 cl. 38;</w:t>
      </w:r>
      <w:r>
        <w:br/>
        <w:t>s. 36 deleted by No. 16 of 2009 s. 32;</w:t>
      </w:r>
      <w:r>
        <w:br/>
        <w:t>s. </w:t>
      </w:r>
      <w:r>
        <w:rPr>
          <w:bCs/>
        </w:rPr>
        <w:t>37 d</w:t>
      </w:r>
      <w:r>
        <w:t>eleted by No. 67 of 2003 Sch. 2 cl. 40;</w:t>
      </w:r>
      <w:r>
        <w:br/>
        <w:t>s. 38 deleted by No. 16 of 2009 s. 32;</w:t>
      </w:r>
      <w:r>
        <w:br/>
        <w:t>s. </w:t>
      </w:r>
      <w:r>
        <w:rPr>
          <w:bCs/>
        </w:rPr>
        <w:t>39</w:t>
      </w:r>
      <w:r>
        <w:rPr>
          <w:bCs/>
        </w:rPr>
        <w:noBreakHyphen/>
        <w:t>41</w:t>
      </w:r>
      <w:r>
        <w:rPr>
          <w:b/>
        </w:rPr>
        <w:t xml:space="preserve"> </w:t>
      </w:r>
      <w:r>
        <w:t>deleted by No. 67 of 2003 Sch. 2 cl. 42;</w:t>
      </w:r>
      <w:r>
        <w:br/>
        <w:t>Subdivision 4</w:t>
      </w:r>
      <w:r>
        <w:noBreakHyphen/>
        <w:t>6 (s. 42</w:t>
      </w:r>
      <w:r>
        <w:noBreakHyphen/>
        <w:t>48) deleted by No. 67 of 2003 Sch. 2 cl. 43.]</w:t>
      </w:r>
    </w:p>
    <w:p>
      <w:pPr>
        <w:pStyle w:val="Heading3"/>
      </w:pPr>
      <w:bookmarkStart w:id="13" w:name="_Toc376260645"/>
      <w:bookmarkStart w:id="14" w:name="_Toc416795254"/>
      <w:bookmarkStart w:id="15" w:name="_Toc416795311"/>
      <w:r>
        <w:rPr>
          <w:rStyle w:val="CharDivNo"/>
        </w:rPr>
        <w:t>Division 2</w:t>
      </w:r>
      <w:r>
        <w:t> — </w:t>
      </w:r>
      <w:r>
        <w:rPr>
          <w:rStyle w:val="CharDivText"/>
        </w:rPr>
        <w:t>Review board</w:t>
      </w:r>
      <w:bookmarkEnd w:id="13"/>
      <w:bookmarkEnd w:id="14"/>
      <w:bookmarkEnd w:id="15"/>
    </w:p>
    <w:p>
      <w:pPr>
        <w:pStyle w:val="Footnoteheading"/>
      </w:pPr>
      <w:r>
        <w:tab/>
        <w:t>[Heading inserted by No. 16 of 2009 s. 33.]</w:t>
      </w:r>
    </w:p>
    <w:p>
      <w:pPr>
        <w:pStyle w:val="Heading4"/>
        <w:rPr>
          <w:snapToGrid w:val="0"/>
        </w:rPr>
      </w:pPr>
      <w:bookmarkStart w:id="16" w:name="_Toc376260646"/>
      <w:bookmarkStart w:id="17" w:name="_Toc416795255"/>
      <w:bookmarkStart w:id="18" w:name="_Toc416795312"/>
      <w:r>
        <w:rPr>
          <w:snapToGrid w:val="0"/>
        </w:rPr>
        <w:t>Subdivision 1 — Preliminary</w:t>
      </w:r>
      <w:bookmarkEnd w:id="16"/>
      <w:bookmarkEnd w:id="17"/>
      <w:bookmarkEnd w:id="18"/>
      <w:r>
        <w:rPr>
          <w:snapToGrid w:val="0"/>
        </w:rPr>
        <w:t xml:space="preserve"> </w:t>
      </w:r>
    </w:p>
    <w:p>
      <w:pPr>
        <w:pStyle w:val="Heading5"/>
        <w:spacing w:before="180"/>
        <w:rPr>
          <w:snapToGrid w:val="0"/>
        </w:rPr>
      </w:pPr>
      <w:bookmarkStart w:id="19" w:name="_Toc376260647"/>
      <w:bookmarkStart w:id="20" w:name="_Toc416795313"/>
      <w:r>
        <w:rPr>
          <w:rStyle w:val="CharSectno"/>
        </w:rPr>
        <w:t>49</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21" w:name="_Toc376260648"/>
      <w:bookmarkStart w:id="22" w:name="_Toc416795257"/>
      <w:bookmarkStart w:id="23" w:name="_Toc416795314"/>
      <w:r>
        <w:t>Subdivision 2 — Western Australian Electricity Review Board established</w:t>
      </w:r>
      <w:bookmarkEnd w:id="21"/>
      <w:bookmarkEnd w:id="22"/>
      <w:bookmarkEnd w:id="23"/>
    </w:p>
    <w:p>
      <w:pPr>
        <w:pStyle w:val="Footnoteheading"/>
        <w:keepNext/>
        <w:keepLines/>
      </w:pPr>
      <w:r>
        <w:tab/>
        <w:t>[Heading inserted by No. 16 of 2009 s. 35.]</w:t>
      </w:r>
    </w:p>
    <w:p>
      <w:pPr>
        <w:pStyle w:val="Heading5"/>
        <w:spacing w:before="180"/>
        <w:rPr>
          <w:snapToGrid w:val="0"/>
        </w:rPr>
      </w:pPr>
      <w:bookmarkStart w:id="24" w:name="_Toc376260649"/>
      <w:bookmarkStart w:id="25" w:name="_Toc416795315"/>
      <w:r>
        <w:rPr>
          <w:rStyle w:val="CharSectno"/>
        </w:rPr>
        <w:t>50</w:t>
      </w:r>
      <w:r>
        <w:rPr>
          <w:snapToGrid w:val="0"/>
        </w:rPr>
        <w:t>.</w:t>
      </w:r>
      <w:r>
        <w:rPr>
          <w:snapToGrid w:val="0"/>
        </w:rPr>
        <w:tab/>
      </w:r>
      <w:r>
        <w:t>Western Australian Electricity Review Board</w:t>
      </w:r>
      <w:bookmarkEnd w:id="24"/>
      <w:bookmarkEnd w:id="2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r>
        <w:tab/>
        <w:t>[Section 50 amended by No. 16 of 2009 s. 36; No. 5 of 2012 s. 16; No. 25 of 2013 s. 40(2).]</w:t>
      </w:r>
    </w:p>
    <w:p>
      <w:pPr>
        <w:pStyle w:val="Heading5"/>
        <w:rPr>
          <w:snapToGrid w:val="0"/>
        </w:rPr>
      </w:pPr>
      <w:bookmarkStart w:id="26" w:name="_Toc376260650"/>
      <w:bookmarkStart w:id="27" w:name="_Toc416795316"/>
      <w:r>
        <w:rPr>
          <w:rStyle w:val="CharSectno"/>
        </w:rPr>
        <w:t>51</w:t>
      </w:r>
      <w:r>
        <w:rPr>
          <w:snapToGrid w:val="0"/>
        </w:rPr>
        <w:t>.</w:t>
      </w:r>
      <w:r>
        <w:rPr>
          <w:snapToGrid w:val="0"/>
        </w:rPr>
        <w:tab/>
        <w:t>Constitution of Board</w:t>
      </w:r>
      <w:bookmarkEnd w:id="26"/>
      <w:bookmarkEnd w:id="27"/>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8" w:name="_Toc376260651"/>
      <w:bookmarkStart w:id="29" w:name="_Toc416795317"/>
      <w:r>
        <w:rPr>
          <w:rStyle w:val="CharSectno"/>
        </w:rPr>
        <w:t>52</w:t>
      </w:r>
      <w:r>
        <w:rPr>
          <w:snapToGrid w:val="0"/>
        </w:rPr>
        <w:t>.</w:t>
      </w:r>
      <w:r>
        <w:rPr>
          <w:snapToGrid w:val="0"/>
        </w:rPr>
        <w:tab/>
        <w:t>Panels</w:t>
      </w:r>
      <w:bookmarkEnd w:id="28"/>
      <w:bookmarkEnd w:id="2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30" w:name="_Toc376260652"/>
      <w:bookmarkStart w:id="31" w:name="_Toc416795318"/>
      <w:r>
        <w:rPr>
          <w:rStyle w:val="CharSectno"/>
        </w:rPr>
        <w:t>53</w:t>
      </w:r>
      <w:r>
        <w:rPr>
          <w:snapToGrid w:val="0"/>
        </w:rPr>
        <w:t>.</w:t>
      </w:r>
      <w:r>
        <w:rPr>
          <w:snapToGrid w:val="0"/>
        </w:rPr>
        <w:tab/>
        <w:t>Disclosure of interests</w:t>
      </w:r>
      <w:bookmarkEnd w:id="30"/>
      <w:bookmarkEnd w:id="31"/>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32" w:name="_Toc376260653"/>
      <w:bookmarkStart w:id="33" w:name="_Toc416795319"/>
      <w:r>
        <w:rPr>
          <w:rStyle w:val="CharSectno"/>
        </w:rPr>
        <w:t>54</w:t>
      </w:r>
      <w:r>
        <w:rPr>
          <w:snapToGrid w:val="0"/>
        </w:rPr>
        <w:t>.</w:t>
      </w:r>
      <w:r>
        <w:rPr>
          <w:snapToGrid w:val="0"/>
        </w:rPr>
        <w:tab/>
        <w:t>Resignation and removal</w:t>
      </w:r>
      <w:bookmarkEnd w:id="32"/>
      <w:bookmarkEnd w:id="33"/>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4" w:name="_Toc376260654"/>
      <w:bookmarkStart w:id="35" w:name="_Toc416795320"/>
      <w:r>
        <w:rPr>
          <w:rStyle w:val="CharSectno"/>
        </w:rPr>
        <w:t>55</w:t>
      </w:r>
      <w:r>
        <w:rPr>
          <w:snapToGrid w:val="0"/>
        </w:rPr>
        <w:t>.</w:t>
      </w:r>
      <w:r>
        <w:rPr>
          <w:snapToGrid w:val="0"/>
        </w:rPr>
        <w:tab/>
        <w:t>Remuneration</w:t>
      </w:r>
      <w:bookmarkEnd w:id="34"/>
      <w:bookmarkEnd w:id="3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6" w:name="_Toc376260655"/>
      <w:bookmarkStart w:id="37" w:name="_Toc416795321"/>
      <w:r>
        <w:rPr>
          <w:rStyle w:val="CharSectno"/>
        </w:rPr>
        <w:t>56</w:t>
      </w:r>
      <w:r>
        <w:rPr>
          <w:snapToGrid w:val="0"/>
        </w:rPr>
        <w:t>.</w:t>
      </w:r>
      <w:r>
        <w:rPr>
          <w:snapToGrid w:val="0"/>
        </w:rPr>
        <w:tab/>
        <w:t>Administrative support</w:t>
      </w:r>
      <w:bookmarkEnd w:id="36"/>
      <w:bookmarkEnd w:id="37"/>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8" w:name="_Toc376260656"/>
      <w:bookmarkStart w:id="39" w:name="_Toc416795265"/>
      <w:bookmarkStart w:id="40" w:name="_Toc416795322"/>
      <w:r>
        <w:rPr>
          <w:snapToGrid w:val="0"/>
        </w:rPr>
        <w:t>Subdivision 3 — Proceedings before the Board</w:t>
      </w:r>
      <w:bookmarkEnd w:id="38"/>
      <w:bookmarkEnd w:id="39"/>
      <w:bookmarkEnd w:id="40"/>
      <w:r>
        <w:rPr>
          <w:snapToGrid w:val="0"/>
        </w:rPr>
        <w:t xml:space="preserve"> </w:t>
      </w:r>
    </w:p>
    <w:p>
      <w:pPr>
        <w:pStyle w:val="Heading5"/>
        <w:rPr>
          <w:snapToGrid w:val="0"/>
        </w:rPr>
      </w:pPr>
      <w:bookmarkStart w:id="41" w:name="_Toc376260657"/>
      <w:bookmarkStart w:id="42" w:name="_Toc416795323"/>
      <w:r>
        <w:rPr>
          <w:rStyle w:val="CharSectno"/>
        </w:rPr>
        <w:t>57</w:t>
      </w:r>
      <w:r>
        <w:rPr>
          <w:snapToGrid w:val="0"/>
        </w:rPr>
        <w:t>.</w:t>
      </w:r>
      <w:r>
        <w:rPr>
          <w:snapToGrid w:val="0"/>
        </w:rPr>
        <w:tab/>
        <w:t>Principles governing hearings</w:t>
      </w:r>
      <w:bookmarkEnd w:id="41"/>
      <w:bookmarkEnd w:id="42"/>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by No. 16 of 2009 s. 37.]</w:t>
      </w:r>
    </w:p>
    <w:p>
      <w:pPr>
        <w:pStyle w:val="Heading5"/>
        <w:rPr>
          <w:snapToGrid w:val="0"/>
        </w:rPr>
      </w:pPr>
      <w:bookmarkStart w:id="43" w:name="_Toc376260658"/>
      <w:bookmarkStart w:id="44" w:name="_Toc416795324"/>
      <w:r>
        <w:rPr>
          <w:rStyle w:val="CharSectno"/>
        </w:rPr>
        <w:t>58</w:t>
      </w:r>
      <w:r>
        <w:rPr>
          <w:snapToGrid w:val="0"/>
        </w:rPr>
        <w:t>.</w:t>
      </w:r>
      <w:r>
        <w:rPr>
          <w:snapToGrid w:val="0"/>
        </w:rPr>
        <w:tab/>
        <w:t>Powers in respect of evidence and information</w:t>
      </w:r>
      <w:bookmarkEnd w:id="43"/>
      <w:bookmarkEnd w:id="4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45" w:name="_Toc376260659"/>
      <w:bookmarkStart w:id="46" w:name="_Toc416795325"/>
      <w:r>
        <w:rPr>
          <w:rStyle w:val="CharSectno"/>
        </w:rPr>
        <w:t>59</w:t>
      </w:r>
      <w:r>
        <w:rPr>
          <w:snapToGrid w:val="0"/>
        </w:rPr>
        <w:t>.</w:t>
      </w:r>
      <w:r>
        <w:rPr>
          <w:snapToGrid w:val="0"/>
        </w:rPr>
        <w:tab/>
        <w:t>Practice and procedures</w:t>
      </w:r>
      <w:bookmarkEnd w:id="45"/>
      <w:bookmarkEnd w:id="4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by No. 16 of 2009 s. 38.]</w:t>
      </w:r>
    </w:p>
    <w:p>
      <w:pPr>
        <w:pStyle w:val="Heading4"/>
        <w:rPr>
          <w:snapToGrid w:val="0"/>
        </w:rPr>
      </w:pPr>
      <w:bookmarkStart w:id="47" w:name="_Toc376260660"/>
      <w:bookmarkStart w:id="48" w:name="_Toc416795269"/>
      <w:bookmarkStart w:id="49" w:name="_Toc416795326"/>
      <w:r>
        <w:rPr>
          <w:snapToGrid w:val="0"/>
        </w:rPr>
        <w:t>Subdivision 4 — General</w:t>
      </w:r>
      <w:bookmarkEnd w:id="47"/>
      <w:bookmarkEnd w:id="48"/>
      <w:bookmarkEnd w:id="49"/>
      <w:r>
        <w:rPr>
          <w:snapToGrid w:val="0"/>
        </w:rPr>
        <w:t xml:space="preserve"> </w:t>
      </w:r>
    </w:p>
    <w:p>
      <w:pPr>
        <w:pStyle w:val="Heading5"/>
        <w:rPr>
          <w:snapToGrid w:val="0"/>
        </w:rPr>
      </w:pPr>
      <w:bookmarkStart w:id="50" w:name="_Toc376260661"/>
      <w:bookmarkStart w:id="51" w:name="_Toc416795327"/>
      <w:r>
        <w:rPr>
          <w:rStyle w:val="CharSectno"/>
        </w:rPr>
        <w:t>60</w:t>
      </w:r>
      <w:r>
        <w:rPr>
          <w:snapToGrid w:val="0"/>
        </w:rPr>
        <w:t>.</w:t>
      </w:r>
      <w:r>
        <w:rPr>
          <w:snapToGrid w:val="0"/>
        </w:rPr>
        <w:tab/>
        <w:t>Immunity</w:t>
      </w:r>
      <w:bookmarkEnd w:id="50"/>
      <w:bookmarkEnd w:id="51"/>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52" w:name="_Toc376260662"/>
      <w:bookmarkStart w:id="53" w:name="_Toc416795271"/>
      <w:bookmarkStart w:id="54" w:name="_Toc416795328"/>
      <w:r>
        <w:rPr>
          <w:rStyle w:val="CharDivNo"/>
        </w:rPr>
        <w:t>Division 3</w:t>
      </w:r>
      <w:r>
        <w:rPr>
          <w:snapToGrid w:val="0"/>
        </w:rPr>
        <w:t> — </w:t>
      </w:r>
      <w:r>
        <w:rPr>
          <w:rStyle w:val="CharDivText"/>
        </w:rPr>
        <w:t>Arbitrator</w:t>
      </w:r>
      <w:bookmarkEnd w:id="52"/>
      <w:bookmarkEnd w:id="53"/>
      <w:bookmarkEnd w:id="54"/>
      <w:r>
        <w:rPr>
          <w:rStyle w:val="CharDivText"/>
        </w:rPr>
        <w:t xml:space="preserve"> </w:t>
      </w:r>
    </w:p>
    <w:p>
      <w:pPr>
        <w:pStyle w:val="Heading4"/>
        <w:spacing w:before="180"/>
        <w:rPr>
          <w:snapToGrid w:val="0"/>
        </w:rPr>
      </w:pPr>
      <w:bookmarkStart w:id="55" w:name="_Toc376260663"/>
      <w:bookmarkStart w:id="56" w:name="_Toc416795272"/>
      <w:bookmarkStart w:id="57" w:name="_Toc416795329"/>
      <w:r>
        <w:rPr>
          <w:snapToGrid w:val="0"/>
        </w:rPr>
        <w:t>Subdivision 1 — Preliminary</w:t>
      </w:r>
      <w:bookmarkEnd w:id="55"/>
      <w:bookmarkEnd w:id="56"/>
      <w:bookmarkEnd w:id="57"/>
      <w:r>
        <w:rPr>
          <w:snapToGrid w:val="0"/>
        </w:rPr>
        <w:t xml:space="preserve"> </w:t>
      </w:r>
    </w:p>
    <w:p>
      <w:pPr>
        <w:pStyle w:val="Heading5"/>
        <w:spacing w:before="180"/>
        <w:rPr>
          <w:snapToGrid w:val="0"/>
        </w:rPr>
      </w:pPr>
      <w:bookmarkStart w:id="58" w:name="_Toc376260664"/>
      <w:bookmarkStart w:id="59" w:name="_Toc416795330"/>
      <w:r>
        <w:rPr>
          <w:rStyle w:val="CharSectno"/>
        </w:rPr>
        <w:t>61</w:t>
      </w:r>
      <w:r>
        <w:rPr>
          <w:snapToGrid w:val="0"/>
        </w:rPr>
        <w:t>.</w:t>
      </w:r>
      <w:r>
        <w:rPr>
          <w:snapToGrid w:val="0"/>
        </w:rPr>
        <w:tab/>
        <w:t>Term used: arbitrator</w:t>
      </w:r>
      <w:bookmarkEnd w:id="58"/>
      <w:bookmarkEnd w:id="5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by No. 16 of 2009 s. 39.]</w:t>
      </w:r>
    </w:p>
    <w:p>
      <w:pPr>
        <w:pStyle w:val="Heading4"/>
        <w:spacing w:before="180"/>
        <w:rPr>
          <w:snapToGrid w:val="0"/>
        </w:rPr>
      </w:pPr>
      <w:bookmarkStart w:id="60" w:name="_Toc376260665"/>
      <w:bookmarkStart w:id="61" w:name="_Toc416795274"/>
      <w:bookmarkStart w:id="62" w:name="_Toc416795331"/>
      <w:r>
        <w:rPr>
          <w:snapToGrid w:val="0"/>
        </w:rPr>
        <w:t>Subdivision 2 — Office of Western Australian Energy Disputes Arbitrator established</w:t>
      </w:r>
      <w:bookmarkEnd w:id="60"/>
      <w:bookmarkEnd w:id="61"/>
      <w:bookmarkEnd w:id="62"/>
      <w:r>
        <w:rPr>
          <w:snapToGrid w:val="0"/>
        </w:rPr>
        <w:t xml:space="preserve"> </w:t>
      </w:r>
    </w:p>
    <w:p>
      <w:pPr>
        <w:pStyle w:val="Footnoteheading"/>
      </w:pPr>
      <w:r>
        <w:tab/>
        <w:t>[Heading amended by No. 16 of 2009 s. 40.]</w:t>
      </w:r>
    </w:p>
    <w:p>
      <w:pPr>
        <w:pStyle w:val="Heading5"/>
        <w:rPr>
          <w:snapToGrid w:val="0"/>
        </w:rPr>
      </w:pPr>
      <w:bookmarkStart w:id="63" w:name="_Toc376260666"/>
      <w:bookmarkStart w:id="64" w:name="_Toc416795332"/>
      <w:r>
        <w:rPr>
          <w:rStyle w:val="CharSectno"/>
        </w:rPr>
        <w:t>62</w:t>
      </w:r>
      <w:r>
        <w:rPr>
          <w:snapToGrid w:val="0"/>
        </w:rPr>
        <w:t>.</w:t>
      </w:r>
      <w:r>
        <w:rPr>
          <w:snapToGrid w:val="0"/>
        </w:rPr>
        <w:tab/>
        <w:t>Western Australian Energy Disputes Arbitrator</w:t>
      </w:r>
      <w:bookmarkEnd w:id="63"/>
      <w:bookmarkEnd w:id="6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by No. 16 of 2009 s. 41.]</w:t>
      </w:r>
    </w:p>
    <w:p>
      <w:pPr>
        <w:pStyle w:val="Heading5"/>
        <w:rPr>
          <w:snapToGrid w:val="0"/>
        </w:rPr>
      </w:pPr>
      <w:bookmarkStart w:id="65" w:name="_Toc376260667"/>
      <w:bookmarkStart w:id="66" w:name="_Toc416795333"/>
      <w:r>
        <w:rPr>
          <w:rStyle w:val="CharSectno"/>
        </w:rPr>
        <w:t>63</w:t>
      </w:r>
      <w:r>
        <w:rPr>
          <w:snapToGrid w:val="0"/>
        </w:rPr>
        <w:t>.</w:t>
      </w:r>
      <w:r>
        <w:rPr>
          <w:snapToGrid w:val="0"/>
        </w:rPr>
        <w:tab/>
        <w:t>Appointment of arbitrator</w:t>
      </w:r>
      <w:bookmarkEnd w:id="65"/>
      <w:bookmarkEnd w:id="6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67" w:name="_Toc376260668"/>
      <w:bookmarkStart w:id="68" w:name="_Toc416795334"/>
      <w:r>
        <w:rPr>
          <w:rStyle w:val="CharSectno"/>
        </w:rPr>
        <w:t>64</w:t>
      </w:r>
      <w:r>
        <w:rPr>
          <w:snapToGrid w:val="0"/>
        </w:rPr>
        <w:t>.</w:t>
      </w:r>
      <w:r>
        <w:rPr>
          <w:snapToGrid w:val="0"/>
        </w:rPr>
        <w:tab/>
        <w:t xml:space="preserve">Application of </w:t>
      </w:r>
      <w:r>
        <w:rPr>
          <w:i/>
          <w:snapToGrid w:val="0"/>
        </w:rPr>
        <w:t>Public Sector Management Act 1994</w:t>
      </w:r>
      <w:bookmarkEnd w:id="67"/>
      <w:bookmarkEnd w:id="68"/>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69" w:name="_Toc376260669"/>
      <w:bookmarkStart w:id="70" w:name="_Toc416795335"/>
      <w:r>
        <w:rPr>
          <w:rStyle w:val="CharSectno"/>
        </w:rPr>
        <w:t>65</w:t>
      </w:r>
      <w:r>
        <w:rPr>
          <w:snapToGrid w:val="0"/>
        </w:rPr>
        <w:t>.</w:t>
      </w:r>
      <w:r>
        <w:rPr>
          <w:snapToGrid w:val="0"/>
        </w:rPr>
        <w:tab/>
        <w:t>Term of office</w:t>
      </w:r>
      <w:bookmarkEnd w:id="69"/>
      <w:bookmarkEnd w:id="70"/>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71" w:name="_Toc376260670"/>
      <w:bookmarkStart w:id="72" w:name="_Toc416795336"/>
      <w:r>
        <w:rPr>
          <w:rStyle w:val="CharSectno"/>
        </w:rPr>
        <w:t>66</w:t>
      </w:r>
      <w:r>
        <w:rPr>
          <w:snapToGrid w:val="0"/>
        </w:rPr>
        <w:t>.</w:t>
      </w:r>
      <w:r>
        <w:rPr>
          <w:snapToGrid w:val="0"/>
        </w:rPr>
        <w:tab/>
        <w:t>Resignation</w:t>
      </w:r>
      <w:bookmarkEnd w:id="71"/>
      <w:bookmarkEnd w:id="72"/>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73" w:name="_Toc376260671"/>
      <w:bookmarkStart w:id="74" w:name="_Toc416795337"/>
      <w:r>
        <w:rPr>
          <w:rStyle w:val="CharSectno"/>
        </w:rPr>
        <w:t>67</w:t>
      </w:r>
      <w:r>
        <w:rPr>
          <w:snapToGrid w:val="0"/>
        </w:rPr>
        <w:t>.</w:t>
      </w:r>
      <w:r>
        <w:rPr>
          <w:snapToGrid w:val="0"/>
        </w:rPr>
        <w:tab/>
        <w:t>Suspension of arbitrator</w:t>
      </w:r>
      <w:bookmarkEnd w:id="73"/>
      <w:bookmarkEnd w:id="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75" w:name="_Toc376260672"/>
      <w:bookmarkStart w:id="76" w:name="_Toc416795338"/>
      <w:r>
        <w:rPr>
          <w:rStyle w:val="CharSectno"/>
        </w:rPr>
        <w:t>68</w:t>
      </w:r>
      <w:r>
        <w:rPr>
          <w:snapToGrid w:val="0"/>
        </w:rPr>
        <w:t>.</w:t>
      </w:r>
      <w:r>
        <w:rPr>
          <w:snapToGrid w:val="0"/>
        </w:rPr>
        <w:tab/>
        <w:t>Removal of arbitrator</w:t>
      </w:r>
      <w:bookmarkEnd w:id="75"/>
      <w:bookmarkEnd w:id="76"/>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77" w:name="_Toc376260673"/>
      <w:bookmarkStart w:id="78" w:name="_Toc416795339"/>
      <w:r>
        <w:rPr>
          <w:rStyle w:val="CharSectno"/>
        </w:rPr>
        <w:t>69</w:t>
      </w:r>
      <w:r>
        <w:rPr>
          <w:snapToGrid w:val="0"/>
        </w:rPr>
        <w:t>.</w:t>
      </w:r>
      <w:r>
        <w:rPr>
          <w:snapToGrid w:val="0"/>
        </w:rPr>
        <w:tab/>
        <w:t>Remuneration and conditions of office</w:t>
      </w:r>
      <w:bookmarkEnd w:id="77"/>
      <w:bookmarkEnd w:id="7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79" w:name="_Toc376260674"/>
      <w:bookmarkStart w:id="80" w:name="_Toc416795340"/>
      <w:r>
        <w:rPr>
          <w:rStyle w:val="CharSectno"/>
        </w:rPr>
        <w:t>70</w:t>
      </w:r>
      <w:r>
        <w:rPr>
          <w:snapToGrid w:val="0"/>
        </w:rPr>
        <w:t>.</w:t>
      </w:r>
      <w:r>
        <w:rPr>
          <w:snapToGrid w:val="0"/>
        </w:rPr>
        <w:tab/>
        <w:t>Oath of office</w:t>
      </w:r>
      <w:bookmarkEnd w:id="79"/>
      <w:bookmarkEnd w:id="8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81" w:name="_Toc376260675"/>
      <w:bookmarkStart w:id="82" w:name="_Toc416795341"/>
      <w:r>
        <w:rPr>
          <w:rStyle w:val="CharSectno"/>
        </w:rPr>
        <w:t>71</w:t>
      </w:r>
      <w:r>
        <w:rPr>
          <w:snapToGrid w:val="0"/>
        </w:rPr>
        <w:t>.</w:t>
      </w:r>
      <w:r>
        <w:rPr>
          <w:snapToGrid w:val="0"/>
        </w:rPr>
        <w:tab/>
        <w:t>Acting arbitrator</w:t>
      </w:r>
      <w:bookmarkEnd w:id="81"/>
      <w:bookmarkEnd w:id="82"/>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83" w:name="_Toc376260676"/>
      <w:bookmarkStart w:id="84" w:name="_Toc416795342"/>
      <w:r>
        <w:rPr>
          <w:rStyle w:val="CharSectno"/>
        </w:rPr>
        <w:t>72</w:t>
      </w:r>
      <w:r>
        <w:rPr>
          <w:snapToGrid w:val="0"/>
        </w:rPr>
        <w:t>.</w:t>
      </w:r>
      <w:r>
        <w:rPr>
          <w:snapToGrid w:val="0"/>
        </w:rPr>
        <w:tab/>
        <w:t>Duties may be performed concurrently</w:t>
      </w:r>
      <w:bookmarkEnd w:id="83"/>
      <w:bookmarkEnd w:id="8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85" w:name="_Toc376260677"/>
      <w:bookmarkStart w:id="86" w:name="_Toc416795286"/>
      <w:bookmarkStart w:id="87" w:name="_Toc416795343"/>
      <w:r>
        <w:rPr>
          <w:snapToGrid w:val="0"/>
        </w:rPr>
        <w:t>Subdivision 3 — Functions</w:t>
      </w:r>
      <w:bookmarkEnd w:id="85"/>
      <w:bookmarkEnd w:id="86"/>
      <w:bookmarkEnd w:id="87"/>
      <w:r>
        <w:rPr>
          <w:snapToGrid w:val="0"/>
        </w:rPr>
        <w:t xml:space="preserve"> </w:t>
      </w:r>
    </w:p>
    <w:p>
      <w:pPr>
        <w:pStyle w:val="Heading5"/>
        <w:rPr>
          <w:snapToGrid w:val="0"/>
        </w:rPr>
      </w:pPr>
      <w:bookmarkStart w:id="88" w:name="_Toc376260678"/>
      <w:bookmarkStart w:id="89" w:name="_Toc416795344"/>
      <w:r>
        <w:rPr>
          <w:rStyle w:val="CharSectno"/>
        </w:rPr>
        <w:t>73</w:t>
      </w:r>
      <w:r>
        <w:rPr>
          <w:snapToGrid w:val="0"/>
        </w:rPr>
        <w:t>.</w:t>
      </w:r>
      <w:r>
        <w:rPr>
          <w:snapToGrid w:val="0"/>
        </w:rPr>
        <w:tab/>
        <w:t>Functions</w:t>
      </w:r>
      <w:bookmarkEnd w:id="88"/>
      <w:bookmarkEnd w:id="89"/>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90" w:name="_Toc376260679"/>
      <w:bookmarkStart w:id="91" w:name="_Toc416795345"/>
      <w:r>
        <w:rPr>
          <w:rStyle w:val="CharSectno"/>
        </w:rPr>
        <w:t>74</w:t>
      </w:r>
      <w:r>
        <w:rPr>
          <w:snapToGrid w:val="0"/>
        </w:rPr>
        <w:t>.</w:t>
      </w:r>
      <w:r>
        <w:rPr>
          <w:snapToGrid w:val="0"/>
        </w:rPr>
        <w:tab/>
        <w:t>Additional functions may be prescribed</w:t>
      </w:r>
      <w:bookmarkEnd w:id="90"/>
      <w:bookmarkEnd w:id="91"/>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92" w:name="_Toc376260680"/>
      <w:bookmarkStart w:id="93" w:name="_Toc416795346"/>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92"/>
      <w:bookmarkEnd w:id="93"/>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94" w:name="_Toc376260681"/>
      <w:bookmarkStart w:id="95" w:name="_Toc416795347"/>
      <w:r>
        <w:rPr>
          <w:rStyle w:val="CharSectno"/>
        </w:rPr>
        <w:t>76</w:t>
      </w:r>
      <w:r>
        <w:rPr>
          <w:snapToGrid w:val="0"/>
        </w:rPr>
        <w:t>.</w:t>
      </w:r>
      <w:r>
        <w:rPr>
          <w:snapToGrid w:val="0"/>
        </w:rPr>
        <w:tab/>
        <w:t xml:space="preserve">Copies of decisions to be given to </w:t>
      </w:r>
      <w:r>
        <w:t>Economic Regulation Authority</w:t>
      </w:r>
      <w:bookmarkEnd w:id="94"/>
      <w:bookmarkEnd w:id="95"/>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Sch. 2 cl. 44; No. 16 of 2009 s. 44.]</w:t>
      </w:r>
    </w:p>
    <w:p>
      <w:pPr>
        <w:pStyle w:val="Heading5"/>
        <w:rPr>
          <w:snapToGrid w:val="0"/>
        </w:rPr>
      </w:pPr>
      <w:bookmarkStart w:id="96" w:name="_Toc376260682"/>
      <w:bookmarkStart w:id="97" w:name="_Toc416795348"/>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96"/>
      <w:bookmarkEnd w:id="97"/>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by No. 16 of 2009 s. 45; No. 23 of 2012 s. 45.]</w:t>
      </w:r>
    </w:p>
    <w:p>
      <w:pPr>
        <w:pStyle w:val="Heading5"/>
        <w:rPr>
          <w:snapToGrid w:val="0"/>
        </w:rPr>
      </w:pPr>
      <w:bookmarkStart w:id="98" w:name="_Toc376260683"/>
      <w:bookmarkStart w:id="99" w:name="_Toc416795349"/>
      <w:r>
        <w:rPr>
          <w:rStyle w:val="CharSectno"/>
        </w:rPr>
        <w:t>78</w:t>
      </w:r>
      <w:r>
        <w:rPr>
          <w:snapToGrid w:val="0"/>
        </w:rPr>
        <w:t>.</w:t>
      </w:r>
      <w:r>
        <w:rPr>
          <w:snapToGrid w:val="0"/>
        </w:rPr>
        <w:tab/>
        <w:t>Delegation</w:t>
      </w:r>
      <w:bookmarkEnd w:id="98"/>
      <w:bookmarkEnd w:id="9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100" w:name="_Toc376260684"/>
      <w:bookmarkStart w:id="101" w:name="_Toc416795350"/>
      <w:r>
        <w:rPr>
          <w:rStyle w:val="CharSectno"/>
        </w:rPr>
        <w:t>79</w:t>
      </w:r>
      <w:r>
        <w:rPr>
          <w:snapToGrid w:val="0"/>
        </w:rPr>
        <w:t>.</w:t>
      </w:r>
      <w:r>
        <w:rPr>
          <w:snapToGrid w:val="0"/>
        </w:rPr>
        <w:tab/>
        <w:t>Conflict of interest</w:t>
      </w:r>
      <w:bookmarkEnd w:id="100"/>
      <w:bookmarkEnd w:id="10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102" w:name="_Toc376260685"/>
      <w:bookmarkStart w:id="103" w:name="_Toc416795294"/>
      <w:bookmarkStart w:id="104" w:name="_Toc416795351"/>
      <w:r>
        <w:rPr>
          <w:snapToGrid w:val="0"/>
        </w:rPr>
        <w:t>Subdivision 4 — Staff and consultants</w:t>
      </w:r>
      <w:bookmarkEnd w:id="102"/>
      <w:bookmarkEnd w:id="103"/>
      <w:bookmarkEnd w:id="104"/>
      <w:r>
        <w:rPr>
          <w:snapToGrid w:val="0"/>
        </w:rPr>
        <w:t xml:space="preserve"> </w:t>
      </w:r>
    </w:p>
    <w:p>
      <w:pPr>
        <w:pStyle w:val="Heading5"/>
        <w:rPr>
          <w:snapToGrid w:val="0"/>
        </w:rPr>
      </w:pPr>
      <w:bookmarkStart w:id="105" w:name="_Toc376260686"/>
      <w:bookmarkStart w:id="106" w:name="_Toc416795352"/>
      <w:r>
        <w:rPr>
          <w:rStyle w:val="CharSectno"/>
        </w:rPr>
        <w:t>80</w:t>
      </w:r>
      <w:r>
        <w:rPr>
          <w:snapToGrid w:val="0"/>
        </w:rPr>
        <w:t>.</w:t>
      </w:r>
      <w:r>
        <w:rPr>
          <w:snapToGrid w:val="0"/>
        </w:rPr>
        <w:tab/>
        <w:t>Use of government staff etc.</w:t>
      </w:r>
      <w:bookmarkEnd w:id="105"/>
      <w:bookmarkEnd w:id="106"/>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by No. 18 of 2005 s. 139; No. 25 of 2013 s. 40(3).]</w:t>
      </w:r>
    </w:p>
    <w:p>
      <w:pPr>
        <w:pStyle w:val="Heading5"/>
        <w:rPr>
          <w:snapToGrid w:val="0"/>
        </w:rPr>
      </w:pPr>
      <w:bookmarkStart w:id="107" w:name="_Toc376260687"/>
      <w:bookmarkStart w:id="108" w:name="_Toc416795353"/>
      <w:r>
        <w:rPr>
          <w:rStyle w:val="CharSectno"/>
        </w:rPr>
        <w:t>81</w:t>
      </w:r>
      <w:r>
        <w:rPr>
          <w:snapToGrid w:val="0"/>
        </w:rPr>
        <w:t>.</w:t>
      </w:r>
      <w:r>
        <w:rPr>
          <w:snapToGrid w:val="0"/>
        </w:rPr>
        <w:tab/>
        <w:t>Consultants</w:t>
      </w:r>
      <w:bookmarkEnd w:id="107"/>
      <w:bookmarkEnd w:id="108"/>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by No. 16 of 2009 s. 46.]</w:t>
      </w:r>
    </w:p>
    <w:p>
      <w:pPr>
        <w:pStyle w:val="Heading4"/>
        <w:rPr>
          <w:snapToGrid w:val="0"/>
        </w:rPr>
      </w:pPr>
      <w:bookmarkStart w:id="109" w:name="_Toc376260688"/>
      <w:bookmarkStart w:id="110" w:name="_Toc416795297"/>
      <w:bookmarkStart w:id="111" w:name="_Toc416795354"/>
      <w:r>
        <w:rPr>
          <w:snapToGrid w:val="0"/>
        </w:rPr>
        <w:t>Subdivision 5 — Financial provisions</w:t>
      </w:r>
      <w:bookmarkEnd w:id="109"/>
      <w:bookmarkEnd w:id="110"/>
      <w:bookmarkEnd w:id="111"/>
      <w:r>
        <w:rPr>
          <w:snapToGrid w:val="0"/>
        </w:rPr>
        <w:t xml:space="preserve"> </w:t>
      </w:r>
    </w:p>
    <w:p>
      <w:pPr>
        <w:pStyle w:val="Heading5"/>
        <w:rPr>
          <w:snapToGrid w:val="0"/>
        </w:rPr>
      </w:pPr>
      <w:bookmarkStart w:id="112" w:name="_Toc376260689"/>
      <w:bookmarkStart w:id="113" w:name="_Toc416795355"/>
      <w:r>
        <w:rPr>
          <w:rStyle w:val="CharSectno"/>
        </w:rPr>
        <w:t>82</w:t>
      </w:r>
      <w:r>
        <w:rPr>
          <w:snapToGrid w:val="0"/>
        </w:rPr>
        <w:t>.</w:t>
      </w:r>
      <w:r>
        <w:rPr>
          <w:snapToGrid w:val="0"/>
        </w:rPr>
        <w:tab/>
        <w:t>Bank account</w:t>
      </w:r>
      <w:bookmarkEnd w:id="112"/>
      <w:bookmarkEnd w:id="11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by No. 16 of 2009 s. 47.]</w:t>
      </w:r>
    </w:p>
    <w:p>
      <w:pPr>
        <w:pStyle w:val="Heading5"/>
        <w:rPr>
          <w:snapToGrid w:val="0"/>
        </w:rPr>
      </w:pPr>
      <w:bookmarkStart w:id="114" w:name="_Toc376260690"/>
      <w:bookmarkStart w:id="115" w:name="_Toc416795356"/>
      <w:r>
        <w:rPr>
          <w:rStyle w:val="CharSectno"/>
        </w:rPr>
        <w:t>83</w:t>
      </w:r>
      <w:r>
        <w:rPr>
          <w:snapToGrid w:val="0"/>
        </w:rPr>
        <w:t>.</w:t>
      </w:r>
      <w:r>
        <w:rPr>
          <w:snapToGrid w:val="0"/>
        </w:rPr>
        <w:tab/>
        <w:t>Borrowing from Treasurer</w:t>
      </w:r>
      <w:bookmarkEnd w:id="114"/>
      <w:bookmarkEnd w:id="115"/>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116" w:name="_Toc376260691"/>
      <w:bookmarkStart w:id="117" w:name="_Toc416795357"/>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6"/>
      <w:bookmarkEnd w:id="11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118" w:name="_Toc376260692"/>
      <w:bookmarkStart w:id="119" w:name="_Toc416795301"/>
      <w:bookmarkStart w:id="120" w:name="_Toc416795358"/>
      <w:r>
        <w:rPr>
          <w:snapToGrid w:val="0"/>
        </w:rPr>
        <w:t>Subdivision 6 — General</w:t>
      </w:r>
      <w:bookmarkEnd w:id="118"/>
      <w:bookmarkEnd w:id="119"/>
      <w:bookmarkEnd w:id="120"/>
      <w:r>
        <w:rPr>
          <w:snapToGrid w:val="0"/>
        </w:rPr>
        <w:t xml:space="preserve"> </w:t>
      </w:r>
    </w:p>
    <w:p>
      <w:pPr>
        <w:pStyle w:val="Heading5"/>
        <w:rPr>
          <w:snapToGrid w:val="0"/>
        </w:rPr>
      </w:pPr>
      <w:bookmarkStart w:id="121" w:name="_Toc376260693"/>
      <w:bookmarkStart w:id="122" w:name="_Toc416795359"/>
      <w:r>
        <w:rPr>
          <w:rStyle w:val="CharSectno"/>
        </w:rPr>
        <w:t>85</w:t>
      </w:r>
      <w:r>
        <w:rPr>
          <w:snapToGrid w:val="0"/>
        </w:rPr>
        <w:t>.</w:t>
      </w:r>
      <w:r>
        <w:rPr>
          <w:snapToGrid w:val="0"/>
        </w:rPr>
        <w:tab/>
        <w:t>Immunity</w:t>
      </w:r>
      <w:bookmarkEnd w:id="121"/>
      <w:bookmarkEnd w:id="122"/>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123" w:name="_Toc376260694"/>
      <w:bookmarkStart w:id="124" w:name="_Toc416795303"/>
      <w:bookmarkStart w:id="125" w:name="_Toc416795360"/>
      <w:r>
        <w:rPr>
          <w:rStyle w:val="CharDivNo"/>
        </w:rPr>
        <w:t>Division 4</w:t>
      </w:r>
      <w:r>
        <w:rPr>
          <w:snapToGrid w:val="0"/>
        </w:rPr>
        <w:t> — </w:t>
      </w:r>
      <w:r>
        <w:rPr>
          <w:rStyle w:val="CharDivText"/>
        </w:rPr>
        <w:t>Miscellaneous</w:t>
      </w:r>
      <w:bookmarkEnd w:id="123"/>
      <w:bookmarkEnd w:id="124"/>
      <w:bookmarkEnd w:id="125"/>
      <w:r>
        <w:rPr>
          <w:rStyle w:val="CharDivText"/>
        </w:rPr>
        <w:t xml:space="preserve"> </w:t>
      </w:r>
    </w:p>
    <w:p>
      <w:pPr>
        <w:pStyle w:val="Heading5"/>
        <w:rPr>
          <w:snapToGrid w:val="0"/>
        </w:rPr>
      </w:pPr>
      <w:bookmarkStart w:id="126" w:name="_Toc376260695"/>
      <w:bookmarkStart w:id="127" w:name="_Toc416795361"/>
      <w:r>
        <w:rPr>
          <w:rStyle w:val="CharSectno"/>
        </w:rPr>
        <w:t>86</w:t>
      </w:r>
      <w:r>
        <w:rPr>
          <w:snapToGrid w:val="0"/>
        </w:rPr>
        <w:t>.</w:t>
      </w:r>
      <w:r>
        <w:rPr>
          <w:snapToGrid w:val="0"/>
        </w:rPr>
        <w:tab/>
        <w:t>Regulations</w:t>
      </w:r>
      <w:bookmarkEnd w:id="126"/>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r>
        <w:t>[</w:t>
      </w:r>
      <w:r>
        <w:rPr>
          <w:b/>
          <w:bCs/>
        </w:rPr>
        <w:t>87.</w:t>
      </w:r>
      <w:r>
        <w:tab/>
        <w:t>Deleted by No. 16 of 2009 s. 48.]</w:t>
      </w:r>
    </w:p>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outlineLvl w:val="0"/>
      </w:pPr>
      <w:bookmarkStart w:id="128" w:name="_Toc376260696"/>
      <w:bookmarkStart w:id="129" w:name="_Toc416795305"/>
      <w:bookmarkStart w:id="130" w:name="_Toc416795362"/>
      <w:r>
        <w:t>Notes</w:t>
      </w:r>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31" w:name="_Toc376260697"/>
      <w:bookmarkStart w:id="132" w:name="_Toc416795363"/>
      <w:r>
        <w:rPr>
          <w:snapToGrid w:val="0"/>
        </w:rPr>
        <w:t>Compilation table</w:t>
      </w:r>
      <w:bookmarkEnd w:id="131"/>
      <w:bookmarkEnd w:id="1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Cs/>
              </w:rPr>
            </w:pPr>
            <w:r>
              <w:rPr>
                <w:i/>
              </w:rPr>
              <w:t>Gas Pipelines Access (</w:t>
            </w:r>
            <w:smartTag w:uri="urn:schemas-microsoft-com:office:smarttags" w:element="place">
              <w:smartTag w:uri="urn:schemas-microsoft-com:office:smarttags" w:element="State">
                <w:r>
                  <w:rPr>
                    <w:i/>
                  </w:rPr>
                  <w:t>Western Australia</w:t>
                </w:r>
              </w:smartTag>
            </w:smartTag>
            <w:r>
              <w:rPr>
                <w:i/>
              </w:rPr>
              <w:t>) Act 1998 </w:t>
            </w:r>
            <w:r>
              <w:rPr>
                <w:iCs/>
                <w:vertAlign w:val="superscript"/>
              </w:rPr>
              <w:t>4</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2"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2"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vertAlign w:val="superscript"/>
              </w:rPr>
            </w:pPr>
            <w:r>
              <w:rPr>
                <w:i/>
              </w:rPr>
              <w:t xml:space="preserve">Gas Corporation (Business Disposal) Act 1999 </w:t>
            </w:r>
            <w:r>
              <w:t>s. 62</w:t>
            </w:r>
            <w:r>
              <w:noBreakHyphen/>
              <w:t>64, 87, 96</w:t>
            </w:r>
            <w:r>
              <w:rPr>
                <w:rFonts w:ascii="Times" w:hAnsi="Times"/>
                <w:vertAlign w:val="superscript"/>
              </w:rPr>
              <w:t> 5</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2"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t>
            </w:r>
            <w:smartTag w:uri="urn:schemas-microsoft-com:office:smarttags" w:element="place">
              <w:smartTag w:uri="urn:schemas-microsoft-com:office:smarttags" w:element="State">
                <w:r>
                  <w:rPr>
                    <w:i/>
                  </w:rPr>
                  <w:t>Western Australia</w:t>
                </w:r>
              </w:smartTag>
            </w:smartTag>
            <w:r>
              <w:rPr>
                <w:i/>
              </w:rPr>
              <w:t>)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2"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r>
              <w:rPr>
                <w:vertAlign w:val="superscript"/>
              </w:rPr>
              <w:t>6, 7</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rPr>
              <w:t xml:space="preserve">Reprint 2: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2"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2"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2"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2" w:type="dxa"/>
            <w:tcBorders>
              <w:top w:val="nil"/>
              <w:bottom w:val="nil"/>
            </w:tcBorders>
          </w:tcPr>
          <w:p>
            <w:pPr>
              <w:pStyle w:val="nTable"/>
              <w:spacing w:after="40"/>
              <w:rPr>
                <w:i/>
              </w:rPr>
            </w:pPr>
            <w:r>
              <w:t xml:space="preserve">7 Aug 2013 (see s. 1B(b) and </w:t>
            </w:r>
            <w:r>
              <w:rPr>
                <w:i/>
              </w:rPr>
              <w:t xml:space="preserve">Gazette </w:t>
            </w:r>
            <w:r>
              <w:t>6 Aug 2013 p. 3677)</w:t>
            </w:r>
          </w:p>
        </w:tc>
      </w:tr>
      <w:tr>
        <w:trPr>
          <w:cantSplit/>
        </w:trPr>
        <w:tc>
          <w:tcPr>
            <w:tcW w:w="2268" w:type="dxa"/>
            <w:tcBorders>
              <w:top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tcBorders>
          </w:tcPr>
          <w:p>
            <w:pPr>
              <w:pStyle w:val="nTable"/>
              <w:spacing w:after="40"/>
              <w:rPr>
                <w:snapToGrid w:val="0"/>
              </w:rPr>
            </w:pPr>
            <w:r>
              <w:rPr>
                <w:snapToGrid w:val="0"/>
              </w:rPr>
              <w:t>25 of 2013</w:t>
            </w:r>
          </w:p>
        </w:tc>
        <w:tc>
          <w:tcPr>
            <w:tcW w:w="1134" w:type="dxa"/>
            <w:tcBorders>
              <w:top w:val="nil"/>
            </w:tcBorders>
          </w:tcPr>
          <w:p>
            <w:pPr>
              <w:pStyle w:val="nTable"/>
              <w:spacing w:after="40"/>
              <w:rPr>
                <w:snapToGrid w:val="0"/>
              </w:rPr>
            </w:pPr>
            <w:r>
              <w:rPr>
                <w:snapToGrid w:val="0"/>
              </w:rPr>
              <w:t>18 Dec 2013</w:t>
            </w:r>
          </w:p>
        </w:tc>
        <w:tc>
          <w:tcPr>
            <w:tcW w:w="2552" w:type="dxa"/>
            <w:tcBorders>
              <w:top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7</w:t>
      </w:r>
      <w:r>
        <w:tab/>
        <w:t xml:space="preserve">The </w:t>
      </w:r>
      <w:r>
        <w:rPr>
          <w:i/>
        </w:rPr>
        <w:t>Economic Regulation Authority Act 2003</w:t>
      </w:r>
      <w:r>
        <w:t xml:space="preserve"> Sch. 2 cl. 36, 39 and 41 are not included because the sections it sought to amend had been deleted by the </w:t>
      </w:r>
      <w:r>
        <w:rPr>
          <w:i/>
        </w:rPr>
        <w:t>National Gas Access (WA) Act 2009</w:t>
      </w:r>
      <w:r>
        <w:t xml:space="preserve"> s. 32 before the amendment purported to come into operation.</w:t>
      </w:r>
    </w:p>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34" w:name="_Toc416795364"/>
      <w:r>
        <w:rPr>
          <w:sz w:val="28"/>
        </w:rPr>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lvlText w:val="%1."/>
      <w:lvlJc w:val="left"/>
      <w:pPr>
        <w:tabs>
          <w:tab w:val="num" w:pos="1492"/>
        </w:tabs>
        <w:ind w:left="1492" w:hanging="360"/>
      </w:pPr>
    </w:lvl>
  </w:abstractNum>
  <w:abstractNum w:abstractNumId="1">
    <w:nsid w:val="FFFFFF7D"/>
    <w:multiLevelType w:val="singleLevel"/>
    <w:tmpl w:val="99863A26"/>
    <w:lvl w:ilvl="0">
      <w:start w:val="1"/>
      <w:numFmt w:val="decimal"/>
      <w:lvlText w:val="%1."/>
      <w:lvlJc w:val="left"/>
      <w:pPr>
        <w:tabs>
          <w:tab w:val="num" w:pos="1209"/>
        </w:tabs>
        <w:ind w:left="1209" w:hanging="360"/>
      </w:pPr>
    </w:lvl>
  </w:abstractNum>
  <w:abstractNum w:abstractNumId="2">
    <w:nsid w:val="FFFFFF7E"/>
    <w:multiLevelType w:val="singleLevel"/>
    <w:tmpl w:val="656070B0"/>
    <w:lvl w:ilvl="0">
      <w:start w:val="1"/>
      <w:numFmt w:val="decimal"/>
      <w:lvlText w:val="%1."/>
      <w:lvlJc w:val="left"/>
      <w:pPr>
        <w:tabs>
          <w:tab w:val="num" w:pos="926"/>
        </w:tabs>
        <w:ind w:left="926" w:hanging="360"/>
      </w:pPr>
    </w:lvl>
  </w:abstractNum>
  <w:abstractNum w:abstractNumId="3">
    <w:nsid w:val="FFFFFF7F"/>
    <w:multiLevelType w:val="singleLevel"/>
    <w:tmpl w:val="9BD266D4"/>
    <w:lvl w:ilvl="0">
      <w:start w:val="1"/>
      <w:numFmt w:val="decimal"/>
      <w:lvlText w:val="%1."/>
      <w:lvlJc w:val="left"/>
      <w:pPr>
        <w:tabs>
          <w:tab w:val="num" w:pos="643"/>
        </w:tabs>
        <w:ind w:left="643" w:hanging="360"/>
      </w:pPr>
    </w:lvl>
  </w:abstractNum>
  <w:abstractNum w:abstractNumId="4">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lvlText w:val="%1."/>
      <w:lvlJc w:val="left"/>
      <w:pPr>
        <w:tabs>
          <w:tab w:val="num" w:pos="360"/>
        </w:tabs>
        <w:ind w:left="360" w:hanging="360"/>
      </w:pPr>
    </w:lvl>
  </w:abstractNum>
  <w:abstractNum w:abstractNumId="9">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232"/>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7639</Words>
  <Characters>35907</Characters>
  <Application>Microsoft Office Word</Application>
  <DocSecurity>0</DocSecurity>
  <Lines>1088</Lines>
  <Paragraphs>680</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1998 - 03-j0-04</dc:title>
  <dc:subject/>
  <dc:creator/>
  <cp:keywords/>
  <dc:description/>
  <cp:lastModifiedBy>svcMRProcess</cp:lastModifiedBy>
  <cp:revision>4</cp:revision>
  <cp:lastPrinted>2010-03-17T00:23:00Z</cp:lastPrinted>
  <dcterms:created xsi:type="dcterms:W3CDTF">2018-08-30T01:36:00Z</dcterms:created>
  <dcterms:modified xsi:type="dcterms:W3CDTF">2018-08-30T01:36:00Z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AsAtDate">
    <vt:lpwstr>01 Jan 2014</vt:lpwstr>
  </property>
  <property fmtid="{D5CDD505-2E9C-101B-9397-08002B2CF9AE}" pid="9" name="Suffix">
    <vt:lpwstr>03-j0-04</vt:lpwstr>
  </property>
</Properties>
</file>