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8F" w:rsidRDefault="00AC6540">
      <w:pPr>
        <w:pStyle w:val="WA"/>
      </w:pPr>
      <w:bookmarkStart w:id="0" w:name="UpToHere"/>
      <w:bookmarkStart w:id="1" w:name="_GoBack"/>
      <w:bookmarkEnd w:id="0"/>
      <w:bookmarkEnd w:id="1"/>
      <w:r>
        <w:t>Western Australia</w:t>
      </w:r>
    </w:p>
    <w:p w:rsidR="00457B8F" w:rsidRDefault="00AC6540">
      <w:pPr>
        <w:pStyle w:val="NameofActRegPage1"/>
        <w:spacing w:before="3760" w:after="4200"/>
      </w:pPr>
      <w:r>
        <w:fldChar w:fldCharType="begin"/>
      </w:r>
      <w:r>
        <w:instrText xml:space="preserve"> STYLEREF "Name Of Act/Reg"</w:instrText>
      </w:r>
      <w:r>
        <w:fldChar w:fldCharType="separate"/>
      </w:r>
      <w:r w:rsidR="00991CD5">
        <w:rPr>
          <w:noProof/>
        </w:rPr>
        <w:t>Chattel Securities Act 1987</w:t>
      </w:r>
      <w:r>
        <w:fldChar w:fldCharType="end"/>
      </w:r>
    </w:p>
    <w:p w:rsidR="00457B8F" w:rsidRDefault="00457B8F">
      <w:pPr>
        <w:jc w:val="center"/>
        <w:rPr>
          <w:b/>
        </w:rPr>
        <w:sectPr w:rsidR="00457B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7B8F" w:rsidRDefault="00AC6540">
      <w:pPr>
        <w:pStyle w:val="WA"/>
      </w:pPr>
      <w:r>
        <w:lastRenderedPageBreak/>
        <w:t>Western Australia</w:t>
      </w:r>
    </w:p>
    <w:p w:rsidR="00457B8F" w:rsidRDefault="00AC6540">
      <w:pPr>
        <w:pStyle w:val="NameofActRegPage1"/>
      </w:pPr>
      <w:r>
        <w:fldChar w:fldCharType="begin"/>
      </w:r>
      <w:r>
        <w:instrText xml:space="preserve"> STYLEREF "Name Of Act/Reg"</w:instrText>
      </w:r>
      <w:r>
        <w:fldChar w:fldCharType="separate"/>
      </w:r>
      <w:r w:rsidR="00991CD5">
        <w:rPr>
          <w:noProof/>
        </w:rPr>
        <w:t>Chattel Securities Act 1987</w:t>
      </w:r>
      <w:r>
        <w:fldChar w:fldCharType="end"/>
      </w:r>
    </w:p>
    <w:p w:rsidR="00457B8F" w:rsidRDefault="00AC6540">
      <w:pPr>
        <w:pStyle w:val="Arrangement"/>
      </w:pPr>
      <w:r>
        <w:t>CONTENTS</w:t>
      </w:r>
    </w:p>
    <w:p w:rsidR="00457B8F" w:rsidRDefault="00AC654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457B8F" w:rsidRDefault="00AC654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_Toc139442731 \h </w:instrText>
      </w:r>
      <w:r>
        <w:fldChar w:fldCharType="separate"/>
      </w:r>
      <w:r w:rsidR="00991CD5">
        <w:t>2</w:t>
      </w:r>
      <w:r>
        <w:fldChar w:fldCharType="end"/>
      </w:r>
    </w:p>
    <w:p w:rsidR="00457B8F" w:rsidRDefault="00AC654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_Toc139442732 \h </w:instrText>
      </w:r>
      <w:r>
        <w:fldChar w:fldCharType="separate"/>
      </w:r>
      <w:r w:rsidR="00991CD5">
        <w:t>2</w:t>
      </w:r>
      <w:r>
        <w:fldChar w:fldCharType="end"/>
      </w:r>
    </w:p>
    <w:p w:rsidR="00457B8F" w:rsidRDefault="00AC654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_Toc139442733 \h </w:instrText>
      </w:r>
      <w:r>
        <w:fldChar w:fldCharType="separate"/>
      </w:r>
      <w:r w:rsidR="00991CD5">
        <w:t>2</w:t>
      </w:r>
      <w:r>
        <w:fldChar w:fldCharType="end"/>
      </w:r>
    </w:p>
    <w:p w:rsidR="00457B8F" w:rsidRDefault="00AC6540">
      <w:pPr>
        <w:pStyle w:val="TOC8"/>
        <w:rPr>
          <w:sz w:val="24"/>
          <w:szCs w:val="24"/>
        </w:rPr>
      </w:pPr>
      <w:r>
        <w:rPr>
          <w:szCs w:val="24"/>
        </w:rPr>
        <w:t>3A.</w:t>
      </w:r>
      <w:r>
        <w:rPr>
          <w:szCs w:val="24"/>
        </w:rPr>
        <w:tab/>
        <w:t>Commissioner</w:t>
      </w:r>
      <w:r>
        <w:tab/>
      </w:r>
      <w:r>
        <w:fldChar w:fldCharType="begin"/>
      </w:r>
      <w:r>
        <w:instrText xml:space="preserve"> PAGEREF _Toc139442734 \h </w:instrText>
      </w:r>
      <w:r>
        <w:fldChar w:fldCharType="separate"/>
      </w:r>
      <w:r w:rsidR="00991CD5">
        <w:t>6</w:t>
      </w:r>
      <w:r>
        <w:fldChar w:fldCharType="end"/>
      </w:r>
    </w:p>
    <w:p w:rsidR="00457B8F" w:rsidRDefault="00AC6540">
      <w:pPr>
        <w:pStyle w:val="TOC2"/>
        <w:tabs>
          <w:tab w:val="right" w:leader="dot" w:pos="7086"/>
        </w:tabs>
        <w:rPr>
          <w:b w:val="0"/>
          <w:sz w:val="24"/>
          <w:szCs w:val="24"/>
        </w:rPr>
      </w:pPr>
      <w:r>
        <w:rPr>
          <w:szCs w:val="30"/>
        </w:rPr>
        <w:t>Part II — Security interests</w:t>
      </w:r>
    </w:p>
    <w:p w:rsidR="00457B8F" w:rsidRDefault="00AC6540">
      <w:pPr>
        <w:pStyle w:val="TOC8"/>
        <w:rPr>
          <w:sz w:val="24"/>
          <w:szCs w:val="24"/>
        </w:rPr>
      </w:pPr>
      <w:r>
        <w:rPr>
          <w:szCs w:val="24"/>
        </w:rPr>
        <w:t>4</w:t>
      </w:r>
      <w:r>
        <w:rPr>
          <w:snapToGrid w:val="0"/>
          <w:szCs w:val="24"/>
        </w:rPr>
        <w:t>.</w:t>
      </w:r>
      <w:r>
        <w:rPr>
          <w:snapToGrid w:val="0"/>
          <w:szCs w:val="24"/>
        </w:rPr>
        <w:tab/>
        <w:t>Application of Part</w:t>
      </w:r>
      <w:r>
        <w:tab/>
      </w:r>
      <w:r>
        <w:fldChar w:fldCharType="begin"/>
      </w:r>
      <w:r>
        <w:instrText xml:space="preserve"> PAGEREF _Toc139442736 \h </w:instrText>
      </w:r>
      <w:r>
        <w:fldChar w:fldCharType="separate"/>
      </w:r>
      <w:r w:rsidR="00991CD5">
        <w:t>8</w:t>
      </w:r>
      <w:r>
        <w:fldChar w:fldCharType="end"/>
      </w:r>
    </w:p>
    <w:p w:rsidR="00457B8F" w:rsidRDefault="00AC6540">
      <w:pPr>
        <w:pStyle w:val="TOC8"/>
        <w:rPr>
          <w:sz w:val="24"/>
          <w:szCs w:val="24"/>
        </w:rPr>
      </w:pPr>
      <w:r>
        <w:rPr>
          <w:szCs w:val="24"/>
        </w:rPr>
        <w:t>5</w:t>
      </w:r>
      <w:r>
        <w:rPr>
          <w:snapToGrid w:val="0"/>
          <w:szCs w:val="24"/>
        </w:rPr>
        <w:t>.</w:t>
      </w:r>
      <w:r>
        <w:rPr>
          <w:snapToGrid w:val="0"/>
          <w:szCs w:val="24"/>
        </w:rPr>
        <w:tab/>
        <w:t>Agreement that security interest is legal interest</w:t>
      </w:r>
      <w:r>
        <w:tab/>
      </w:r>
      <w:r>
        <w:fldChar w:fldCharType="begin"/>
      </w:r>
      <w:r>
        <w:instrText xml:space="preserve"> PAGEREF _Toc139442737 \h </w:instrText>
      </w:r>
      <w:r>
        <w:fldChar w:fldCharType="separate"/>
      </w:r>
      <w:r w:rsidR="00991CD5">
        <w:t>8</w:t>
      </w:r>
      <w:r>
        <w:fldChar w:fldCharType="end"/>
      </w:r>
    </w:p>
    <w:p w:rsidR="00457B8F" w:rsidRDefault="00AC6540">
      <w:pPr>
        <w:pStyle w:val="TOC8"/>
        <w:rPr>
          <w:sz w:val="24"/>
          <w:szCs w:val="24"/>
        </w:rPr>
      </w:pPr>
      <w:r>
        <w:rPr>
          <w:szCs w:val="24"/>
        </w:rPr>
        <w:t>6</w:t>
      </w:r>
      <w:r>
        <w:rPr>
          <w:snapToGrid w:val="0"/>
          <w:szCs w:val="24"/>
        </w:rPr>
        <w:t>.</w:t>
      </w:r>
      <w:r>
        <w:rPr>
          <w:snapToGrid w:val="0"/>
          <w:szCs w:val="24"/>
        </w:rPr>
        <w:tab/>
        <w:t>Fixtures</w:t>
      </w:r>
      <w:r>
        <w:tab/>
      </w:r>
      <w:r>
        <w:fldChar w:fldCharType="begin"/>
      </w:r>
      <w:r>
        <w:instrText xml:space="preserve"> PAGEREF _Toc139442738 \h </w:instrText>
      </w:r>
      <w:r>
        <w:fldChar w:fldCharType="separate"/>
      </w:r>
      <w:r w:rsidR="00991CD5">
        <w:t>8</w:t>
      </w:r>
      <w:r>
        <w:fldChar w:fldCharType="end"/>
      </w:r>
    </w:p>
    <w:p w:rsidR="00457B8F" w:rsidRDefault="00AC6540">
      <w:pPr>
        <w:pStyle w:val="TOC8"/>
        <w:rPr>
          <w:sz w:val="24"/>
          <w:szCs w:val="24"/>
        </w:rPr>
      </w:pPr>
      <w:r>
        <w:rPr>
          <w:szCs w:val="24"/>
        </w:rPr>
        <w:t>7</w:t>
      </w:r>
      <w:r>
        <w:rPr>
          <w:snapToGrid w:val="0"/>
          <w:szCs w:val="24"/>
        </w:rPr>
        <w:t>.</w:t>
      </w:r>
      <w:r>
        <w:rPr>
          <w:snapToGrid w:val="0"/>
          <w:szCs w:val="24"/>
        </w:rPr>
        <w:tab/>
        <w:t>Extinguishing of security interest</w:t>
      </w:r>
      <w:r>
        <w:tab/>
      </w:r>
      <w:r>
        <w:fldChar w:fldCharType="begin"/>
      </w:r>
      <w:r>
        <w:instrText xml:space="preserve"> PAGEREF _Toc139442739 \h </w:instrText>
      </w:r>
      <w:r>
        <w:fldChar w:fldCharType="separate"/>
      </w:r>
      <w:r w:rsidR="00991CD5">
        <w:t>10</w:t>
      </w:r>
      <w:r>
        <w:fldChar w:fldCharType="end"/>
      </w:r>
    </w:p>
    <w:p w:rsidR="00457B8F" w:rsidRDefault="00AC6540">
      <w:pPr>
        <w:pStyle w:val="TOC8"/>
        <w:rPr>
          <w:sz w:val="24"/>
          <w:szCs w:val="24"/>
        </w:rPr>
      </w:pPr>
      <w:r>
        <w:rPr>
          <w:szCs w:val="24"/>
        </w:rPr>
        <w:t>8</w:t>
      </w:r>
      <w:r>
        <w:rPr>
          <w:snapToGrid w:val="0"/>
          <w:szCs w:val="24"/>
        </w:rPr>
        <w:t>.</w:t>
      </w:r>
      <w:r>
        <w:rPr>
          <w:snapToGrid w:val="0"/>
          <w:szCs w:val="24"/>
        </w:rPr>
        <w:tab/>
        <w:t>Purchase for value in good faith</w:t>
      </w:r>
      <w:r>
        <w:tab/>
      </w:r>
      <w:r>
        <w:fldChar w:fldCharType="begin"/>
      </w:r>
      <w:r>
        <w:instrText xml:space="preserve"> PAGEREF _Toc139442740 \h </w:instrText>
      </w:r>
      <w:r>
        <w:fldChar w:fldCharType="separate"/>
      </w:r>
      <w:r w:rsidR="00991CD5">
        <w:t>12</w:t>
      </w:r>
      <w:r>
        <w:fldChar w:fldCharType="end"/>
      </w:r>
    </w:p>
    <w:p w:rsidR="00457B8F" w:rsidRDefault="00AC6540">
      <w:pPr>
        <w:pStyle w:val="TOC8"/>
        <w:rPr>
          <w:sz w:val="24"/>
          <w:szCs w:val="24"/>
        </w:rPr>
      </w:pPr>
      <w:r>
        <w:rPr>
          <w:szCs w:val="24"/>
        </w:rPr>
        <w:t>9</w:t>
      </w:r>
      <w:r>
        <w:rPr>
          <w:snapToGrid w:val="0"/>
          <w:szCs w:val="24"/>
        </w:rPr>
        <w:t>.</w:t>
      </w:r>
      <w:r>
        <w:rPr>
          <w:snapToGrid w:val="0"/>
          <w:szCs w:val="24"/>
        </w:rPr>
        <w:tab/>
        <w:t>Extinguishing of subsequent security interests</w:t>
      </w:r>
      <w:r>
        <w:tab/>
      </w:r>
      <w:r>
        <w:fldChar w:fldCharType="begin"/>
      </w:r>
      <w:r>
        <w:instrText xml:space="preserve"> PAGEREF _Toc139442741 \h </w:instrText>
      </w:r>
      <w:r>
        <w:fldChar w:fldCharType="separate"/>
      </w:r>
      <w:r w:rsidR="00991CD5">
        <w:t>13</w:t>
      </w:r>
      <w:r>
        <w:fldChar w:fldCharType="end"/>
      </w:r>
    </w:p>
    <w:p w:rsidR="00457B8F" w:rsidRDefault="00AC6540">
      <w:pPr>
        <w:pStyle w:val="TOC8"/>
        <w:rPr>
          <w:sz w:val="24"/>
          <w:szCs w:val="24"/>
        </w:rPr>
      </w:pPr>
      <w:r>
        <w:rPr>
          <w:szCs w:val="24"/>
        </w:rPr>
        <w:t>10</w:t>
      </w:r>
      <w:r>
        <w:rPr>
          <w:snapToGrid w:val="0"/>
          <w:szCs w:val="24"/>
        </w:rPr>
        <w:t>.</w:t>
      </w:r>
      <w:r>
        <w:rPr>
          <w:snapToGrid w:val="0"/>
          <w:szCs w:val="24"/>
        </w:rPr>
        <w:tab/>
        <w:t>Priority of security interests</w:t>
      </w:r>
      <w:r>
        <w:tab/>
      </w:r>
      <w:r>
        <w:fldChar w:fldCharType="begin"/>
      </w:r>
      <w:r>
        <w:instrText xml:space="preserve"> PAGEREF _Toc139442742 \h </w:instrText>
      </w:r>
      <w:r>
        <w:fldChar w:fldCharType="separate"/>
      </w:r>
      <w:r w:rsidR="00991CD5">
        <w:t>14</w:t>
      </w:r>
      <w:r>
        <w:fldChar w:fldCharType="end"/>
      </w:r>
    </w:p>
    <w:p w:rsidR="00457B8F" w:rsidRDefault="00AC6540">
      <w:pPr>
        <w:pStyle w:val="TOC8"/>
        <w:rPr>
          <w:sz w:val="24"/>
          <w:szCs w:val="24"/>
        </w:rPr>
      </w:pPr>
      <w:r>
        <w:rPr>
          <w:szCs w:val="24"/>
        </w:rPr>
        <w:t>11</w:t>
      </w:r>
      <w:r>
        <w:rPr>
          <w:snapToGrid w:val="0"/>
          <w:szCs w:val="24"/>
        </w:rPr>
        <w:t>.</w:t>
      </w:r>
      <w:r>
        <w:rPr>
          <w:snapToGrid w:val="0"/>
          <w:szCs w:val="24"/>
        </w:rPr>
        <w:tab/>
        <w:t>Extinguishing etc. of security interest under corresponding law</w:t>
      </w:r>
      <w:r>
        <w:tab/>
      </w:r>
      <w:r>
        <w:fldChar w:fldCharType="begin"/>
      </w:r>
      <w:r>
        <w:instrText xml:space="preserve"> PAGEREF _Toc139442743 \h </w:instrText>
      </w:r>
      <w:r>
        <w:fldChar w:fldCharType="separate"/>
      </w:r>
      <w:r w:rsidR="00991CD5">
        <w:t>14</w:t>
      </w:r>
      <w:r>
        <w:fldChar w:fldCharType="end"/>
      </w:r>
    </w:p>
    <w:p w:rsidR="00457B8F" w:rsidRDefault="00AC6540">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_Toc139442744 \h </w:instrText>
      </w:r>
      <w:r>
        <w:fldChar w:fldCharType="separate"/>
      </w:r>
      <w:r w:rsidR="00991CD5">
        <w:t>15</w:t>
      </w:r>
      <w:r>
        <w:fldChar w:fldCharType="end"/>
      </w:r>
    </w:p>
    <w:p w:rsidR="00457B8F" w:rsidRDefault="00AC6540">
      <w:pPr>
        <w:pStyle w:val="TOC2"/>
        <w:tabs>
          <w:tab w:val="right" w:leader="dot" w:pos="7086"/>
        </w:tabs>
        <w:rPr>
          <w:b w:val="0"/>
          <w:sz w:val="24"/>
          <w:szCs w:val="24"/>
        </w:rPr>
      </w:pPr>
      <w:r>
        <w:rPr>
          <w:szCs w:val="30"/>
        </w:rPr>
        <w:t>Part III — Registrable goods</w:t>
      </w:r>
    </w:p>
    <w:p w:rsidR="00457B8F" w:rsidRDefault="00AC6540">
      <w:pPr>
        <w:pStyle w:val="TOC8"/>
        <w:rPr>
          <w:sz w:val="24"/>
          <w:szCs w:val="24"/>
        </w:rPr>
      </w:pPr>
      <w:r>
        <w:rPr>
          <w:szCs w:val="24"/>
        </w:rPr>
        <w:t>13</w:t>
      </w:r>
      <w:r>
        <w:rPr>
          <w:snapToGrid w:val="0"/>
          <w:szCs w:val="24"/>
        </w:rPr>
        <w:t>.</w:t>
      </w:r>
      <w:r>
        <w:rPr>
          <w:snapToGrid w:val="0"/>
          <w:szCs w:val="24"/>
        </w:rPr>
        <w:tab/>
        <w:t>Application of Part</w:t>
      </w:r>
      <w:r>
        <w:tab/>
      </w:r>
      <w:r>
        <w:fldChar w:fldCharType="begin"/>
      </w:r>
      <w:r>
        <w:instrText xml:space="preserve"> PAGEREF _Toc139442746 \h </w:instrText>
      </w:r>
      <w:r>
        <w:fldChar w:fldCharType="separate"/>
      </w:r>
      <w:r w:rsidR="00991CD5">
        <w:t>16</w:t>
      </w:r>
      <w:r>
        <w:fldChar w:fldCharType="end"/>
      </w:r>
    </w:p>
    <w:p w:rsidR="00457B8F" w:rsidRDefault="00AC6540">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_Toc139442747 \h </w:instrText>
      </w:r>
      <w:r>
        <w:fldChar w:fldCharType="separate"/>
      </w:r>
      <w:r w:rsidR="00991CD5">
        <w:t>16</w:t>
      </w:r>
      <w:r>
        <w:fldChar w:fldCharType="end"/>
      </w:r>
    </w:p>
    <w:p w:rsidR="00457B8F" w:rsidRDefault="00AC6540">
      <w:pPr>
        <w:pStyle w:val="TOC8"/>
        <w:rPr>
          <w:sz w:val="24"/>
          <w:szCs w:val="24"/>
        </w:rPr>
      </w:pPr>
      <w:r>
        <w:rPr>
          <w:szCs w:val="24"/>
        </w:rPr>
        <w:t>15</w:t>
      </w:r>
      <w:r>
        <w:rPr>
          <w:snapToGrid w:val="0"/>
          <w:szCs w:val="24"/>
        </w:rPr>
        <w:t>.</w:t>
      </w:r>
      <w:r>
        <w:rPr>
          <w:snapToGrid w:val="0"/>
          <w:szCs w:val="24"/>
        </w:rPr>
        <w:tab/>
        <w:t>Registration of security interest</w:t>
      </w:r>
      <w:r>
        <w:tab/>
      </w:r>
      <w:r>
        <w:fldChar w:fldCharType="begin"/>
      </w:r>
      <w:r>
        <w:instrText xml:space="preserve"> PAGEREF _Toc139442748 \h </w:instrText>
      </w:r>
      <w:r>
        <w:fldChar w:fldCharType="separate"/>
      </w:r>
      <w:r w:rsidR="00991CD5">
        <w:t>16</w:t>
      </w:r>
      <w:r>
        <w:fldChar w:fldCharType="end"/>
      </w:r>
    </w:p>
    <w:p w:rsidR="00457B8F" w:rsidRDefault="00AC6540">
      <w:pPr>
        <w:pStyle w:val="TOC8"/>
        <w:rPr>
          <w:sz w:val="24"/>
          <w:szCs w:val="24"/>
        </w:rPr>
      </w:pPr>
      <w:r>
        <w:rPr>
          <w:szCs w:val="24"/>
        </w:rPr>
        <w:t>16</w:t>
      </w:r>
      <w:r>
        <w:rPr>
          <w:snapToGrid w:val="0"/>
          <w:szCs w:val="24"/>
        </w:rPr>
        <w:t>.</w:t>
      </w:r>
      <w:r>
        <w:rPr>
          <w:snapToGrid w:val="0"/>
          <w:szCs w:val="24"/>
        </w:rPr>
        <w:tab/>
        <w:t>Offence</w:t>
      </w:r>
      <w:r>
        <w:tab/>
      </w:r>
      <w:r>
        <w:fldChar w:fldCharType="begin"/>
      </w:r>
      <w:r>
        <w:instrText xml:space="preserve"> PAGEREF _Toc139442749 \h </w:instrText>
      </w:r>
      <w:r>
        <w:fldChar w:fldCharType="separate"/>
      </w:r>
      <w:r w:rsidR="00991CD5">
        <w:t>17</w:t>
      </w:r>
      <w:r>
        <w:fldChar w:fldCharType="end"/>
      </w:r>
    </w:p>
    <w:p w:rsidR="00457B8F" w:rsidRDefault="00AC6540">
      <w:pPr>
        <w:pStyle w:val="TOC8"/>
        <w:rPr>
          <w:sz w:val="24"/>
          <w:szCs w:val="24"/>
        </w:rPr>
      </w:pPr>
      <w:r>
        <w:rPr>
          <w:szCs w:val="24"/>
        </w:rPr>
        <w:t>17</w:t>
      </w:r>
      <w:r>
        <w:rPr>
          <w:snapToGrid w:val="0"/>
          <w:szCs w:val="24"/>
        </w:rPr>
        <w:t>.</w:t>
      </w:r>
      <w:r>
        <w:rPr>
          <w:snapToGrid w:val="0"/>
          <w:szCs w:val="24"/>
        </w:rPr>
        <w:tab/>
        <w:t>Cancellation of registration</w:t>
      </w:r>
      <w:r>
        <w:tab/>
      </w:r>
      <w:r>
        <w:fldChar w:fldCharType="begin"/>
      </w:r>
      <w:r>
        <w:instrText xml:space="preserve"> PAGEREF _Toc139442750 \h </w:instrText>
      </w:r>
      <w:r>
        <w:fldChar w:fldCharType="separate"/>
      </w:r>
      <w:r w:rsidR="00991CD5">
        <w:t>17</w:t>
      </w:r>
      <w:r>
        <w:fldChar w:fldCharType="end"/>
      </w:r>
    </w:p>
    <w:p w:rsidR="00457B8F" w:rsidRDefault="00AC6540">
      <w:pPr>
        <w:pStyle w:val="TOC8"/>
        <w:rPr>
          <w:sz w:val="24"/>
          <w:szCs w:val="24"/>
        </w:rPr>
      </w:pPr>
      <w:r>
        <w:rPr>
          <w:szCs w:val="24"/>
        </w:rPr>
        <w:t>18</w:t>
      </w:r>
      <w:r>
        <w:rPr>
          <w:snapToGrid w:val="0"/>
          <w:szCs w:val="24"/>
        </w:rPr>
        <w:t>.</w:t>
      </w:r>
      <w:r>
        <w:rPr>
          <w:snapToGrid w:val="0"/>
          <w:szCs w:val="24"/>
        </w:rPr>
        <w:tab/>
        <w:t>Discharge of registered security interest</w:t>
      </w:r>
      <w:r>
        <w:tab/>
      </w:r>
      <w:r>
        <w:fldChar w:fldCharType="begin"/>
      </w:r>
      <w:r>
        <w:instrText xml:space="preserve"> PAGEREF _Toc139442751 \h </w:instrText>
      </w:r>
      <w:r>
        <w:fldChar w:fldCharType="separate"/>
      </w:r>
      <w:r w:rsidR="00991CD5">
        <w:t>17</w:t>
      </w:r>
      <w:r>
        <w:fldChar w:fldCharType="end"/>
      </w:r>
    </w:p>
    <w:p w:rsidR="00457B8F" w:rsidRDefault="00AC6540">
      <w:pPr>
        <w:pStyle w:val="TOC8"/>
        <w:rPr>
          <w:sz w:val="24"/>
          <w:szCs w:val="24"/>
        </w:rPr>
      </w:pPr>
      <w:r>
        <w:rPr>
          <w:szCs w:val="24"/>
        </w:rPr>
        <w:t>19</w:t>
      </w:r>
      <w:r>
        <w:rPr>
          <w:snapToGrid w:val="0"/>
          <w:szCs w:val="24"/>
        </w:rPr>
        <w:t>.</w:t>
      </w:r>
      <w:r>
        <w:rPr>
          <w:snapToGrid w:val="0"/>
          <w:szCs w:val="24"/>
        </w:rPr>
        <w:tab/>
        <w:t>Commissioner to cancel registration</w:t>
      </w:r>
      <w:r>
        <w:tab/>
      </w:r>
      <w:r>
        <w:fldChar w:fldCharType="begin"/>
      </w:r>
      <w:r>
        <w:instrText xml:space="preserve"> PAGEREF _Toc139442752 \h </w:instrText>
      </w:r>
      <w:r>
        <w:fldChar w:fldCharType="separate"/>
      </w:r>
      <w:r w:rsidR="00991CD5">
        <w:t>18</w:t>
      </w:r>
      <w:r>
        <w:fldChar w:fldCharType="end"/>
      </w:r>
    </w:p>
    <w:p w:rsidR="00457B8F" w:rsidRDefault="00AC6540">
      <w:pPr>
        <w:pStyle w:val="TOC8"/>
        <w:rPr>
          <w:sz w:val="24"/>
          <w:szCs w:val="24"/>
        </w:rPr>
      </w:pPr>
      <w:r>
        <w:rPr>
          <w:szCs w:val="24"/>
        </w:rPr>
        <w:t>20</w:t>
      </w:r>
      <w:r>
        <w:rPr>
          <w:snapToGrid w:val="0"/>
          <w:szCs w:val="24"/>
        </w:rPr>
        <w:t>.</w:t>
      </w:r>
      <w:r>
        <w:rPr>
          <w:snapToGrid w:val="0"/>
          <w:szCs w:val="24"/>
        </w:rPr>
        <w:tab/>
        <w:t>Change in particulars</w:t>
      </w:r>
      <w:r>
        <w:tab/>
      </w:r>
      <w:r>
        <w:fldChar w:fldCharType="begin"/>
      </w:r>
      <w:r>
        <w:instrText xml:space="preserve"> PAGEREF _Toc139442753 \h </w:instrText>
      </w:r>
      <w:r>
        <w:fldChar w:fldCharType="separate"/>
      </w:r>
      <w:r w:rsidR="00991CD5">
        <w:t>18</w:t>
      </w:r>
      <w:r>
        <w:fldChar w:fldCharType="end"/>
      </w:r>
    </w:p>
    <w:p w:rsidR="00457B8F" w:rsidRDefault="00AC6540">
      <w:pPr>
        <w:pStyle w:val="TOC8"/>
        <w:rPr>
          <w:sz w:val="24"/>
          <w:szCs w:val="24"/>
        </w:rPr>
      </w:pPr>
      <w:r>
        <w:rPr>
          <w:szCs w:val="24"/>
        </w:rPr>
        <w:t>21</w:t>
      </w:r>
      <w:r>
        <w:rPr>
          <w:snapToGrid w:val="0"/>
          <w:szCs w:val="24"/>
        </w:rPr>
        <w:t>.</w:t>
      </w:r>
      <w:r>
        <w:rPr>
          <w:snapToGrid w:val="0"/>
          <w:szCs w:val="24"/>
        </w:rPr>
        <w:tab/>
        <w:t>Variation of particulars</w:t>
      </w:r>
      <w:r>
        <w:tab/>
      </w:r>
      <w:r>
        <w:fldChar w:fldCharType="begin"/>
      </w:r>
      <w:r>
        <w:instrText xml:space="preserve"> PAGEREF _Toc139442754 \h </w:instrText>
      </w:r>
      <w:r>
        <w:fldChar w:fldCharType="separate"/>
      </w:r>
      <w:r w:rsidR="00991CD5">
        <w:t>18</w:t>
      </w:r>
      <w:r>
        <w:fldChar w:fldCharType="end"/>
      </w:r>
    </w:p>
    <w:p w:rsidR="00457B8F" w:rsidRDefault="00AC6540">
      <w:pPr>
        <w:pStyle w:val="TOC8"/>
        <w:rPr>
          <w:sz w:val="24"/>
          <w:szCs w:val="24"/>
        </w:rPr>
      </w:pPr>
      <w:r>
        <w:rPr>
          <w:szCs w:val="24"/>
        </w:rPr>
        <w:t>22</w:t>
      </w:r>
      <w:r>
        <w:rPr>
          <w:snapToGrid w:val="0"/>
          <w:szCs w:val="24"/>
        </w:rPr>
        <w:t>.</w:t>
      </w:r>
      <w:r>
        <w:rPr>
          <w:snapToGrid w:val="0"/>
          <w:szCs w:val="24"/>
        </w:rPr>
        <w:tab/>
        <w:t>Commissioner may cancel registration</w:t>
      </w:r>
      <w:r>
        <w:tab/>
      </w:r>
      <w:r>
        <w:fldChar w:fldCharType="begin"/>
      </w:r>
      <w:r>
        <w:instrText xml:space="preserve"> PAGEREF _Toc139442755 \h </w:instrText>
      </w:r>
      <w:r>
        <w:fldChar w:fldCharType="separate"/>
      </w:r>
      <w:r w:rsidR="00991CD5">
        <w:t>18</w:t>
      </w:r>
      <w:r>
        <w:fldChar w:fldCharType="end"/>
      </w:r>
    </w:p>
    <w:p w:rsidR="00457B8F" w:rsidRDefault="00AC6540">
      <w:pPr>
        <w:pStyle w:val="TOC8"/>
        <w:rPr>
          <w:sz w:val="24"/>
          <w:szCs w:val="24"/>
        </w:rPr>
      </w:pPr>
      <w:r>
        <w:rPr>
          <w:szCs w:val="24"/>
        </w:rPr>
        <w:t>23</w:t>
      </w:r>
      <w:r>
        <w:rPr>
          <w:snapToGrid w:val="0"/>
          <w:szCs w:val="24"/>
        </w:rPr>
        <w:t>.</w:t>
      </w:r>
      <w:r>
        <w:rPr>
          <w:snapToGrid w:val="0"/>
          <w:szCs w:val="24"/>
        </w:rPr>
        <w:tab/>
        <w:t>Details of entries</w:t>
      </w:r>
      <w:r>
        <w:tab/>
      </w:r>
      <w:r>
        <w:fldChar w:fldCharType="begin"/>
      </w:r>
      <w:r>
        <w:instrText xml:space="preserve"> PAGEREF _Toc139442756 \h </w:instrText>
      </w:r>
      <w:r>
        <w:fldChar w:fldCharType="separate"/>
      </w:r>
      <w:r w:rsidR="00991CD5">
        <w:t>19</w:t>
      </w:r>
      <w:r>
        <w:fldChar w:fldCharType="end"/>
      </w:r>
    </w:p>
    <w:p w:rsidR="00457B8F" w:rsidRDefault="00AC6540">
      <w:pPr>
        <w:pStyle w:val="TOC8"/>
        <w:rPr>
          <w:sz w:val="24"/>
          <w:szCs w:val="24"/>
        </w:rPr>
      </w:pPr>
      <w:r>
        <w:rPr>
          <w:szCs w:val="24"/>
        </w:rPr>
        <w:t>24</w:t>
      </w:r>
      <w:r>
        <w:rPr>
          <w:snapToGrid w:val="0"/>
          <w:szCs w:val="24"/>
        </w:rPr>
        <w:t>.</w:t>
      </w:r>
      <w:r>
        <w:rPr>
          <w:snapToGrid w:val="0"/>
          <w:szCs w:val="24"/>
        </w:rPr>
        <w:tab/>
        <w:t>Compensation for extinguishment of security interest</w:t>
      </w:r>
      <w:r>
        <w:tab/>
      </w:r>
      <w:r>
        <w:fldChar w:fldCharType="begin"/>
      </w:r>
      <w:r>
        <w:instrText xml:space="preserve"> PAGEREF _Toc139442757 \h </w:instrText>
      </w:r>
      <w:r>
        <w:fldChar w:fldCharType="separate"/>
      </w:r>
      <w:r w:rsidR="00991CD5">
        <w:t>20</w:t>
      </w:r>
      <w:r>
        <w:fldChar w:fldCharType="end"/>
      </w:r>
    </w:p>
    <w:p w:rsidR="00457B8F" w:rsidRDefault="00AC6540">
      <w:pPr>
        <w:pStyle w:val="TOC8"/>
        <w:rPr>
          <w:sz w:val="24"/>
          <w:szCs w:val="24"/>
        </w:rPr>
      </w:pPr>
      <w:r>
        <w:rPr>
          <w:szCs w:val="24"/>
        </w:rPr>
        <w:t>25</w:t>
      </w:r>
      <w:r>
        <w:rPr>
          <w:snapToGrid w:val="0"/>
          <w:szCs w:val="24"/>
        </w:rPr>
        <w:t>.</w:t>
      </w:r>
      <w:r>
        <w:rPr>
          <w:snapToGrid w:val="0"/>
          <w:szCs w:val="24"/>
        </w:rPr>
        <w:tab/>
        <w:t>Compensation where entry not shown on certificate</w:t>
      </w:r>
      <w:r>
        <w:tab/>
      </w:r>
      <w:r>
        <w:fldChar w:fldCharType="begin"/>
      </w:r>
      <w:r>
        <w:instrText xml:space="preserve"> PAGEREF _Toc139442758 \h </w:instrText>
      </w:r>
      <w:r>
        <w:fldChar w:fldCharType="separate"/>
      </w:r>
      <w:r w:rsidR="00991CD5">
        <w:t>21</w:t>
      </w:r>
      <w:r>
        <w:fldChar w:fldCharType="end"/>
      </w:r>
    </w:p>
    <w:p w:rsidR="00457B8F" w:rsidRDefault="00AC6540">
      <w:pPr>
        <w:pStyle w:val="TOC8"/>
        <w:rPr>
          <w:sz w:val="24"/>
          <w:szCs w:val="24"/>
        </w:rPr>
      </w:pPr>
      <w:r>
        <w:rPr>
          <w:szCs w:val="24"/>
        </w:rPr>
        <w:t>26</w:t>
      </w:r>
      <w:r>
        <w:rPr>
          <w:snapToGrid w:val="0"/>
          <w:szCs w:val="24"/>
        </w:rPr>
        <w:t>.</w:t>
      </w:r>
      <w:r>
        <w:rPr>
          <w:snapToGrid w:val="0"/>
          <w:szCs w:val="24"/>
        </w:rPr>
        <w:tab/>
        <w:t>Review by State Administrative Tribunal</w:t>
      </w:r>
      <w:r>
        <w:tab/>
      </w:r>
      <w:r>
        <w:fldChar w:fldCharType="begin"/>
      </w:r>
      <w:r>
        <w:instrText xml:space="preserve"> PAGEREF _Toc139442759 \h </w:instrText>
      </w:r>
      <w:r>
        <w:fldChar w:fldCharType="separate"/>
      </w:r>
      <w:r w:rsidR="00991CD5">
        <w:t>22</w:t>
      </w:r>
      <w:r>
        <w:fldChar w:fldCharType="end"/>
      </w:r>
    </w:p>
    <w:p w:rsidR="00457B8F" w:rsidRDefault="00AC6540">
      <w:pPr>
        <w:pStyle w:val="TOC2"/>
        <w:tabs>
          <w:tab w:val="right" w:leader="dot" w:pos="7086"/>
        </w:tabs>
        <w:rPr>
          <w:b w:val="0"/>
          <w:sz w:val="24"/>
          <w:szCs w:val="24"/>
        </w:rPr>
      </w:pPr>
      <w:r>
        <w:rPr>
          <w:szCs w:val="30"/>
        </w:rPr>
        <w:t>Part IV — Miscellaneous</w:t>
      </w:r>
    </w:p>
    <w:p w:rsidR="00457B8F" w:rsidRDefault="00AC6540">
      <w:pPr>
        <w:pStyle w:val="TOC8"/>
        <w:rPr>
          <w:sz w:val="24"/>
          <w:szCs w:val="24"/>
        </w:rPr>
      </w:pPr>
      <w:r>
        <w:rPr>
          <w:szCs w:val="24"/>
        </w:rPr>
        <w:t>29</w:t>
      </w:r>
      <w:r>
        <w:rPr>
          <w:snapToGrid w:val="0"/>
          <w:szCs w:val="24"/>
        </w:rPr>
        <w:t>.</w:t>
      </w:r>
      <w:r>
        <w:rPr>
          <w:snapToGrid w:val="0"/>
          <w:szCs w:val="24"/>
        </w:rPr>
        <w:tab/>
        <w:t>Appropriation</w:t>
      </w:r>
      <w:r>
        <w:tab/>
      </w:r>
      <w:r>
        <w:fldChar w:fldCharType="begin"/>
      </w:r>
      <w:r>
        <w:instrText xml:space="preserve"> PAGEREF _Toc139442761 \h </w:instrText>
      </w:r>
      <w:r>
        <w:fldChar w:fldCharType="separate"/>
      </w:r>
      <w:r w:rsidR="00991CD5">
        <w:t>24</w:t>
      </w:r>
      <w:r>
        <w:fldChar w:fldCharType="end"/>
      </w:r>
    </w:p>
    <w:p w:rsidR="00457B8F" w:rsidRDefault="00AC6540">
      <w:pPr>
        <w:pStyle w:val="TOC8"/>
        <w:rPr>
          <w:sz w:val="24"/>
          <w:szCs w:val="24"/>
        </w:rPr>
      </w:pPr>
      <w:r>
        <w:rPr>
          <w:szCs w:val="24"/>
        </w:rPr>
        <w:t>30</w:t>
      </w:r>
      <w:r>
        <w:rPr>
          <w:snapToGrid w:val="0"/>
          <w:szCs w:val="24"/>
        </w:rPr>
        <w:t>.</w:t>
      </w:r>
      <w:r>
        <w:rPr>
          <w:snapToGrid w:val="0"/>
          <w:szCs w:val="24"/>
        </w:rPr>
        <w:tab/>
        <w:t>Offence</w:t>
      </w:r>
      <w:r>
        <w:tab/>
      </w:r>
      <w:r>
        <w:fldChar w:fldCharType="begin"/>
      </w:r>
      <w:r>
        <w:instrText xml:space="preserve"> PAGEREF _Toc139442762 \h </w:instrText>
      </w:r>
      <w:r>
        <w:fldChar w:fldCharType="separate"/>
      </w:r>
      <w:r w:rsidR="00991CD5">
        <w:t>24</w:t>
      </w:r>
      <w:r>
        <w:fldChar w:fldCharType="end"/>
      </w:r>
    </w:p>
    <w:p w:rsidR="00457B8F" w:rsidRDefault="00AC6540">
      <w:pPr>
        <w:pStyle w:val="TOC8"/>
        <w:rPr>
          <w:sz w:val="24"/>
          <w:szCs w:val="24"/>
        </w:rPr>
      </w:pPr>
      <w:r>
        <w:rPr>
          <w:szCs w:val="24"/>
        </w:rPr>
        <w:t>30A.</w:t>
      </w:r>
      <w:r>
        <w:rPr>
          <w:szCs w:val="24"/>
        </w:rPr>
        <w:tab/>
        <w:t>Delegation by Commissioner</w:t>
      </w:r>
      <w:r>
        <w:tab/>
      </w:r>
      <w:r>
        <w:fldChar w:fldCharType="begin"/>
      </w:r>
      <w:r>
        <w:instrText xml:space="preserve"> PAGEREF _Toc139442763 \h </w:instrText>
      </w:r>
      <w:r>
        <w:fldChar w:fldCharType="separate"/>
      </w:r>
      <w:r w:rsidR="00991CD5">
        <w:t>25</w:t>
      </w:r>
      <w:r>
        <w:fldChar w:fldCharType="end"/>
      </w:r>
    </w:p>
    <w:p w:rsidR="00457B8F" w:rsidRDefault="00AC6540">
      <w:pPr>
        <w:pStyle w:val="TOC8"/>
        <w:rPr>
          <w:sz w:val="24"/>
          <w:szCs w:val="24"/>
        </w:rPr>
      </w:pPr>
      <w:r>
        <w:rPr>
          <w:szCs w:val="24"/>
        </w:rPr>
        <w:t>30B.</w:t>
      </w:r>
      <w:r>
        <w:rPr>
          <w:szCs w:val="24"/>
        </w:rPr>
        <w:tab/>
        <w:t>Information officially obtained to be confidential</w:t>
      </w:r>
      <w:r>
        <w:tab/>
      </w:r>
      <w:r>
        <w:fldChar w:fldCharType="begin"/>
      </w:r>
      <w:r>
        <w:instrText xml:space="preserve"> PAGEREF _Toc139442764 \h </w:instrText>
      </w:r>
      <w:r>
        <w:fldChar w:fldCharType="separate"/>
      </w:r>
      <w:r w:rsidR="00991CD5">
        <w:t>25</w:t>
      </w:r>
      <w:r>
        <w:fldChar w:fldCharType="end"/>
      </w:r>
    </w:p>
    <w:p w:rsidR="00457B8F" w:rsidRDefault="00AC6540">
      <w:pPr>
        <w:pStyle w:val="TOC8"/>
        <w:rPr>
          <w:sz w:val="24"/>
          <w:szCs w:val="24"/>
        </w:rPr>
      </w:pPr>
      <w:r>
        <w:rPr>
          <w:szCs w:val="24"/>
        </w:rPr>
        <w:t>30C.</w:t>
      </w:r>
      <w:r>
        <w:rPr>
          <w:szCs w:val="24"/>
        </w:rPr>
        <w:tab/>
        <w:t>Protection from liability for wrongdoing</w:t>
      </w:r>
      <w:r>
        <w:tab/>
      </w:r>
      <w:r>
        <w:fldChar w:fldCharType="begin"/>
      </w:r>
      <w:r>
        <w:instrText xml:space="preserve"> PAGEREF _Toc139442765 \h </w:instrText>
      </w:r>
      <w:r>
        <w:fldChar w:fldCharType="separate"/>
      </w:r>
      <w:r w:rsidR="00991CD5">
        <w:t>26</w:t>
      </w:r>
      <w:r>
        <w:fldChar w:fldCharType="end"/>
      </w:r>
    </w:p>
    <w:p w:rsidR="00457B8F" w:rsidRDefault="00AC6540">
      <w:pPr>
        <w:pStyle w:val="TOC8"/>
        <w:rPr>
          <w:sz w:val="24"/>
          <w:szCs w:val="24"/>
        </w:rPr>
      </w:pPr>
      <w:r>
        <w:rPr>
          <w:szCs w:val="24"/>
        </w:rPr>
        <w:t>30D.</w:t>
      </w:r>
      <w:r>
        <w:rPr>
          <w:szCs w:val="24"/>
        </w:rPr>
        <w:tab/>
        <w:t xml:space="preserve">Application of certain provisions of the </w:t>
      </w:r>
      <w:r>
        <w:rPr>
          <w:i/>
          <w:szCs w:val="24"/>
        </w:rPr>
        <w:t>Consumer Affairs Act 1971</w:t>
      </w:r>
      <w:r>
        <w:tab/>
      </w:r>
      <w:r>
        <w:fldChar w:fldCharType="begin"/>
      </w:r>
      <w:r>
        <w:instrText xml:space="preserve"> PAGEREF _Toc139442766 \h </w:instrText>
      </w:r>
      <w:r>
        <w:fldChar w:fldCharType="separate"/>
      </w:r>
      <w:r w:rsidR="00991CD5">
        <w:t>26</w:t>
      </w:r>
      <w:r>
        <w:fldChar w:fldCharType="end"/>
      </w:r>
    </w:p>
    <w:p w:rsidR="00457B8F" w:rsidRDefault="00AC6540">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_Toc139442767 \h </w:instrText>
      </w:r>
      <w:r>
        <w:fldChar w:fldCharType="separate"/>
      </w:r>
      <w:r w:rsidR="00991CD5">
        <w:t>27</w:t>
      </w:r>
      <w:r>
        <w:fldChar w:fldCharType="end"/>
      </w:r>
    </w:p>
    <w:p w:rsidR="00457B8F" w:rsidRDefault="00AC6540">
      <w:pPr>
        <w:pStyle w:val="TOC2"/>
        <w:tabs>
          <w:tab w:val="right" w:leader="dot" w:pos="7086"/>
        </w:tabs>
        <w:rPr>
          <w:b w:val="0"/>
          <w:sz w:val="24"/>
          <w:szCs w:val="24"/>
        </w:rPr>
      </w:pPr>
      <w:r>
        <w:rPr>
          <w:szCs w:val="26"/>
        </w:rPr>
        <w:t>Notes</w:t>
      </w:r>
    </w:p>
    <w:p w:rsidR="00457B8F" w:rsidRDefault="00AC6540">
      <w:pPr>
        <w:pStyle w:val="TOC8"/>
        <w:rPr>
          <w:sz w:val="24"/>
          <w:szCs w:val="24"/>
        </w:rPr>
      </w:pPr>
      <w:r>
        <w:rPr>
          <w:snapToGrid w:val="0"/>
          <w:szCs w:val="24"/>
        </w:rPr>
        <w:tab/>
        <w:t>Compilation table</w:t>
      </w:r>
      <w:r>
        <w:tab/>
      </w:r>
      <w:r>
        <w:fldChar w:fldCharType="begin"/>
      </w:r>
      <w:r>
        <w:instrText xml:space="preserve"> PAGEREF _Toc139442769 \h </w:instrText>
      </w:r>
      <w:r>
        <w:fldChar w:fldCharType="separate"/>
      </w:r>
      <w:r w:rsidR="00991CD5">
        <w:t>28</w:t>
      </w:r>
      <w:r>
        <w:fldChar w:fldCharType="end"/>
      </w:r>
    </w:p>
    <w:p w:rsidR="00457B8F" w:rsidRDefault="00AC6540">
      <w:pPr>
        <w:pStyle w:val="TOC8"/>
        <w:rPr>
          <w:sz w:val="24"/>
        </w:rPr>
      </w:pPr>
      <w:r>
        <w:tab/>
        <w:t>Provisions that have not come into operation</w:t>
      </w:r>
      <w:r>
        <w:tab/>
      </w:r>
      <w:r>
        <w:fldChar w:fldCharType="begin"/>
      </w:r>
      <w:r>
        <w:instrText xml:space="preserve"> PAGEREF _Toc139442770 \h </w:instrText>
      </w:r>
      <w:r>
        <w:fldChar w:fldCharType="separate"/>
      </w:r>
      <w:r w:rsidR="00991CD5">
        <w:t>29</w:t>
      </w:r>
      <w:r>
        <w:fldChar w:fldCharType="end"/>
      </w:r>
    </w:p>
    <w:p w:rsidR="00457B8F" w:rsidRDefault="00AC6540">
      <w:pPr>
        <w:pStyle w:val="NoteHeading"/>
      </w:pPr>
      <w:r>
        <w:fldChar w:fldCharType="end"/>
      </w:r>
    </w:p>
    <w:p w:rsidR="00457B8F" w:rsidRDefault="00457B8F">
      <w:pPr>
        <w:pStyle w:val="NoteHeading"/>
        <w:sectPr w:rsidR="00457B8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57B8F" w:rsidRDefault="00AC6540">
      <w:pPr>
        <w:pStyle w:val="WA"/>
      </w:pPr>
      <w:r>
        <w:t>Western Australia</w:t>
      </w:r>
    </w:p>
    <w:p w:rsidR="00457B8F" w:rsidRDefault="00AC6540">
      <w:pPr>
        <w:pStyle w:val="NameofActReg"/>
        <w:spacing w:before="960" w:after="1440"/>
      </w:pPr>
      <w:r>
        <w:t xml:space="preserve">Chattel Securities Act 1987 </w:t>
      </w:r>
    </w:p>
    <w:p w:rsidR="00457B8F" w:rsidRDefault="00AC6540">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rsidR="00457B8F" w:rsidRDefault="00AC6540">
      <w:pPr>
        <w:pStyle w:val="Heading2"/>
      </w:pPr>
      <w:bookmarkStart w:id="2" w:name="_Toc92444753"/>
      <w:bookmarkStart w:id="3" w:name="_Toc130956216"/>
      <w:bookmarkStart w:id="4" w:name="_Toc131319006"/>
      <w:bookmarkStart w:id="5" w:name="_Toc131319315"/>
      <w:bookmarkStart w:id="6" w:name="_Toc131319350"/>
      <w:bookmarkStart w:id="7" w:name="_Toc131319385"/>
      <w:bookmarkStart w:id="8" w:name="_Toc131319420"/>
      <w:bookmarkStart w:id="9" w:name="_Toc131319455"/>
      <w:bookmarkStart w:id="10" w:name="_Toc131926487"/>
      <w:bookmarkStart w:id="11" w:name="_Toc131926565"/>
      <w:bookmarkStart w:id="12" w:name="_Toc131926636"/>
      <w:bookmarkStart w:id="13" w:name="_Toc131926671"/>
      <w:bookmarkStart w:id="14" w:name="_Toc131927033"/>
      <w:bookmarkStart w:id="15" w:name="_Toc132433599"/>
      <w:bookmarkStart w:id="16" w:name="_Toc132434838"/>
      <w:bookmarkStart w:id="17" w:name="_Toc133139927"/>
      <w:bookmarkStart w:id="18" w:name="_Toc135464355"/>
      <w:bookmarkStart w:id="19" w:name="_Toc139343838"/>
      <w:bookmarkStart w:id="20" w:name="_Toc13944273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rsidR="00457B8F" w:rsidRDefault="00AC6540">
      <w:pPr>
        <w:pStyle w:val="Heading5"/>
        <w:rPr>
          <w:snapToGrid w:val="0"/>
        </w:rPr>
      </w:pPr>
      <w:bookmarkStart w:id="21" w:name="_Toc11488831"/>
      <w:bookmarkStart w:id="22" w:name="_Toc131926488"/>
      <w:bookmarkStart w:id="23" w:name="_Toc131926566"/>
      <w:bookmarkStart w:id="24" w:name="_Toc131926672"/>
      <w:bookmarkStart w:id="25" w:name="_Toc139442731"/>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rsidR="00457B8F" w:rsidRDefault="00AC6540">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rsidR="00457B8F" w:rsidRDefault="00AC6540">
      <w:pPr>
        <w:pStyle w:val="Heading5"/>
        <w:rPr>
          <w:snapToGrid w:val="0"/>
        </w:rPr>
      </w:pPr>
      <w:bookmarkStart w:id="26" w:name="_Toc11488832"/>
      <w:bookmarkStart w:id="27" w:name="_Toc131926489"/>
      <w:bookmarkStart w:id="28" w:name="_Toc131926567"/>
      <w:bookmarkStart w:id="29" w:name="_Toc131926673"/>
      <w:bookmarkStart w:id="30" w:name="_Toc139442732"/>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rsidR="00457B8F" w:rsidRDefault="00AC6540">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rsidR="00457B8F" w:rsidRDefault="00AC6540">
      <w:pPr>
        <w:pStyle w:val="Heading5"/>
        <w:rPr>
          <w:snapToGrid w:val="0"/>
        </w:rPr>
      </w:pPr>
      <w:bookmarkStart w:id="31" w:name="_Toc11488833"/>
      <w:bookmarkStart w:id="32" w:name="_Toc131926490"/>
      <w:bookmarkStart w:id="33" w:name="_Toc131926568"/>
      <w:bookmarkStart w:id="34" w:name="_Toc131926674"/>
      <w:bookmarkStart w:id="35" w:name="_Toc139442733"/>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rsidR="00457B8F" w:rsidRDefault="00AC6540">
      <w:pPr>
        <w:pStyle w:val="Subsection"/>
        <w:rPr>
          <w:snapToGrid w:val="0"/>
        </w:rPr>
      </w:pPr>
      <w:r>
        <w:rPr>
          <w:snapToGrid w:val="0"/>
        </w:rPr>
        <w:tab/>
        <w:t>(1)</w:t>
      </w:r>
      <w:r>
        <w:rPr>
          <w:snapToGrid w:val="0"/>
        </w:rPr>
        <w:tab/>
        <w:t>In this Act — </w:t>
      </w:r>
    </w:p>
    <w:p w:rsidR="00457B8F" w:rsidRDefault="00AC6540">
      <w:pPr>
        <w:pStyle w:val="Defstart"/>
      </w:pPr>
      <w:r>
        <w:rPr>
          <w:b/>
        </w:rPr>
        <w:tab/>
        <w:t>“</w:t>
      </w:r>
      <w:r>
        <w:rPr>
          <w:rStyle w:val="CharDefText"/>
        </w:rPr>
        <w:t>approved form</w:t>
      </w:r>
      <w:r>
        <w:rPr>
          <w:b/>
        </w:rPr>
        <w:t>”</w:t>
      </w:r>
      <w:r>
        <w:t xml:space="preserve"> means a form approved for that purpose by the Commissioner;</w:t>
      </w:r>
    </w:p>
    <w:p w:rsidR="00457B8F" w:rsidRDefault="00AC6540">
      <w:pPr>
        <w:pStyle w:val="Defstart"/>
      </w:pPr>
      <w:r>
        <w:rPr>
          <w:b/>
        </w:rPr>
        <w:tab/>
        <w:t>“</w:t>
      </w:r>
      <w:r>
        <w:rPr>
          <w:rStyle w:val="CharDefText"/>
        </w:rPr>
        <w:t>commercial vehicle</w:t>
      </w:r>
      <w:r>
        <w:rPr>
          <w:b/>
        </w:rPr>
        <w:t>”</w:t>
      </w:r>
      <w:r>
        <w:t xml:space="preserve"> has the same meaning as in the </w:t>
      </w:r>
      <w:r>
        <w:rPr>
          <w:i/>
        </w:rPr>
        <w:t>Credit Act 1984</w:t>
      </w:r>
      <w:r>
        <w:t>;</w:t>
      </w:r>
    </w:p>
    <w:p w:rsidR="00457B8F" w:rsidRDefault="00AC6540">
      <w:pPr>
        <w:pStyle w:val="Defstart"/>
      </w:pPr>
      <w:r>
        <w:tab/>
      </w:r>
      <w:r>
        <w:rPr>
          <w:b/>
        </w:rPr>
        <w:t>“</w:t>
      </w:r>
      <w:r>
        <w:rPr>
          <w:rStyle w:val="CharDefText"/>
        </w:rPr>
        <w:t>Commissioner</w:t>
      </w:r>
      <w:r>
        <w:rPr>
          <w:b/>
        </w:rPr>
        <w:t>”</w:t>
      </w:r>
      <w:r>
        <w:t xml:space="preserve"> means the person for the time being designated as the Commissioner under section 3A;</w:t>
      </w:r>
    </w:p>
    <w:p w:rsidR="00457B8F" w:rsidRDefault="00AC6540">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rsidR="00457B8F" w:rsidRDefault="00AC6540">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rsidR="00457B8F" w:rsidRDefault="00AC6540">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rsidR="00457B8F" w:rsidRDefault="00AC6540">
      <w:pPr>
        <w:pStyle w:val="Defstart"/>
      </w:pPr>
      <w:r>
        <w:rPr>
          <w:b/>
        </w:rPr>
        <w:tab/>
        <w:t>“</w:t>
      </w:r>
      <w:r>
        <w:rPr>
          <w:rStyle w:val="CharDefText"/>
        </w:rPr>
        <w:t>farm machinery</w:t>
      </w:r>
      <w:r>
        <w:rPr>
          <w:b/>
        </w:rPr>
        <w:t>”</w:t>
      </w:r>
      <w:r>
        <w:t xml:space="preserve"> has the same meaning as in the </w:t>
      </w:r>
      <w:r>
        <w:rPr>
          <w:i/>
        </w:rPr>
        <w:t>Credit Act 1984</w:t>
      </w:r>
      <w:r>
        <w:t>;</w:t>
      </w:r>
    </w:p>
    <w:p w:rsidR="00457B8F" w:rsidRDefault="00AC6540">
      <w:pPr>
        <w:pStyle w:val="Defstart"/>
      </w:pPr>
      <w:r>
        <w:rPr>
          <w:b/>
        </w:rPr>
        <w:tab/>
        <w:t>“</w:t>
      </w:r>
      <w:r>
        <w:rPr>
          <w:rStyle w:val="CharDefText"/>
        </w:rPr>
        <w:t>goods</w:t>
      </w:r>
      <w:r>
        <w:rPr>
          <w:b/>
        </w:rPr>
        <w:t>”</w:t>
      </w:r>
      <w:r>
        <w:t xml:space="preserve"> includes all chattels personal and fixtures other than —</w:t>
      </w:r>
    </w:p>
    <w:p w:rsidR="00457B8F" w:rsidRDefault="00AC6540">
      <w:pPr>
        <w:pStyle w:val="Defpara"/>
      </w:pPr>
      <w:r>
        <w:tab/>
        <w:t>(a)</w:t>
      </w:r>
      <w:r>
        <w:tab/>
        <w:t>things in action and money;</w:t>
      </w:r>
    </w:p>
    <w:p w:rsidR="00457B8F" w:rsidRDefault="00AC6540">
      <w:pPr>
        <w:pStyle w:val="Defpara"/>
      </w:pPr>
      <w:r>
        <w:tab/>
        <w:t>(b)</w:t>
      </w:r>
      <w:r>
        <w:tab/>
        <w:t>ships registered in an official register kept under a law in force in Western Australia relating to title to ships;</w:t>
      </w:r>
    </w:p>
    <w:p w:rsidR="00457B8F" w:rsidRDefault="00AC6540">
      <w:pPr>
        <w:pStyle w:val="Defpara"/>
      </w:pPr>
      <w:r>
        <w:tab/>
        <w:t>(c)</w:t>
      </w:r>
      <w:r>
        <w:tab/>
        <w:t>aircraft;</w:t>
      </w:r>
    </w:p>
    <w:p w:rsidR="00457B8F" w:rsidRDefault="00AC6540">
      <w:pPr>
        <w:pStyle w:val="Defpara"/>
      </w:pPr>
      <w:r>
        <w:tab/>
        <w:t>(d)</w:t>
      </w:r>
      <w:r>
        <w:tab/>
        <w:t>livestock, unshorn wool and growing crops;</w:t>
      </w:r>
    </w:p>
    <w:p w:rsidR="00457B8F" w:rsidRDefault="00AC6540">
      <w:pPr>
        <w:pStyle w:val="Defpara"/>
      </w:pPr>
      <w:r>
        <w:tab/>
        <w:t>(e)</w:t>
      </w:r>
      <w:r>
        <w:tab/>
        <w:t xml:space="preserve">to the extent of rights expressly conferred on a registered security under the </w:t>
      </w:r>
      <w:r>
        <w:rPr>
          <w:i/>
        </w:rPr>
        <w:t>Bills of Sale Act 1899</w:t>
      </w:r>
      <w:r>
        <w:t xml:space="preserve"> shorn wool and harvested crops; and</w:t>
      </w:r>
    </w:p>
    <w:p w:rsidR="00457B8F" w:rsidRDefault="00AC6540">
      <w:pPr>
        <w:pStyle w:val="Defpara"/>
      </w:pPr>
      <w:r>
        <w:tab/>
        <w:t>(f)</w:t>
      </w:r>
      <w:r>
        <w:tab/>
        <w:t>documents of title;</w:t>
      </w:r>
    </w:p>
    <w:p w:rsidR="00457B8F" w:rsidRDefault="00AC6540">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rsidR="00457B8F" w:rsidRDefault="00AC6540">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rsidR="00457B8F" w:rsidRDefault="00AC6540">
      <w:pPr>
        <w:pStyle w:val="Defstart"/>
      </w:pPr>
      <w:r>
        <w:rPr>
          <w:b/>
        </w:rPr>
        <w:tab/>
        <w:t>“</w:t>
      </w:r>
      <w:r>
        <w:rPr>
          <w:rStyle w:val="CharDefText"/>
        </w:rPr>
        <w:t>inventory security interest</w:t>
      </w:r>
      <w:r>
        <w:rPr>
          <w:b/>
        </w:rPr>
        <w:t>”</w:t>
      </w:r>
      <w:r>
        <w:t xml:space="preserve"> means a security interest — </w:t>
      </w:r>
    </w:p>
    <w:p w:rsidR="00457B8F" w:rsidRDefault="00AC6540">
      <w:pPr>
        <w:pStyle w:val="Defpara"/>
      </w:pPr>
      <w:r>
        <w:tab/>
        <w:t>(a)</w:t>
      </w:r>
      <w:r>
        <w:tab/>
        <w:t>given by a dealer in or over goods of a kind in which the dealer deals in the course of the dealer’s business; or</w:t>
      </w:r>
    </w:p>
    <w:p w:rsidR="00457B8F" w:rsidRDefault="00AC6540">
      <w:pPr>
        <w:pStyle w:val="Defpara"/>
      </w:pPr>
      <w:r>
        <w:tab/>
        <w:t>(b)</w:t>
      </w:r>
      <w:r>
        <w:tab/>
        <w:t>reserved in or over goods in the possession or control of a dealer, being goods of a kind in which the dealer deals in the course of the dealer’s business;</w:t>
      </w:r>
    </w:p>
    <w:p w:rsidR="00457B8F" w:rsidRDefault="00AC6540">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rsidR="00457B8F" w:rsidRDefault="00AC6540">
      <w:pPr>
        <w:pStyle w:val="Defpara"/>
      </w:pPr>
      <w:r>
        <w:tab/>
        <w:t>(a)</w:t>
      </w:r>
      <w:r>
        <w:tab/>
        <w:t>a hire</w:t>
      </w:r>
      <w:r>
        <w:noBreakHyphen/>
        <w:t>purchase agreement; or</w:t>
      </w:r>
    </w:p>
    <w:p w:rsidR="00457B8F" w:rsidRDefault="00AC6540">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rsidR="00457B8F" w:rsidRDefault="00AC6540">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rsidR="00457B8F" w:rsidRDefault="00AC6540">
      <w:pPr>
        <w:pStyle w:val="Defstart"/>
      </w:pPr>
      <w:r>
        <w:rPr>
          <w:b/>
        </w:rPr>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rsidR="00457B8F" w:rsidRDefault="00AC6540">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rsidR="00457B8F" w:rsidRDefault="00AC6540">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rsidR="00457B8F" w:rsidRDefault="00AC6540">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rsidR="00457B8F" w:rsidRDefault="00AC6540">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rsidR="00457B8F" w:rsidRDefault="00AC6540">
      <w:pPr>
        <w:pStyle w:val="Defstart"/>
      </w:pPr>
      <w:r>
        <w:rPr>
          <w:b/>
        </w:rPr>
        <w:tab/>
        <w:t>“</w:t>
      </w:r>
      <w:r>
        <w:rPr>
          <w:rStyle w:val="CharDefText"/>
        </w:rPr>
        <w:t>purchaser</w:t>
      </w:r>
      <w:r>
        <w:rPr>
          <w:b/>
        </w:rPr>
        <w:t>”</w:t>
      </w:r>
      <w:r>
        <w:t xml:space="preserve"> means a person who purchases goods but excludes — </w:t>
      </w:r>
    </w:p>
    <w:p w:rsidR="00457B8F" w:rsidRDefault="00AC6540">
      <w:pPr>
        <w:pStyle w:val="Defpara"/>
      </w:pPr>
      <w:r>
        <w:tab/>
        <w:t>(a)</w:t>
      </w:r>
      <w:r>
        <w:tab/>
        <w:t>secured party not being a lessor, owner or other supplier of the goods under a lease, hire</w:t>
      </w:r>
      <w:r>
        <w:noBreakHyphen/>
        <w:t xml:space="preserve"> purchase agreement, or other contract for the supply of goods; or</w:t>
      </w:r>
    </w:p>
    <w:p w:rsidR="00457B8F" w:rsidRDefault="00AC6540">
      <w:pPr>
        <w:pStyle w:val="Defpara"/>
      </w:pPr>
      <w:r>
        <w:tab/>
        <w:t>(b)</w:t>
      </w:r>
      <w:r>
        <w:tab/>
        <w:t>in relation to unregistrable goods, a dealer;</w:t>
      </w:r>
    </w:p>
    <w:p w:rsidR="00457B8F" w:rsidRDefault="00AC6540">
      <w:pPr>
        <w:pStyle w:val="Defstart"/>
      </w:pPr>
      <w:r>
        <w:rPr>
          <w:b/>
        </w:rPr>
        <w:tab/>
        <w:t>“</w:t>
      </w:r>
      <w:r>
        <w:rPr>
          <w:rStyle w:val="CharDefText"/>
        </w:rPr>
        <w:t>register</w:t>
      </w:r>
      <w:r>
        <w:rPr>
          <w:b/>
        </w:rPr>
        <w:t>”</w:t>
      </w:r>
      <w:r>
        <w:t xml:space="preserve"> means of register kept under Part III;</w:t>
      </w:r>
    </w:p>
    <w:p w:rsidR="00457B8F" w:rsidRDefault="00AC6540">
      <w:pPr>
        <w:pStyle w:val="Defstart"/>
      </w:pPr>
      <w:r>
        <w:rPr>
          <w:b/>
        </w:rPr>
        <w:tab/>
        <w:t>“</w:t>
      </w:r>
      <w:r>
        <w:rPr>
          <w:rStyle w:val="CharDefText"/>
        </w:rPr>
        <w:t>registrable goods</w:t>
      </w:r>
      <w:r>
        <w:rPr>
          <w:b/>
        </w:rPr>
        <w:t>”</w:t>
      </w:r>
      <w:r>
        <w:t xml:space="preserve"> means goods to which Part III applies;</w:t>
      </w:r>
    </w:p>
    <w:p w:rsidR="00457B8F" w:rsidRDefault="00AC6540">
      <w:pPr>
        <w:pStyle w:val="Defstart"/>
      </w:pPr>
      <w:r>
        <w:rPr>
          <w:b/>
        </w:rPr>
        <w:tab/>
        <w:t>“</w:t>
      </w:r>
      <w:r>
        <w:rPr>
          <w:rStyle w:val="CharDefText"/>
        </w:rPr>
        <w:t>registered</w:t>
      </w:r>
      <w:r>
        <w:rPr>
          <w:b/>
        </w:rPr>
        <w:t>”</w:t>
      </w:r>
      <w:r>
        <w:t xml:space="preserve"> means registered under Part III;</w:t>
      </w:r>
    </w:p>
    <w:p w:rsidR="00457B8F" w:rsidRDefault="00AC6540">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rsidR="00457B8F" w:rsidRDefault="00AC6540">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rsidR="00457B8F" w:rsidRDefault="00AC6540">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rsidR="00457B8F" w:rsidRDefault="00AC6540">
      <w:pPr>
        <w:pStyle w:val="Defstart"/>
      </w:pPr>
      <w:r>
        <w:rPr>
          <w:b/>
        </w:rPr>
        <w:tab/>
        <w:t>“</w:t>
      </w:r>
      <w:r>
        <w:rPr>
          <w:rStyle w:val="CharDefText"/>
        </w:rPr>
        <w:t>unregistrable goods</w:t>
      </w:r>
      <w:r>
        <w:rPr>
          <w:b/>
        </w:rPr>
        <w:t>”</w:t>
      </w:r>
      <w:r>
        <w:t xml:space="preserve"> means goods to which Part III does not apply;</w:t>
      </w:r>
    </w:p>
    <w:p w:rsidR="00457B8F" w:rsidRDefault="00AC6540">
      <w:pPr>
        <w:pStyle w:val="Defstart"/>
      </w:pPr>
      <w:r>
        <w:rPr>
          <w:b/>
        </w:rPr>
        <w:tab/>
        <w:t>“</w:t>
      </w:r>
      <w:r>
        <w:rPr>
          <w:rStyle w:val="CharDefText"/>
        </w:rPr>
        <w:t>unregistered security interest</w:t>
      </w:r>
      <w:r>
        <w:rPr>
          <w:b/>
        </w:rPr>
        <w:t>”</w:t>
      </w:r>
      <w:r>
        <w:t xml:space="preserve"> means a security interest which is not registered under Part III.</w:t>
      </w:r>
    </w:p>
    <w:p w:rsidR="00457B8F" w:rsidRDefault="00AC6540">
      <w:pPr>
        <w:pStyle w:val="Subsection"/>
        <w:rPr>
          <w:snapToGrid w:val="0"/>
        </w:rPr>
      </w:pPr>
      <w:r>
        <w:rPr>
          <w:snapToGrid w:val="0"/>
        </w:rPr>
        <w:tab/>
        <w:t>(2)</w:t>
      </w:r>
      <w:r>
        <w:rPr>
          <w:snapToGrid w:val="0"/>
        </w:rPr>
        <w:tab/>
        <w:t>This Act applies to a person to whom the rights and obligations of — </w:t>
      </w:r>
    </w:p>
    <w:p w:rsidR="00457B8F" w:rsidRDefault="00AC6540">
      <w:pPr>
        <w:pStyle w:val="Indenta"/>
        <w:rPr>
          <w:snapToGrid w:val="0"/>
        </w:rPr>
      </w:pPr>
      <w:r>
        <w:rPr>
          <w:snapToGrid w:val="0"/>
        </w:rPr>
        <w:tab/>
        <w:t>(a)</w:t>
      </w:r>
      <w:r>
        <w:rPr>
          <w:snapToGrid w:val="0"/>
        </w:rPr>
        <w:tab/>
        <w:t>a secured party; or</w:t>
      </w:r>
    </w:p>
    <w:p w:rsidR="00457B8F" w:rsidRDefault="00AC6540">
      <w:pPr>
        <w:pStyle w:val="Indenta"/>
        <w:rPr>
          <w:snapToGrid w:val="0"/>
        </w:rPr>
      </w:pPr>
      <w:r>
        <w:rPr>
          <w:snapToGrid w:val="0"/>
        </w:rPr>
        <w:tab/>
        <w:t>(b)</w:t>
      </w:r>
      <w:r>
        <w:rPr>
          <w:snapToGrid w:val="0"/>
        </w:rPr>
        <w:tab/>
        <w:t>a debtor,</w:t>
      </w:r>
    </w:p>
    <w:p w:rsidR="00457B8F" w:rsidRDefault="00AC6540">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rsidR="00457B8F" w:rsidRDefault="00AC6540">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rsidR="00457B8F" w:rsidRDefault="00AC6540">
      <w:pPr>
        <w:pStyle w:val="Subsection"/>
        <w:rPr>
          <w:snapToGrid w:val="0"/>
        </w:rPr>
      </w:pPr>
      <w:r>
        <w:rPr>
          <w:snapToGrid w:val="0"/>
        </w:rPr>
        <w:tab/>
        <w:t>(4)</w:t>
      </w:r>
      <w:r>
        <w:rPr>
          <w:snapToGrid w:val="0"/>
        </w:rPr>
        <w:tab/>
        <w:t>For the purposes of this Act — </w:t>
      </w:r>
    </w:p>
    <w:p w:rsidR="00457B8F" w:rsidRDefault="00AC6540">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rsidR="00457B8F" w:rsidRDefault="00AC6540">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rsidR="00457B8F" w:rsidRDefault="00AC6540">
      <w:pPr>
        <w:pStyle w:val="Subsection"/>
        <w:rPr>
          <w:snapToGrid w:val="0"/>
        </w:rPr>
      </w:pPr>
      <w:r>
        <w:rPr>
          <w:snapToGrid w:val="0"/>
        </w:rPr>
        <w:tab/>
        <w:t>(5)</w:t>
      </w:r>
      <w:r>
        <w:rPr>
          <w:snapToGrid w:val="0"/>
        </w:rPr>
        <w:tab/>
        <w:t>For the purposes of this Act, a person has notice of a security interest in goods — </w:t>
      </w:r>
    </w:p>
    <w:p w:rsidR="00457B8F" w:rsidRDefault="00AC6540">
      <w:pPr>
        <w:pStyle w:val="Indenta"/>
        <w:rPr>
          <w:snapToGrid w:val="0"/>
        </w:rPr>
      </w:pPr>
      <w:r>
        <w:rPr>
          <w:snapToGrid w:val="0"/>
        </w:rPr>
        <w:tab/>
        <w:t>(a)</w:t>
      </w:r>
      <w:r>
        <w:rPr>
          <w:snapToGrid w:val="0"/>
        </w:rPr>
        <w:tab/>
        <w:t>if the person has actual notice of the security interest; or</w:t>
      </w:r>
    </w:p>
    <w:p w:rsidR="00457B8F" w:rsidRDefault="00AC6540">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rsidR="00457B8F" w:rsidRDefault="00AC6540">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rsidR="00457B8F" w:rsidRDefault="00AC6540">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rsidR="00457B8F" w:rsidRDefault="00AC6540">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rsidR="00457B8F" w:rsidRDefault="00AC6540">
      <w:pPr>
        <w:pStyle w:val="Footnotesection"/>
      </w:pPr>
      <w:r>
        <w:tab/>
        <w:t>[Section 3 amended by No. 74 of 2003 s. 34; No. 55 of 2004 s. 104; No. 28 of 2006 s. 59.]</w:t>
      </w:r>
    </w:p>
    <w:p w:rsidR="00457B8F" w:rsidRDefault="00AC6540">
      <w:pPr>
        <w:pStyle w:val="Heading5"/>
      </w:pPr>
      <w:bookmarkStart w:id="36" w:name="_Toc138750732"/>
      <w:bookmarkStart w:id="37" w:name="_Toc139166473"/>
      <w:bookmarkStart w:id="38" w:name="_Toc139266193"/>
      <w:bookmarkStart w:id="39" w:name="_Toc139442734"/>
      <w:bookmarkStart w:id="40" w:name="_Toc92444757"/>
      <w:bookmarkStart w:id="41" w:name="_Toc130956220"/>
      <w:bookmarkStart w:id="42" w:name="_Toc131319010"/>
      <w:bookmarkStart w:id="43" w:name="_Toc131319319"/>
      <w:bookmarkStart w:id="44" w:name="_Toc131319354"/>
      <w:bookmarkStart w:id="45" w:name="_Toc131319389"/>
      <w:bookmarkStart w:id="46" w:name="_Toc131319424"/>
      <w:bookmarkStart w:id="47" w:name="_Toc131319459"/>
      <w:bookmarkStart w:id="48" w:name="_Toc131926491"/>
      <w:bookmarkStart w:id="49" w:name="_Toc131926569"/>
      <w:bookmarkStart w:id="50" w:name="_Toc131926640"/>
      <w:bookmarkStart w:id="51" w:name="_Toc131926675"/>
      <w:bookmarkStart w:id="52" w:name="_Toc131927037"/>
      <w:bookmarkStart w:id="53" w:name="_Toc132433603"/>
      <w:bookmarkStart w:id="54" w:name="_Toc132434842"/>
      <w:bookmarkStart w:id="55" w:name="_Toc133139931"/>
      <w:bookmarkStart w:id="56" w:name="_Toc135464359"/>
      <w:bookmarkStart w:id="57" w:name="_Toc139343842"/>
      <w:r>
        <w:rPr>
          <w:rStyle w:val="CharSectno"/>
        </w:rPr>
        <w:t>3A</w:t>
      </w:r>
      <w:r>
        <w:t>.</w:t>
      </w:r>
      <w:r>
        <w:tab/>
        <w:t>Commissioner</w:t>
      </w:r>
      <w:bookmarkEnd w:id="36"/>
      <w:bookmarkEnd w:id="37"/>
      <w:bookmarkEnd w:id="38"/>
      <w:bookmarkEnd w:id="39"/>
    </w:p>
    <w:p w:rsidR="00457B8F" w:rsidRDefault="00AC6540">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457B8F" w:rsidRDefault="00AC6540">
      <w:pPr>
        <w:pStyle w:val="Subsection"/>
      </w:pPr>
      <w:r>
        <w:tab/>
        <w:t>(2)</w:t>
      </w:r>
      <w:r>
        <w:tab/>
        <w:t xml:space="preserve">The Commissioner may be referred to by a title specified by the Minister by notice published in the </w:t>
      </w:r>
      <w:r>
        <w:rPr>
          <w:i/>
        </w:rPr>
        <w:t>Gazette</w:t>
      </w:r>
      <w:r>
        <w:t>.</w:t>
      </w:r>
    </w:p>
    <w:p w:rsidR="00457B8F" w:rsidRDefault="00AC6540">
      <w:pPr>
        <w:pStyle w:val="Subsection"/>
      </w:pPr>
      <w:r>
        <w:tab/>
        <w:t>(3)</w:t>
      </w:r>
      <w:r>
        <w:tab/>
        <w:t xml:space="preserve">In this section — </w:t>
      </w:r>
    </w:p>
    <w:p w:rsidR="00457B8F" w:rsidRDefault="00AC6540">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rsidR="00457B8F" w:rsidRDefault="00AC6540">
      <w:pPr>
        <w:pStyle w:val="Footnotesection"/>
      </w:pPr>
      <w:r>
        <w:tab/>
        <w:t>[Section 3A inserted by No. 28 of 2006 s. 60.]</w:t>
      </w:r>
    </w:p>
    <w:p w:rsidR="00457B8F" w:rsidRDefault="00AC6540">
      <w:pPr>
        <w:pStyle w:val="Heading2"/>
      </w:pPr>
      <w:bookmarkStart w:id="58" w:name="_Toc139442735"/>
      <w:r>
        <w:rPr>
          <w:rStyle w:val="CharPartNo"/>
        </w:rPr>
        <w:t>Part II</w:t>
      </w:r>
      <w:r>
        <w:rPr>
          <w:rStyle w:val="CharDivNo"/>
        </w:rPr>
        <w:t> </w:t>
      </w:r>
      <w:r>
        <w:t>—</w:t>
      </w:r>
      <w:r>
        <w:rPr>
          <w:rStyle w:val="CharDivText"/>
        </w:rPr>
        <w:t> </w:t>
      </w:r>
      <w:r>
        <w:rPr>
          <w:rStyle w:val="CharPartText"/>
        </w:rPr>
        <w:t>Security interests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rsidR="00457B8F" w:rsidRDefault="00AC6540">
      <w:pPr>
        <w:pStyle w:val="Heading5"/>
        <w:rPr>
          <w:snapToGrid w:val="0"/>
        </w:rPr>
      </w:pPr>
      <w:bookmarkStart w:id="59" w:name="_Toc11488834"/>
      <w:bookmarkStart w:id="60" w:name="_Toc131926492"/>
      <w:bookmarkStart w:id="61" w:name="_Toc131926570"/>
      <w:bookmarkStart w:id="62" w:name="_Toc131926676"/>
      <w:bookmarkStart w:id="63" w:name="_Toc139442736"/>
      <w:r>
        <w:rPr>
          <w:rStyle w:val="CharSectno"/>
        </w:rPr>
        <w:t>4</w:t>
      </w:r>
      <w:r>
        <w:rPr>
          <w:snapToGrid w:val="0"/>
        </w:rPr>
        <w:t>.</w:t>
      </w:r>
      <w:r>
        <w:rPr>
          <w:snapToGrid w:val="0"/>
        </w:rPr>
        <w:tab/>
        <w:t>Application of Part</w:t>
      </w:r>
      <w:bookmarkEnd w:id="59"/>
      <w:bookmarkEnd w:id="60"/>
      <w:bookmarkEnd w:id="61"/>
      <w:bookmarkEnd w:id="62"/>
      <w:bookmarkEnd w:id="63"/>
      <w:r>
        <w:rPr>
          <w:snapToGrid w:val="0"/>
        </w:rPr>
        <w:t xml:space="preserve"> </w:t>
      </w:r>
    </w:p>
    <w:p w:rsidR="00457B8F" w:rsidRDefault="00AC6540">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rsidR="00457B8F" w:rsidRDefault="00AC6540">
      <w:pPr>
        <w:pStyle w:val="Indenta"/>
        <w:rPr>
          <w:snapToGrid w:val="0"/>
        </w:rPr>
      </w:pPr>
      <w:r>
        <w:rPr>
          <w:snapToGrid w:val="0"/>
        </w:rPr>
        <w:tab/>
        <w:t>(a)</w:t>
      </w:r>
      <w:r>
        <w:rPr>
          <w:snapToGrid w:val="0"/>
        </w:rPr>
        <w:tab/>
        <w:t>are at the date of attachment of the security interest situated in Western Australia; or</w:t>
      </w:r>
    </w:p>
    <w:p w:rsidR="00457B8F" w:rsidRDefault="00AC6540">
      <w:pPr>
        <w:pStyle w:val="Indenta"/>
        <w:rPr>
          <w:snapToGrid w:val="0"/>
        </w:rPr>
      </w:pPr>
      <w:r>
        <w:rPr>
          <w:snapToGrid w:val="0"/>
        </w:rPr>
        <w:tab/>
        <w:t>(b)</w:t>
      </w:r>
      <w:r>
        <w:rPr>
          <w:snapToGrid w:val="0"/>
        </w:rPr>
        <w:tab/>
        <w:t>are for the time being situated in Western Australia.</w:t>
      </w:r>
    </w:p>
    <w:p w:rsidR="00457B8F" w:rsidRDefault="00AC6540">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rsidR="00457B8F" w:rsidRDefault="00AC6540">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rsidR="00457B8F" w:rsidRDefault="00AC6540">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rsidR="00457B8F" w:rsidRDefault="00AC6540">
      <w:pPr>
        <w:pStyle w:val="Heading5"/>
        <w:rPr>
          <w:snapToGrid w:val="0"/>
        </w:rPr>
      </w:pPr>
      <w:bookmarkStart w:id="64" w:name="_Toc11488835"/>
      <w:bookmarkStart w:id="65" w:name="_Toc131926493"/>
      <w:bookmarkStart w:id="66" w:name="_Toc131926571"/>
      <w:bookmarkStart w:id="67" w:name="_Toc131926677"/>
      <w:bookmarkStart w:id="68" w:name="_Toc139442737"/>
      <w:r>
        <w:rPr>
          <w:rStyle w:val="CharSectno"/>
        </w:rPr>
        <w:t>5</w:t>
      </w:r>
      <w:r>
        <w:rPr>
          <w:snapToGrid w:val="0"/>
        </w:rPr>
        <w:t>.</w:t>
      </w:r>
      <w:r>
        <w:rPr>
          <w:snapToGrid w:val="0"/>
        </w:rPr>
        <w:tab/>
        <w:t>Agreement that security interest is legal interest</w:t>
      </w:r>
      <w:bookmarkEnd w:id="64"/>
      <w:bookmarkEnd w:id="65"/>
      <w:bookmarkEnd w:id="66"/>
      <w:bookmarkEnd w:id="67"/>
      <w:bookmarkEnd w:id="68"/>
      <w:r>
        <w:rPr>
          <w:snapToGrid w:val="0"/>
        </w:rPr>
        <w:t xml:space="preserve"> </w:t>
      </w:r>
    </w:p>
    <w:p w:rsidR="00457B8F" w:rsidRDefault="00AC6540">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rsidR="00457B8F" w:rsidRDefault="00AC6540">
      <w:pPr>
        <w:pStyle w:val="Heading5"/>
        <w:rPr>
          <w:snapToGrid w:val="0"/>
        </w:rPr>
      </w:pPr>
      <w:bookmarkStart w:id="69" w:name="_Toc11488836"/>
      <w:bookmarkStart w:id="70" w:name="_Toc131926494"/>
      <w:bookmarkStart w:id="71" w:name="_Toc131926572"/>
      <w:bookmarkStart w:id="72" w:name="_Toc131926678"/>
      <w:bookmarkStart w:id="73" w:name="_Toc139442738"/>
      <w:r>
        <w:rPr>
          <w:rStyle w:val="CharSectno"/>
        </w:rPr>
        <w:t>6</w:t>
      </w:r>
      <w:r>
        <w:rPr>
          <w:snapToGrid w:val="0"/>
        </w:rPr>
        <w:t>.</w:t>
      </w:r>
      <w:r>
        <w:rPr>
          <w:snapToGrid w:val="0"/>
        </w:rPr>
        <w:tab/>
        <w:t>Fixtures</w:t>
      </w:r>
      <w:bookmarkEnd w:id="69"/>
      <w:bookmarkEnd w:id="70"/>
      <w:bookmarkEnd w:id="71"/>
      <w:bookmarkEnd w:id="72"/>
      <w:bookmarkEnd w:id="73"/>
      <w:r>
        <w:rPr>
          <w:snapToGrid w:val="0"/>
        </w:rPr>
        <w:t xml:space="preserve"> </w:t>
      </w:r>
    </w:p>
    <w:p w:rsidR="00457B8F" w:rsidRDefault="00AC6540">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rsidR="00457B8F" w:rsidRDefault="00AC6540">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rsidR="00457B8F" w:rsidRDefault="00AC6540">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rsidR="00457B8F" w:rsidRDefault="00AC6540">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rsidR="00457B8F" w:rsidRDefault="00AC6540">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rsidR="00457B8F" w:rsidRDefault="00AC6540">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rsidR="00457B8F" w:rsidRDefault="00AC6540">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rsidR="00457B8F" w:rsidRDefault="00AC6540">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rsidR="00457B8F" w:rsidRDefault="00AC6540">
      <w:pPr>
        <w:pStyle w:val="Heading5"/>
        <w:rPr>
          <w:snapToGrid w:val="0"/>
        </w:rPr>
      </w:pPr>
      <w:bookmarkStart w:id="74" w:name="_Toc11488837"/>
      <w:bookmarkStart w:id="75" w:name="_Toc131926495"/>
      <w:bookmarkStart w:id="76" w:name="_Toc131926573"/>
      <w:bookmarkStart w:id="77" w:name="_Toc131926679"/>
      <w:bookmarkStart w:id="78" w:name="_Toc139442739"/>
      <w:r>
        <w:rPr>
          <w:rStyle w:val="CharSectno"/>
        </w:rPr>
        <w:t>7</w:t>
      </w:r>
      <w:r>
        <w:rPr>
          <w:snapToGrid w:val="0"/>
        </w:rPr>
        <w:t>.</w:t>
      </w:r>
      <w:r>
        <w:rPr>
          <w:snapToGrid w:val="0"/>
        </w:rPr>
        <w:tab/>
        <w:t>Extinguishing of security interest</w:t>
      </w:r>
      <w:bookmarkEnd w:id="74"/>
      <w:bookmarkEnd w:id="75"/>
      <w:bookmarkEnd w:id="76"/>
      <w:bookmarkEnd w:id="77"/>
      <w:bookmarkEnd w:id="78"/>
      <w:r>
        <w:rPr>
          <w:snapToGrid w:val="0"/>
        </w:rPr>
        <w:t xml:space="preserve"> </w:t>
      </w:r>
    </w:p>
    <w:p w:rsidR="00457B8F" w:rsidRDefault="00AC6540">
      <w:pPr>
        <w:pStyle w:val="Subsection"/>
        <w:rPr>
          <w:snapToGrid w:val="0"/>
        </w:rPr>
      </w:pPr>
      <w:r>
        <w:rPr>
          <w:snapToGrid w:val="0"/>
        </w:rPr>
        <w:tab/>
        <w:t>(1)</w:t>
      </w:r>
      <w:r>
        <w:rPr>
          <w:snapToGrid w:val="0"/>
        </w:rPr>
        <w:tab/>
        <w:t>Subject to section 8, if a secured party has — </w:t>
      </w:r>
    </w:p>
    <w:p w:rsidR="00457B8F" w:rsidRDefault="00AC6540">
      <w:pPr>
        <w:pStyle w:val="Indenta"/>
        <w:rPr>
          <w:snapToGrid w:val="0"/>
        </w:rPr>
      </w:pPr>
      <w:r>
        <w:rPr>
          <w:snapToGrid w:val="0"/>
        </w:rPr>
        <w:tab/>
        <w:t>(a)</w:t>
      </w:r>
      <w:r>
        <w:rPr>
          <w:snapToGrid w:val="0"/>
        </w:rPr>
        <w:tab/>
        <w:t>an unregistered security interest (whether or not over registrable goods); or</w:t>
      </w:r>
    </w:p>
    <w:p w:rsidR="00457B8F" w:rsidRDefault="00AC6540">
      <w:pPr>
        <w:pStyle w:val="Indenta"/>
        <w:rPr>
          <w:snapToGrid w:val="0"/>
        </w:rPr>
      </w:pPr>
      <w:r>
        <w:rPr>
          <w:snapToGrid w:val="0"/>
        </w:rPr>
        <w:tab/>
        <w:t>(b)</w:t>
      </w:r>
      <w:r>
        <w:rPr>
          <w:snapToGrid w:val="0"/>
        </w:rPr>
        <w:tab/>
        <w:t>a registered inventory security interest,</w:t>
      </w:r>
    </w:p>
    <w:p w:rsidR="00457B8F" w:rsidRDefault="00AC6540">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rsidR="00457B8F" w:rsidRDefault="00AC6540">
      <w:pPr>
        <w:pStyle w:val="Indenta"/>
        <w:rPr>
          <w:snapToGrid w:val="0"/>
        </w:rPr>
      </w:pPr>
      <w:r>
        <w:rPr>
          <w:snapToGrid w:val="0"/>
        </w:rPr>
        <w:tab/>
        <w:t>(c)</w:t>
      </w:r>
      <w:r>
        <w:rPr>
          <w:snapToGrid w:val="0"/>
        </w:rPr>
        <w:tab/>
        <w:t>the debtor; or</w:t>
      </w:r>
    </w:p>
    <w:p w:rsidR="00457B8F" w:rsidRDefault="00AC6540">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rsidR="00457B8F" w:rsidRDefault="00AC6540">
      <w:pPr>
        <w:pStyle w:val="Subsection"/>
        <w:rPr>
          <w:snapToGrid w:val="0"/>
        </w:rPr>
      </w:pPr>
      <w:r>
        <w:rPr>
          <w:snapToGrid w:val="0"/>
        </w:rPr>
        <w:tab/>
      </w:r>
      <w:r>
        <w:rPr>
          <w:snapToGrid w:val="0"/>
        </w:rPr>
        <w:tab/>
        <w:t>the security interest of the secured party is extinguished.</w:t>
      </w:r>
    </w:p>
    <w:p w:rsidR="00457B8F" w:rsidRDefault="00AC6540">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rsidR="00457B8F" w:rsidRDefault="00AC6540">
      <w:pPr>
        <w:pStyle w:val="Indenta"/>
      </w:pPr>
      <w:r>
        <w:tab/>
        <w:t>(a)</w:t>
      </w:r>
      <w:r>
        <w:tab/>
        <w:t>a motor vehicle dealer licensed; or</w:t>
      </w:r>
    </w:p>
    <w:p w:rsidR="00457B8F" w:rsidRDefault="00AC6540">
      <w:pPr>
        <w:pStyle w:val="Indenta"/>
      </w:pPr>
      <w:r>
        <w:tab/>
        <w:t>(b)</w:t>
      </w:r>
      <w:r>
        <w:tab/>
        <w:t>a car market operator registered,</w:t>
      </w:r>
    </w:p>
    <w:p w:rsidR="00457B8F" w:rsidRDefault="00AC6540">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rsidR="00457B8F" w:rsidRDefault="00AC6540">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rsidR="00457B8F" w:rsidRDefault="00AC6540">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rsidR="00457B8F" w:rsidRDefault="00AC6540">
      <w:pPr>
        <w:pStyle w:val="Subsection"/>
        <w:rPr>
          <w:snapToGrid w:val="0"/>
        </w:rPr>
      </w:pPr>
      <w:r>
        <w:rPr>
          <w:snapToGrid w:val="0"/>
        </w:rPr>
        <w:tab/>
        <w:t>(5)</w:t>
      </w:r>
      <w:r>
        <w:rPr>
          <w:snapToGrid w:val="0"/>
        </w:rPr>
        <w:tab/>
        <w:t>The provisions of subsection (1) do not apply to or in respect of — </w:t>
      </w:r>
    </w:p>
    <w:p w:rsidR="00457B8F" w:rsidRDefault="00AC6540">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rsidR="00457B8F" w:rsidRDefault="00AC6540">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rsidR="00457B8F" w:rsidRDefault="00AC6540">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rsidR="00457B8F" w:rsidRDefault="00AC6540">
      <w:pPr>
        <w:pStyle w:val="Indenta"/>
        <w:rPr>
          <w:snapToGrid w:val="0"/>
        </w:rPr>
      </w:pPr>
      <w:r>
        <w:rPr>
          <w:snapToGrid w:val="0"/>
        </w:rPr>
        <w:tab/>
        <w:t>(a)</w:t>
      </w:r>
      <w:r>
        <w:rPr>
          <w:snapToGrid w:val="0"/>
        </w:rPr>
        <w:tab/>
        <w:t>the goods are registrable goods;</w:t>
      </w:r>
    </w:p>
    <w:p w:rsidR="00457B8F" w:rsidRDefault="00AC6540">
      <w:pPr>
        <w:pStyle w:val="Indenta"/>
        <w:rPr>
          <w:snapToGrid w:val="0"/>
        </w:rPr>
      </w:pPr>
      <w:r>
        <w:rPr>
          <w:snapToGrid w:val="0"/>
        </w:rPr>
        <w:tab/>
        <w:t>(b)</w:t>
      </w:r>
      <w:r>
        <w:rPr>
          <w:snapToGrid w:val="0"/>
        </w:rPr>
        <w:tab/>
      </w:r>
      <w:r>
        <w:rPr>
          <w:snapToGrid w:val="0"/>
          <w:spacing w:val="-4"/>
        </w:rPr>
        <w:t>the purchase price of the goods does not exceed $20 000;</w:t>
      </w:r>
    </w:p>
    <w:p w:rsidR="00457B8F" w:rsidRDefault="00AC6540">
      <w:pPr>
        <w:pStyle w:val="Indenta"/>
        <w:rPr>
          <w:snapToGrid w:val="0"/>
        </w:rPr>
      </w:pPr>
      <w:r>
        <w:rPr>
          <w:snapToGrid w:val="0"/>
        </w:rPr>
        <w:tab/>
        <w:t>(c)</w:t>
      </w:r>
      <w:r>
        <w:rPr>
          <w:snapToGrid w:val="0"/>
        </w:rPr>
        <w:tab/>
      </w:r>
      <w:r>
        <w:rPr>
          <w:snapToGrid w:val="0"/>
          <w:spacing w:val="-4"/>
        </w:rPr>
        <w:t>the goods are a commercial vehicle or farm machinery; or</w:t>
      </w:r>
    </w:p>
    <w:p w:rsidR="00457B8F" w:rsidRDefault="00AC6540">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rsidR="00457B8F" w:rsidRDefault="00AC6540">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rsidR="00457B8F" w:rsidRDefault="00AC6540">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rsidR="00457B8F" w:rsidRDefault="00AC6540">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rsidR="00457B8F" w:rsidRDefault="00AC6540">
      <w:pPr>
        <w:pStyle w:val="Footnotesection"/>
      </w:pPr>
      <w:r>
        <w:tab/>
        <w:t>[Section 7 amended by No. 4 of 2002 s. 70; Correction to reprint 24 Mar 2006 p. 1102.]</w:t>
      </w:r>
    </w:p>
    <w:p w:rsidR="00457B8F" w:rsidRDefault="00AC6540">
      <w:pPr>
        <w:pStyle w:val="Heading5"/>
        <w:rPr>
          <w:snapToGrid w:val="0"/>
        </w:rPr>
      </w:pPr>
      <w:bookmarkStart w:id="79" w:name="_Toc11488838"/>
      <w:bookmarkStart w:id="80" w:name="_Toc131926496"/>
      <w:bookmarkStart w:id="81" w:name="_Toc131926574"/>
      <w:bookmarkStart w:id="82" w:name="_Toc131926680"/>
      <w:bookmarkStart w:id="83" w:name="_Toc139442740"/>
      <w:r>
        <w:rPr>
          <w:rStyle w:val="CharSectno"/>
        </w:rPr>
        <w:t>8</w:t>
      </w:r>
      <w:r>
        <w:rPr>
          <w:snapToGrid w:val="0"/>
        </w:rPr>
        <w:t>.</w:t>
      </w:r>
      <w:r>
        <w:rPr>
          <w:snapToGrid w:val="0"/>
        </w:rPr>
        <w:tab/>
        <w:t>Purchase for value in good faith</w:t>
      </w:r>
      <w:bookmarkEnd w:id="79"/>
      <w:bookmarkEnd w:id="80"/>
      <w:bookmarkEnd w:id="81"/>
      <w:bookmarkEnd w:id="82"/>
      <w:bookmarkEnd w:id="83"/>
      <w:r>
        <w:rPr>
          <w:snapToGrid w:val="0"/>
        </w:rPr>
        <w:t xml:space="preserve"> </w:t>
      </w:r>
    </w:p>
    <w:p w:rsidR="00457B8F" w:rsidRDefault="00AC6540">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rsidR="00457B8F" w:rsidRDefault="00AC6540">
      <w:pPr>
        <w:pStyle w:val="Indenta"/>
        <w:rPr>
          <w:snapToGrid w:val="0"/>
        </w:rPr>
      </w:pPr>
      <w:r>
        <w:rPr>
          <w:snapToGrid w:val="0"/>
        </w:rPr>
        <w:tab/>
        <w:t>(a)</w:t>
      </w:r>
      <w:r>
        <w:rPr>
          <w:snapToGrid w:val="0"/>
        </w:rPr>
        <w:tab/>
        <w:t>the purchaser is a member of the same household as is the supplier or purported supplier of the goods;</w:t>
      </w:r>
    </w:p>
    <w:p w:rsidR="00457B8F" w:rsidRDefault="00AC6540">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rsidR="00457B8F" w:rsidRDefault="00AC6540">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rsidR="00457B8F" w:rsidRDefault="00AC6540">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rsidR="00457B8F" w:rsidRDefault="00AC6540">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rsidR="00457B8F" w:rsidRDefault="00AC6540">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rsidR="00457B8F" w:rsidRDefault="00AC6540">
      <w:pPr>
        <w:pStyle w:val="Footnotesection"/>
      </w:pPr>
      <w:r>
        <w:tab/>
        <w:t>[Section 8 amended by No. 20 of 2003 s. 12.]</w:t>
      </w:r>
    </w:p>
    <w:p w:rsidR="00457B8F" w:rsidRDefault="00AC6540">
      <w:pPr>
        <w:pStyle w:val="Heading5"/>
        <w:rPr>
          <w:snapToGrid w:val="0"/>
        </w:rPr>
      </w:pPr>
      <w:bookmarkStart w:id="84" w:name="_Toc11488839"/>
      <w:bookmarkStart w:id="85" w:name="_Toc131926497"/>
      <w:bookmarkStart w:id="86" w:name="_Toc131926575"/>
      <w:bookmarkStart w:id="87" w:name="_Toc131926681"/>
      <w:bookmarkStart w:id="88" w:name="_Toc139442741"/>
      <w:r>
        <w:rPr>
          <w:rStyle w:val="CharSectno"/>
        </w:rPr>
        <w:t>9</w:t>
      </w:r>
      <w:r>
        <w:rPr>
          <w:snapToGrid w:val="0"/>
        </w:rPr>
        <w:t>.</w:t>
      </w:r>
      <w:r>
        <w:rPr>
          <w:snapToGrid w:val="0"/>
        </w:rPr>
        <w:tab/>
        <w:t>Extinguishing of subsequent security interests</w:t>
      </w:r>
      <w:bookmarkEnd w:id="84"/>
      <w:bookmarkEnd w:id="85"/>
      <w:bookmarkEnd w:id="86"/>
      <w:bookmarkEnd w:id="87"/>
      <w:bookmarkEnd w:id="88"/>
      <w:r>
        <w:rPr>
          <w:snapToGrid w:val="0"/>
        </w:rPr>
        <w:t xml:space="preserve"> </w:t>
      </w:r>
    </w:p>
    <w:p w:rsidR="00457B8F" w:rsidRDefault="00AC6540">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rsidR="00457B8F" w:rsidRDefault="00AC6540">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rsidR="00457B8F" w:rsidRDefault="00AC6540">
      <w:pPr>
        <w:pStyle w:val="Heading5"/>
        <w:rPr>
          <w:snapToGrid w:val="0"/>
        </w:rPr>
      </w:pPr>
      <w:bookmarkStart w:id="89" w:name="_Toc11488840"/>
      <w:bookmarkStart w:id="90" w:name="_Toc131926498"/>
      <w:bookmarkStart w:id="91" w:name="_Toc131926576"/>
      <w:bookmarkStart w:id="92" w:name="_Toc131926682"/>
      <w:bookmarkStart w:id="93" w:name="_Toc139442742"/>
      <w:r>
        <w:rPr>
          <w:rStyle w:val="CharSectno"/>
        </w:rPr>
        <w:t>10</w:t>
      </w:r>
      <w:r>
        <w:rPr>
          <w:snapToGrid w:val="0"/>
        </w:rPr>
        <w:t>.</w:t>
      </w:r>
      <w:r>
        <w:rPr>
          <w:snapToGrid w:val="0"/>
        </w:rPr>
        <w:tab/>
        <w:t>Priority of security interests</w:t>
      </w:r>
      <w:bookmarkEnd w:id="89"/>
      <w:bookmarkEnd w:id="90"/>
      <w:bookmarkEnd w:id="91"/>
      <w:bookmarkEnd w:id="92"/>
      <w:bookmarkEnd w:id="93"/>
      <w:r>
        <w:rPr>
          <w:snapToGrid w:val="0"/>
        </w:rPr>
        <w:t xml:space="preserve"> </w:t>
      </w:r>
    </w:p>
    <w:p w:rsidR="00457B8F" w:rsidRDefault="00AC6540">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rsidR="00457B8F" w:rsidRDefault="00AC6540">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rsidR="00457B8F" w:rsidRDefault="00AC6540">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rsidR="00457B8F" w:rsidRDefault="00AC6540">
      <w:pPr>
        <w:pStyle w:val="Footnotesection"/>
      </w:pPr>
      <w:bookmarkStart w:id="94" w:name="_Toc11488841"/>
      <w:r>
        <w:tab/>
        <w:t>[Section 10 amended by No. 20 of 2003 s. 13.]</w:t>
      </w:r>
    </w:p>
    <w:p w:rsidR="00457B8F" w:rsidRDefault="00AC6540">
      <w:pPr>
        <w:pStyle w:val="Heading5"/>
        <w:rPr>
          <w:snapToGrid w:val="0"/>
        </w:rPr>
      </w:pPr>
      <w:bookmarkStart w:id="95" w:name="_Toc131926499"/>
      <w:bookmarkStart w:id="96" w:name="_Toc131926577"/>
      <w:bookmarkStart w:id="97" w:name="_Toc131926683"/>
      <w:bookmarkStart w:id="98" w:name="_Toc139442743"/>
      <w:r>
        <w:rPr>
          <w:rStyle w:val="CharSectno"/>
        </w:rPr>
        <w:t>11</w:t>
      </w:r>
      <w:r>
        <w:rPr>
          <w:snapToGrid w:val="0"/>
        </w:rPr>
        <w:t>.</w:t>
      </w:r>
      <w:r>
        <w:rPr>
          <w:snapToGrid w:val="0"/>
        </w:rPr>
        <w:tab/>
        <w:t>Extinguishing etc. of security interest under corresponding law</w:t>
      </w:r>
      <w:bookmarkEnd w:id="94"/>
      <w:bookmarkEnd w:id="95"/>
      <w:bookmarkEnd w:id="96"/>
      <w:bookmarkEnd w:id="97"/>
      <w:bookmarkEnd w:id="98"/>
      <w:r>
        <w:rPr>
          <w:snapToGrid w:val="0"/>
        </w:rPr>
        <w:t xml:space="preserve"> </w:t>
      </w:r>
    </w:p>
    <w:p w:rsidR="00457B8F" w:rsidRDefault="00AC6540">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rsidR="00457B8F" w:rsidRDefault="00AC6540">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rsidR="00457B8F" w:rsidRDefault="00AC6540">
      <w:pPr>
        <w:pStyle w:val="Heading5"/>
        <w:rPr>
          <w:snapToGrid w:val="0"/>
        </w:rPr>
      </w:pPr>
      <w:bookmarkStart w:id="99" w:name="_Toc11488842"/>
      <w:bookmarkStart w:id="100" w:name="_Toc131926500"/>
      <w:bookmarkStart w:id="101" w:name="_Toc131926578"/>
      <w:bookmarkStart w:id="102" w:name="_Toc131926684"/>
      <w:bookmarkStart w:id="103" w:name="_Toc139442744"/>
      <w:r>
        <w:rPr>
          <w:rStyle w:val="CharSectno"/>
        </w:rPr>
        <w:t>12</w:t>
      </w:r>
      <w:r>
        <w:rPr>
          <w:snapToGrid w:val="0"/>
        </w:rPr>
        <w:t>.</w:t>
      </w:r>
      <w:r>
        <w:rPr>
          <w:snapToGrid w:val="0"/>
        </w:rPr>
        <w:tab/>
        <w:t>Regulations</w:t>
      </w:r>
      <w:bookmarkEnd w:id="99"/>
      <w:bookmarkEnd w:id="100"/>
      <w:bookmarkEnd w:id="101"/>
      <w:bookmarkEnd w:id="102"/>
      <w:bookmarkEnd w:id="103"/>
      <w:r>
        <w:rPr>
          <w:snapToGrid w:val="0"/>
        </w:rPr>
        <w:t xml:space="preserve"> </w:t>
      </w:r>
    </w:p>
    <w:p w:rsidR="00457B8F" w:rsidRDefault="00AC6540">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rsidR="00457B8F" w:rsidRDefault="00AC6540">
      <w:pPr>
        <w:pStyle w:val="Heading2"/>
      </w:pPr>
      <w:bookmarkStart w:id="104" w:name="_Toc92444767"/>
      <w:bookmarkStart w:id="105" w:name="_Toc130956230"/>
      <w:bookmarkStart w:id="106" w:name="_Toc131319020"/>
      <w:bookmarkStart w:id="107" w:name="_Toc131319329"/>
      <w:bookmarkStart w:id="108" w:name="_Toc131319364"/>
      <w:bookmarkStart w:id="109" w:name="_Toc131319399"/>
      <w:bookmarkStart w:id="110" w:name="_Toc131319434"/>
      <w:bookmarkStart w:id="111" w:name="_Toc131319469"/>
      <w:bookmarkStart w:id="112" w:name="_Toc131926501"/>
      <w:bookmarkStart w:id="113" w:name="_Toc131926579"/>
      <w:bookmarkStart w:id="114" w:name="_Toc131926650"/>
      <w:bookmarkStart w:id="115" w:name="_Toc131926685"/>
      <w:bookmarkStart w:id="116" w:name="_Toc131927047"/>
      <w:bookmarkStart w:id="117" w:name="_Toc132433613"/>
      <w:bookmarkStart w:id="118" w:name="_Toc132434852"/>
      <w:bookmarkStart w:id="119" w:name="_Toc133139941"/>
      <w:bookmarkStart w:id="120" w:name="_Toc135464369"/>
      <w:bookmarkStart w:id="121" w:name="_Toc139343853"/>
      <w:bookmarkStart w:id="122" w:name="_Toc139442745"/>
      <w:r>
        <w:rPr>
          <w:rStyle w:val="CharPartNo"/>
        </w:rPr>
        <w:t>Part III</w:t>
      </w:r>
      <w:r>
        <w:rPr>
          <w:rStyle w:val="CharDivNo"/>
        </w:rPr>
        <w:t> </w:t>
      </w:r>
      <w:r>
        <w:t>—</w:t>
      </w:r>
      <w:r>
        <w:rPr>
          <w:rStyle w:val="CharDivText"/>
        </w:rPr>
        <w:t> </w:t>
      </w:r>
      <w:r>
        <w:rPr>
          <w:rStyle w:val="CharPartText"/>
        </w:rPr>
        <w:t>Registrable goods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rsidR="00457B8F" w:rsidRDefault="00AC6540">
      <w:pPr>
        <w:pStyle w:val="Heading5"/>
        <w:rPr>
          <w:snapToGrid w:val="0"/>
        </w:rPr>
      </w:pPr>
      <w:bookmarkStart w:id="123" w:name="_Toc11488843"/>
      <w:bookmarkStart w:id="124" w:name="_Toc131926502"/>
      <w:bookmarkStart w:id="125" w:name="_Toc131926580"/>
      <w:bookmarkStart w:id="126" w:name="_Toc131926686"/>
      <w:bookmarkStart w:id="127" w:name="_Toc139442746"/>
      <w:r>
        <w:rPr>
          <w:rStyle w:val="CharSectno"/>
        </w:rPr>
        <w:t>13</w:t>
      </w:r>
      <w:r>
        <w:rPr>
          <w:snapToGrid w:val="0"/>
        </w:rPr>
        <w:t>.</w:t>
      </w:r>
      <w:r>
        <w:rPr>
          <w:snapToGrid w:val="0"/>
        </w:rPr>
        <w:tab/>
        <w:t>Application of Part</w:t>
      </w:r>
      <w:bookmarkEnd w:id="123"/>
      <w:bookmarkEnd w:id="124"/>
      <w:bookmarkEnd w:id="125"/>
      <w:bookmarkEnd w:id="126"/>
      <w:bookmarkEnd w:id="127"/>
      <w:r>
        <w:rPr>
          <w:snapToGrid w:val="0"/>
        </w:rPr>
        <w:t xml:space="preserve"> </w:t>
      </w:r>
    </w:p>
    <w:p w:rsidR="00457B8F" w:rsidRDefault="00AC6540">
      <w:pPr>
        <w:pStyle w:val="Subsection"/>
        <w:rPr>
          <w:snapToGrid w:val="0"/>
        </w:rPr>
      </w:pPr>
      <w:r>
        <w:rPr>
          <w:snapToGrid w:val="0"/>
        </w:rPr>
        <w:tab/>
      </w:r>
      <w:r>
        <w:rPr>
          <w:snapToGrid w:val="0"/>
        </w:rPr>
        <w:tab/>
        <w:t>The goods to which this Part applies are — </w:t>
      </w:r>
    </w:p>
    <w:p w:rsidR="00457B8F" w:rsidRDefault="00AC6540">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rsidR="00457B8F" w:rsidRDefault="00AC6540">
      <w:pPr>
        <w:pStyle w:val="Indenta"/>
        <w:rPr>
          <w:snapToGrid w:val="0"/>
        </w:rPr>
      </w:pPr>
      <w:r>
        <w:rPr>
          <w:snapToGrid w:val="0"/>
        </w:rPr>
        <w:tab/>
        <w:t>(b)</w:t>
      </w:r>
      <w:r>
        <w:rPr>
          <w:snapToGrid w:val="0"/>
        </w:rPr>
        <w:tab/>
        <w:t>trailers, caravans and semi</w:t>
      </w:r>
      <w:r>
        <w:rPr>
          <w:snapToGrid w:val="0"/>
        </w:rPr>
        <w:noBreakHyphen/>
        <w:t xml:space="preserve">trailers described in the First Schedule to the </w:t>
      </w:r>
      <w:r>
        <w:rPr>
          <w:i/>
          <w:snapToGrid w:val="0"/>
        </w:rPr>
        <w:t>Road Traffic Act 1974</w:t>
      </w:r>
      <w:r>
        <w:rPr>
          <w:snapToGrid w:val="0"/>
        </w:rPr>
        <w:t>, being trailers, caravans and semi</w:t>
      </w:r>
      <w:r>
        <w:rPr>
          <w:snapToGrid w:val="0"/>
        </w:rPr>
        <w:noBreakHyphen/>
        <w:t>trailers that, unless the regulations otherwise provide, are, or have been, licensed under that Act;</w:t>
      </w:r>
    </w:p>
    <w:p w:rsidR="00457B8F" w:rsidRDefault="00AC6540">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rsidR="00457B8F" w:rsidRDefault="00AC6540">
      <w:pPr>
        <w:pStyle w:val="Indenta"/>
        <w:rPr>
          <w:snapToGrid w:val="0"/>
        </w:rPr>
      </w:pPr>
      <w:r>
        <w:rPr>
          <w:snapToGrid w:val="0"/>
        </w:rPr>
        <w:tab/>
        <w:t>(d)</w:t>
      </w:r>
      <w:r>
        <w:rPr>
          <w:snapToGrid w:val="0"/>
        </w:rPr>
        <w:tab/>
        <w:t>prescribed goods.</w:t>
      </w:r>
    </w:p>
    <w:p w:rsidR="00457B8F" w:rsidRDefault="00AC6540">
      <w:pPr>
        <w:pStyle w:val="Heading5"/>
        <w:rPr>
          <w:snapToGrid w:val="0"/>
        </w:rPr>
      </w:pPr>
      <w:bookmarkStart w:id="128" w:name="_Toc11488844"/>
      <w:bookmarkStart w:id="129" w:name="_Toc131926503"/>
      <w:bookmarkStart w:id="130" w:name="_Toc131926581"/>
      <w:bookmarkStart w:id="131" w:name="_Toc131926687"/>
      <w:bookmarkStart w:id="132" w:name="_Toc139442747"/>
      <w:r>
        <w:rPr>
          <w:rStyle w:val="CharSectno"/>
        </w:rPr>
        <w:t>14</w:t>
      </w:r>
      <w:r>
        <w:rPr>
          <w:snapToGrid w:val="0"/>
        </w:rPr>
        <w:t>.</w:t>
      </w:r>
      <w:r>
        <w:rPr>
          <w:snapToGrid w:val="0"/>
        </w:rPr>
        <w:tab/>
        <w:t>Register</w:t>
      </w:r>
      <w:bookmarkEnd w:id="128"/>
      <w:bookmarkEnd w:id="129"/>
      <w:bookmarkEnd w:id="130"/>
      <w:bookmarkEnd w:id="131"/>
      <w:bookmarkEnd w:id="132"/>
      <w:r>
        <w:rPr>
          <w:snapToGrid w:val="0"/>
        </w:rPr>
        <w:t xml:space="preserve"> </w:t>
      </w:r>
    </w:p>
    <w:p w:rsidR="00457B8F" w:rsidRDefault="00AC6540">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rsidR="00457B8F" w:rsidRDefault="00AC6540">
      <w:pPr>
        <w:pStyle w:val="Heading5"/>
        <w:rPr>
          <w:snapToGrid w:val="0"/>
        </w:rPr>
      </w:pPr>
      <w:bookmarkStart w:id="133" w:name="_Toc11488845"/>
      <w:bookmarkStart w:id="134" w:name="_Toc131926504"/>
      <w:bookmarkStart w:id="135" w:name="_Toc131926582"/>
      <w:bookmarkStart w:id="136" w:name="_Toc131926688"/>
      <w:bookmarkStart w:id="137" w:name="_Toc139442748"/>
      <w:r>
        <w:rPr>
          <w:rStyle w:val="CharSectno"/>
        </w:rPr>
        <w:t>15</w:t>
      </w:r>
      <w:r>
        <w:rPr>
          <w:snapToGrid w:val="0"/>
        </w:rPr>
        <w:t>.</w:t>
      </w:r>
      <w:r>
        <w:rPr>
          <w:snapToGrid w:val="0"/>
        </w:rPr>
        <w:tab/>
        <w:t>Registration of security interest</w:t>
      </w:r>
      <w:bookmarkEnd w:id="133"/>
      <w:bookmarkEnd w:id="134"/>
      <w:bookmarkEnd w:id="135"/>
      <w:bookmarkEnd w:id="136"/>
      <w:bookmarkEnd w:id="137"/>
      <w:r>
        <w:rPr>
          <w:snapToGrid w:val="0"/>
        </w:rPr>
        <w:t xml:space="preserve"> </w:t>
      </w:r>
    </w:p>
    <w:p w:rsidR="00457B8F" w:rsidRDefault="00AC6540">
      <w:pPr>
        <w:pStyle w:val="Subsection"/>
        <w:rPr>
          <w:snapToGrid w:val="0"/>
        </w:rPr>
      </w:pPr>
      <w:r>
        <w:rPr>
          <w:snapToGrid w:val="0"/>
        </w:rPr>
        <w:tab/>
        <w:t>(1)</w:t>
      </w:r>
      <w:r>
        <w:rPr>
          <w:snapToGrid w:val="0"/>
        </w:rPr>
        <w:tab/>
        <w:t>A person may make application to the Commissioner for registration of a security interest in registrable goods.</w:t>
      </w:r>
    </w:p>
    <w:p w:rsidR="00457B8F" w:rsidRDefault="00AC6540">
      <w:pPr>
        <w:pStyle w:val="Subsection"/>
        <w:rPr>
          <w:snapToGrid w:val="0"/>
        </w:rPr>
      </w:pPr>
      <w:r>
        <w:rPr>
          <w:snapToGrid w:val="0"/>
        </w:rPr>
        <w:tab/>
        <w:t>(2)</w:t>
      </w:r>
      <w:r>
        <w:rPr>
          <w:snapToGrid w:val="0"/>
        </w:rPr>
        <w:tab/>
        <w:t>An application under subsection (1) shall be in or to the effect of the approved form.</w:t>
      </w:r>
    </w:p>
    <w:p w:rsidR="00457B8F" w:rsidRDefault="00AC6540">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rsidR="00457B8F" w:rsidRDefault="00AC6540">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rsidR="00457B8F" w:rsidRDefault="00AC6540">
      <w:pPr>
        <w:pStyle w:val="Heading5"/>
        <w:rPr>
          <w:snapToGrid w:val="0"/>
        </w:rPr>
      </w:pPr>
      <w:bookmarkStart w:id="138" w:name="_Toc11488846"/>
      <w:bookmarkStart w:id="139" w:name="_Toc131926505"/>
      <w:bookmarkStart w:id="140" w:name="_Toc131926583"/>
      <w:bookmarkStart w:id="141" w:name="_Toc131926689"/>
      <w:bookmarkStart w:id="142" w:name="_Toc139442749"/>
      <w:r>
        <w:rPr>
          <w:rStyle w:val="CharSectno"/>
        </w:rPr>
        <w:t>16</w:t>
      </w:r>
      <w:r>
        <w:rPr>
          <w:snapToGrid w:val="0"/>
        </w:rPr>
        <w:t>.</w:t>
      </w:r>
      <w:r>
        <w:rPr>
          <w:snapToGrid w:val="0"/>
        </w:rPr>
        <w:tab/>
        <w:t>Offence</w:t>
      </w:r>
      <w:bookmarkEnd w:id="138"/>
      <w:bookmarkEnd w:id="139"/>
      <w:bookmarkEnd w:id="140"/>
      <w:bookmarkEnd w:id="141"/>
      <w:bookmarkEnd w:id="142"/>
      <w:r>
        <w:rPr>
          <w:snapToGrid w:val="0"/>
        </w:rPr>
        <w:t xml:space="preserve"> </w:t>
      </w:r>
    </w:p>
    <w:p w:rsidR="00457B8F" w:rsidRDefault="00AC6540">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rsidR="00457B8F" w:rsidRDefault="00AC6540">
      <w:pPr>
        <w:pStyle w:val="Penstart"/>
        <w:rPr>
          <w:snapToGrid w:val="0"/>
        </w:rPr>
      </w:pPr>
      <w:r>
        <w:rPr>
          <w:snapToGrid w:val="0"/>
        </w:rPr>
        <w:tab/>
        <w:t>Penalty: $500.</w:t>
      </w:r>
    </w:p>
    <w:p w:rsidR="00457B8F" w:rsidRDefault="00AC6540">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rsidR="00457B8F" w:rsidRDefault="00AC6540">
      <w:pPr>
        <w:pStyle w:val="Heading5"/>
        <w:rPr>
          <w:snapToGrid w:val="0"/>
        </w:rPr>
      </w:pPr>
      <w:bookmarkStart w:id="143" w:name="_Toc11488847"/>
      <w:bookmarkStart w:id="144" w:name="_Toc131926506"/>
      <w:bookmarkStart w:id="145" w:name="_Toc131926584"/>
      <w:bookmarkStart w:id="146" w:name="_Toc131926690"/>
      <w:bookmarkStart w:id="147" w:name="_Toc139442750"/>
      <w:r>
        <w:rPr>
          <w:rStyle w:val="CharSectno"/>
        </w:rPr>
        <w:t>17</w:t>
      </w:r>
      <w:r>
        <w:rPr>
          <w:snapToGrid w:val="0"/>
        </w:rPr>
        <w:t>.</w:t>
      </w:r>
      <w:r>
        <w:rPr>
          <w:snapToGrid w:val="0"/>
        </w:rPr>
        <w:tab/>
        <w:t>Cancellation of registration</w:t>
      </w:r>
      <w:bookmarkEnd w:id="143"/>
      <w:bookmarkEnd w:id="144"/>
      <w:bookmarkEnd w:id="145"/>
      <w:bookmarkEnd w:id="146"/>
      <w:bookmarkEnd w:id="147"/>
      <w:r>
        <w:rPr>
          <w:snapToGrid w:val="0"/>
        </w:rPr>
        <w:t xml:space="preserve"> </w:t>
      </w:r>
    </w:p>
    <w:p w:rsidR="00457B8F" w:rsidRDefault="00AC6540">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rsidR="00457B8F" w:rsidRDefault="00AC6540">
      <w:pPr>
        <w:pStyle w:val="Heading5"/>
        <w:rPr>
          <w:snapToGrid w:val="0"/>
        </w:rPr>
      </w:pPr>
      <w:bookmarkStart w:id="148" w:name="_Toc11488848"/>
      <w:bookmarkStart w:id="149" w:name="_Toc131926507"/>
      <w:bookmarkStart w:id="150" w:name="_Toc131926585"/>
      <w:bookmarkStart w:id="151" w:name="_Toc131926691"/>
      <w:bookmarkStart w:id="152" w:name="_Toc139442751"/>
      <w:r>
        <w:rPr>
          <w:rStyle w:val="CharSectno"/>
        </w:rPr>
        <w:t>18</w:t>
      </w:r>
      <w:r>
        <w:rPr>
          <w:snapToGrid w:val="0"/>
        </w:rPr>
        <w:t>.</w:t>
      </w:r>
      <w:r>
        <w:rPr>
          <w:snapToGrid w:val="0"/>
        </w:rPr>
        <w:tab/>
        <w:t>Discharge of registered security interest</w:t>
      </w:r>
      <w:bookmarkEnd w:id="148"/>
      <w:bookmarkEnd w:id="149"/>
      <w:bookmarkEnd w:id="150"/>
      <w:bookmarkEnd w:id="151"/>
      <w:bookmarkEnd w:id="152"/>
      <w:r>
        <w:rPr>
          <w:snapToGrid w:val="0"/>
        </w:rPr>
        <w:t xml:space="preserve"> </w:t>
      </w:r>
    </w:p>
    <w:p w:rsidR="00457B8F" w:rsidRDefault="00AC6540">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rsidR="00457B8F" w:rsidRDefault="00AC6540">
      <w:pPr>
        <w:pStyle w:val="Penstart"/>
        <w:rPr>
          <w:snapToGrid w:val="0"/>
        </w:rPr>
      </w:pPr>
      <w:r>
        <w:rPr>
          <w:snapToGrid w:val="0"/>
        </w:rPr>
        <w:tab/>
        <w:t>Penalty: $500.</w:t>
      </w:r>
    </w:p>
    <w:p w:rsidR="00457B8F" w:rsidRDefault="00AC6540">
      <w:pPr>
        <w:pStyle w:val="Heading5"/>
        <w:rPr>
          <w:snapToGrid w:val="0"/>
        </w:rPr>
      </w:pPr>
      <w:bookmarkStart w:id="153" w:name="_Toc11488849"/>
      <w:bookmarkStart w:id="154" w:name="_Toc131926508"/>
      <w:bookmarkStart w:id="155" w:name="_Toc131926586"/>
      <w:bookmarkStart w:id="156" w:name="_Toc131926692"/>
      <w:bookmarkStart w:id="157" w:name="_Toc139442752"/>
      <w:r>
        <w:rPr>
          <w:rStyle w:val="CharSectno"/>
        </w:rPr>
        <w:t>19</w:t>
      </w:r>
      <w:r>
        <w:rPr>
          <w:snapToGrid w:val="0"/>
        </w:rPr>
        <w:t>.</w:t>
      </w:r>
      <w:r>
        <w:rPr>
          <w:snapToGrid w:val="0"/>
        </w:rPr>
        <w:tab/>
        <w:t>Commissioner to cancel registration</w:t>
      </w:r>
      <w:bookmarkEnd w:id="153"/>
      <w:bookmarkEnd w:id="154"/>
      <w:bookmarkEnd w:id="155"/>
      <w:bookmarkEnd w:id="156"/>
      <w:bookmarkEnd w:id="157"/>
      <w:r>
        <w:rPr>
          <w:snapToGrid w:val="0"/>
        </w:rPr>
        <w:t xml:space="preserve"> </w:t>
      </w:r>
    </w:p>
    <w:p w:rsidR="00457B8F" w:rsidRDefault="00AC6540">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rsidR="00457B8F" w:rsidRDefault="00AC6540">
      <w:pPr>
        <w:pStyle w:val="Heading5"/>
        <w:rPr>
          <w:snapToGrid w:val="0"/>
        </w:rPr>
      </w:pPr>
      <w:bookmarkStart w:id="158" w:name="_Toc11488850"/>
      <w:bookmarkStart w:id="159" w:name="_Toc131926509"/>
      <w:bookmarkStart w:id="160" w:name="_Toc131926587"/>
      <w:bookmarkStart w:id="161" w:name="_Toc131926693"/>
      <w:bookmarkStart w:id="162" w:name="_Toc139442753"/>
      <w:r>
        <w:rPr>
          <w:rStyle w:val="CharSectno"/>
        </w:rPr>
        <w:t>20</w:t>
      </w:r>
      <w:r>
        <w:rPr>
          <w:snapToGrid w:val="0"/>
        </w:rPr>
        <w:t>.</w:t>
      </w:r>
      <w:r>
        <w:rPr>
          <w:snapToGrid w:val="0"/>
        </w:rPr>
        <w:tab/>
        <w:t>Change in particulars</w:t>
      </w:r>
      <w:bookmarkEnd w:id="158"/>
      <w:bookmarkEnd w:id="159"/>
      <w:bookmarkEnd w:id="160"/>
      <w:bookmarkEnd w:id="161"/>
      <w:bookmarkEnd w:id="162"/>
      <w:r>
        <w:rPr>
          <w:snapToGrid w:val="0"/>
        </w:rPr>
        <w:t xml:space="preserve"> </w:t>
      </w:r>
    </w:p>
    <w:p w:rsidR="00457B8F" w:rsidRDefault="00AC6540">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rsidR="00457B8F" w:rsidRDefault="00AC6540">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rsidR="00457B8F" w:rsidRDefault="00AC6540">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rsidR="00457B8F" w:rsidRDefault="00AC6540">
      <w:pPr>
        <w:pStyle w:val="Footnotesection"/>
      </w:pPr>
      <w:r>
        <w:tab/>
        <w:t xml:space="preserve">[Section 20 amended by No. 39 of 1996 s. 4.] </w:t>
      </w:r>
    </w:p>
    <w:p w:rsidR="00457B8F" w:rsidRDefault="00AC6540">
      <w:pPr>
        <w:pStyle w:val="Heading5"/>
        <w:rPr>
          <w:snapToGrid w:val="0"/>
        </w:rPr>
      </w:pPr>
      <w:bookmarkStart w:id="163" w:name="_Toc11488851"/>
      <w:bookmarkStart w:id="164" w:name="_Toc131926510"/>
      <w:bookmarkStart w:id="165" w:name="_Toc131926588"/>
      <w:bookmarkStart w:id="166" w:name="_Toc131926694"/>
      <w:bookmarkStart w:id="167" w:name="_Toc139442754"/>
      <w:r>
        <w:rPr>
          <w:rStyle w:val="CharSectno"/>
        </w:rPr>
        <w:t>21</w:t>
      </w:r>
      <w:r>
        <w:rPr>
          <w:snapToGrid w:val="0"/>
        </w:rPr>
        <w:t>.</w:t>
      </w:r>
      <w:r>
        <w:rPr>
          <w:snapToGrid w:val="0"/>
        </w:rPr>
        <w:tab/>
        <w:t>Variation of particulars</w:t>
      </w:r>
      <w:bookmarkEnd w:id="163"/>
      <w:bookmarkEnd w:id="164"/>
      <w:bookmarkEnd w:id="165"/>
      <w:bookmarkEnd w:id="166"/>
      <w:bookmarkEnd w:id="167"/>
      <w:r>
        <w:rPr>
          <w:snapToGrid w:val="0"/>
        </w:rPr>
        <w:t xml:space="preserve"> </w:t>
      </w:r>
    </w:p>
    <w:p w:rsidR="00457B8F" w:rsidRDefault="00AC6540">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rsidR="00457B8F" w:rsidRDefault="00AC6540">
      <w:pPr>
        <w:pStyle w:val="Heading5"/>
        <w:rPr>
          <w:snapToGrid w:val="0"/>
        </w:rPr>
      </w:pPr>
      <w:bookmarkStart w:id="168" w:name="_Toc11488852"/>
      <w:bookmarkStart w:id="169" w:name="_Toc131926511"/>
      <w:bookmarkStart w:id="170" w:name="_Toc131926589"/>
      <w:bookmarkStart w:id="171" w:name="_Toc131926695"/>
      <w:bookmarkStart w:id="172" w:name="_Toc139442755"/>
      <w:r>
        <w:rPr>
          <w:rStyle w:val="CharSectno"/>
        </w:rPr>
        <w:t>22</w:t>
      </w:r>
      <w:r>
        <w:rPr>
          <w:snapToGrid w:val="0"/>
        </w:rPr>
        <w:t>.</w:t>
      </w:r>
      <w:r>
        <w:rPr>
          <w:snapToGrid w:val="0"/>
        </w:rPr>
        <w:tab/>
        <w:t>Commissioner may cancel registration</w:t>
      </w:r>
      <w:bookmarkEnd w:id="168"/>
      <w:bookmarkEnd w:id="169"/>
      <w:bookmarkEnd w:id="170"/>
      <w:bookmarkEnd w:id="171"/>
      <w:bookmarkEnd w:id="172"/>
      <w:r>
        <w:rPr>
          <w:snapToGrid w:val="0"/>
        </w:rPr>
        <w:t xml:space="preserve"> </w:t>
      </w:r>
    </w:p>
    <w:p w:rsidR="00457B8F" w:rsidRDefault="00AC6540">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rsidR="00457B8F" w:rsidRDefault="00AC6540">
      <w:pPr>
        <w:pStyle w:val="Indenta"/>
        <w:rPr>
          <w:snapToGrid w:val="0"/>
        </w:rPr>
      </w:pPr>
      <w:r>
        <w:rPr>
          <w:snapToGrid w:val="0"/>
        </w:rPr>
        <w:tab/>
        <w:t>(a)</w:t>
      </w:r>
      <w:r>
        <w:rPr>
          <w:snapToGrid w:val="0"/>
        </w:rPr>
        <w:tab/>
        <w:t>the person was not, when the application for registration was made, the holder of such a security interest; or</w:t>
      </w:r>
    </w:p>
    <w:p w:rsidR="00457B8F" w:rsidRDefault="00AC6540">
      <w:pPr>
        <w:pStyle w:val="Indenta"/>
        <w:rPr>
          <w:snapToGrid w:val="0"/>
        </w:rPr>
      </w:pPr>
      <w:r>
        <w:rPr>
          <w:snapToGrid w:val="0"/>
        </w:rPr>
        <w:tab/>
        <w:t>(b)</w:t>
      </w:r>
      <w:r>
        <w:rPr>
          <w:snapToGrid w:val="0"/>
        </w:rPr>
        <w:tab/>
        <w:t>the security interest has been discharged or extinguished and the person has failed to comply with section 18,</w:t>
      </w:r>
    </w:p>
    <w:p w:rsidR="00457B8F" w:rsidRDefault="00AC6540">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rsidR="00457B8F" w:rsidRDefault="00AC6540">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rsidR="00457B8F" w:rsidRDefault="00AC6540">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rsidR="00457B8F" w:rsidRDefault="00AC6540">
      <w:pPr>
        <w:pStyle w:val="Heading5"/>
        <w:rPr>
          <w:snapToGrid w:val="0"/>
        </w:rPr>
      </w:pPr>
      <w:bookmarkStart w:id="173" w:name="_Toc11488853"/>
      <w:bookmarkStart w:id="174" w:name="_Toc131926512"/>
      <w:bookmarkStart w:id="175" w:name="_Toc131926590"/>
      <w:bookmarkStart w:id="176" w:name="_Toc131926696"/>
      <w:bookmarkStart w:id="177" w:name="_Toc139442756"/>
      <w:r>
        <w:rPr>
          <w:rStyle w:val="CharSectno"/>
        </w:rPr>
        <w:t>23</w:t>
      </w:r>
      <w:r>
        <w:rPr>
          <w:snapToGrid w:val="0"/>
        </w:rPr>
        <w:t>.</w:t>
      </w:r>
      <w:r>
        <w:rPr>
          <w:snapToGrid w:val="0"/>
        </w:rPr>
        <w:tab/>
        <w:t>Details of entries</w:t>
      </w:r>
      <w:bookmarkEnd w:id="173"/>
      <w:bookmarkEnd w:id="174"/>
      <w:bookmarkEnd w:id="175"/>
      <w:bookmarkEnd w:id="176"/>
      <w:bookmarkEnd w:id="177"/>
      <w:r>
        <w:rPr>
          <w:snapToGrid w:val="0"/>
        </w:rPr>
        <w:t xml:space="preserve"> </w:t>
      </w:r>
    </w:p>
    <w:p w:rsidR="00457B8F" w:rsidRDefault="00AC6540">
      <w:pPr>
        <w:pStyle w:val="Subsection"/>
        <w:rPr>
          <w:snapToGrid w:val="0"/>
        </w:rPr>
      </w:pPr>
      <w:r>
        <w:rPr>
          <w:snapToGrid w:val="0"/>
        </w:rPr>
        <w:tab/>
        <w:t>(1)</w:t>
      </w:r>
      <w:r>
        <w:rPr>
          <w:snapToGrid w:val="0"/>
        </w:rPr>
        <w:tab/>
        <w:t xml:space="preserve">A person (the </w:t>
      </w:r>
      <w:r>
        <w:rPr>
          <w:b/>
          <w:snapToGrid w:val="0"/>
        </w:rPr>
        <w:t>“</w:t>
      </w:r>
      <w:r>
        <w:rPr>
          <w:rStyle w:val="CharDefText"/>
        </w:rPr>
        <w:t>applicant</w:t>
      </w:r>
      <w:r>
        <w:rPr>
          <w:b/>
          <w:snapToGrid w:val="0"/>
        </w:rPr>
        <w:t>”</w:t>
      </w:r>
      <w:r>
        <w:rPr>
          <w:snapToGrid w:val="0"/>
        </w:rPr>
        <w:t>) may apply to the Commissioner, in or to the effect of the approved form or in the prescribed manner — </w:t>
      </w:r>
    </w:p>
    <w:p w:rsidR="00457B8F" w:rsidRDefault="00AC6540">
      <w:pPr>
        <w:pStyle w:val="Indenta"/>
        <w:rPr>
          <w:snapToGrid w:val="0"/>
        </w:rPr>
      </w:pPr>
      <w:r>
        <w:rPr>
          <w:snapToGrid w:val="0"/>
        </w:rPr>
        <w:tab/>
        <w:t>(a)</w:t>
      </w:r>
      <w:r>
        <w:rPr>
          <w:snapToGrid w:val="0"/>
        </w:rPr>
        <w:tab/>
        <w:t>for a certificate containing — </w:t>
      </w:r>
    </w:p>
    <w:p w:rsidR="00457B8F" w:rsidRDefault="00AC6540">
      <w:pPr>
        <w:pStyle w:val="Indenti"/>
        <w:rPr>
          <w:snapToGrid w:val="0"/>
        </w:rPr>
      </w:pPr>
      <w:r>
        <w:rPr>
          <w:snapToGrid w:val="0"/>
        </w:rPr>
        <w:tab/>
        <w:t>(i)</w:t>
      </w:r>
      <w:r>
        <w:rPr>
          <w:snapToGrid w:val="0"/>
        </w:rPr>
        <w:tab/>
        <w:t>details of particulars of entries in the register in respect of specified goods to which this Part applies; or</w:t>
      </w:r>
    </w:p>
    <w:p w:rsidR="00457B8F" w:rsidRDefault="00AC6540">
      <w:pPr>
        <w:pStyle w:val="Indenti"/>
        <w:rPr>
          <w:snapToGrid w:val="0"/>
        </w:rPr>
      </w:pPr>
      <w:r>
        <w:rPr>
          <w:snapToGrid w:val="0"/>
        </w:rPr>
        <w:tab/>
        <w:t>(ii)</w:t>
      </w:r>
      <w:r>
        <w:rPr>
          <w:snapToGrid w:val="0"/>
        </w:rPr>
        <w:tab/>
        <w:t>a statement that there are no entries in the register in respect of those goods;</w:t>
      </w:r>
    </w:p>
    <w:p w:rsidR="00457B8F" w:rsidRDefault="00AC6540">
      <w:pPr>
        <w:pStyle w:val="Indenta"/>
        <w:rPr>
          <w:snapToGrid w:val="0"/>
        </w:rPr>
      </w:pPr>
      <w:r>
        <w:rPr>
          <w:snapToGrid w:val="0"/>
        </w:rPr>
        <w:tab/>
      </w:r>
      <w:r>
        <w:rPr>
          <w:snapToGrid w:val="0"/>
        </w:rPr>
        <w:tab/>
        <w:t>or</w:t>
      </w:r>
    </w:p>
    <w:p w:rsidR="00457B8F" w:rsidRDefault="00AC6540">
      <w:pPr>
        <w:pStyle w:val="Indenta"/>
        <w:rPr>
          <w:snapToGrid w:val="0"/>
        </w:rPr>
      </w:pPr>
      <w:r>
        <w:rPr>
          <w:snapToGrid w:val="0"/>
        </w:rPr>
        <w:tab/>
        <w:t>(b)</w:t>
      </w:r>
      <w:r>
        <w:rPr>
          <w:snapToGrid w:val="0"/>
        </w:rPr>
        <w:tab/>
        <w:t>subject to the approval of the Commissioner, for confirmation of — </w:t>
      </w:r>
    </w:p>
    <w:p w:rsidR="00457B8F" w:rsidRDefault="00AC6540">
      <w:pPr>
        <w:pStyle w:val="Indenti"/>
        <w:rPr>
          <w:snapToGrid w:val="0"/>
        </w:rPr>
      </w:pPr>
      <w:r>
        <w:rPr>
          <w:snapToGrid w:val="0"/>
        </w:rPr>
        <w:tab/>
        <w:t>(i)</w:t>
      </w:r>
      <w:r>
        <w:rPr>
          <w:snapToGrid w:val="0"/>
        </w:rPr>
        <w:tab/>
        <w:t>details of particulars of entries in the register in respect of specified goods to which this Part applies; or</w:t>
      </w:r>
    </w:p>
    <w:p w:rsidR="00457B8F" w:rsidRDefault="00AC6540">
      <w:pPr>
        <w:pStyle w:val="Indenti"/>
        <w:rPr>
          <w:snapToGrid w:val="0"/>
        </w:rPr>
      </w:pPr>
      <w:r>
        <w:rPr>
          <w:snapToGrid w:val="0"/>
        </w:rPr>
        <w:tab/>
        <w:t>(ii)</w:t>
      </w:r>
      <w:r>
        <w:rPr>
          <w:snapToGrid w:val="0"/>
        </w:rPr>
        <w:tab/>
        <w:t xml:space="preserve">a statement that there are no entries in the register in respect of those goods, </w:t>
      </w:r>
    </w:p>
    <w:p w:rsidR="00457B8F" w:rsidRDefault="00AC6540">
      <w:pPr>
        <w:pStyle w:val="Indenta"/>
        <w:rPr>
          <w:snapToGrid w:val="0"/>
        </w:rPr>
      </w:pPr>
      <w:r>
        <w:rPr>
          <w:snapToGrid w:val="0"/>
        </w:rPr>
        <w:tab/>
      </w:r>
      <w:r>
        <w:rPr>
          <w:snapToGrid w:val="0"/>
        </w:rPr>
        <w:tab/>
        <w:t>by reference to an account sent to the applicant.</w:t>
      </w:r>
    </w:p>
    <w:p w:rsidR="00457B8F" w:rsidRDefault="00AC6540">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rsidR="00457B8F" w:rsidRDefault="00AC6540">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rsidR="00457B8F" w:rsidRDefault="00AC6540">
      <w:pPr>
        <w:pStyle w:val="Subsection"/>
        <w:rPr>
          <w:snapToGrid w:val="0"/>
        </w:rPr>
      </w:pPr>
      <w:r>
        <w:rPr>
          <w:snapToGrid w:val="0"/>
        </w:rPr>
        <w:tab/>
        <w:t>(4)</w:t>
      </w:r>
      <w:r>
        <w:rPr>
          <w:snapToGrid w:val="0"/>
        </w:rPr>
        <w:tab/>
        <w:t>In this section — </w:t>
      </w:r>
    </w:p>
    <w:p w:rsidR="00457B8F" w:rsidRDefault="00AC6540">
      <w:pPr>
        <w:pStyle w:val="Defstart"/>
      </w:pPr>
      <w:r>
        <w:rPr>
          <w:b/>
        </w:rPr>
        <w:tab/>
        <w:t>“</w:t>
      </w:r>
      <w:r>
        <w:rPr>
          <w:rStyle w:val="CharDefText"/>
        </w:rPr>
        <w:t>entries</w:t>
      </w:r>
      <w:r>
        <w:rPr>
          <w:b/>
        </w:rPr>
        <w:t>”</w:t>
      </w:r>
      <w:r>
        <w:t xml:space="preserve"> does not include particulars in the register that have been cancelled under section 19.</w:t>
      </w:r>
    </w:p>
    <w:p w:rsidR="00457B8F" w:rsidRDefault="00AC6540">
      <w:pPr>
        <w:pStyle w:val="Footnotesection"/>
      </w:pPr>
      <w:r>
        <w:tab/>
        <w:t xml:space="preserve">[Section 23 inserted by No. 39 of 1996 s. 5.] </w:t>
      </w:r>
    </w:p>
    <w:p w:rsidR="00457B8F" w:rsidRDefault="00AC6540">
      <w:pPr>
        <w:pStyle w:val="Heading5"/>
        <w:rPr>
          <w:snapToGrid w:val="0"/>
        </w:rPr>
      </w:pPr>
      <w:bookmarkStart w:id="178" w:name="_Toc11488854"/>
      <w:bookmarkStart w:id="179" w:name="_Toc131926513"/>
      <w:bookmarkStart w:id="180" w:name="_Toc131926591"/>
      <w:bookmarkStart w:id="181" w:name="_Toc131926697"/>
      <w:bookmarkStart w:id="182" w:name="_Toc139442757"/>
      <w:r>
        <w:rPr>
          <w:rStyle w:val="CharSectno"/>
        </w:rPr>
        <w:t>24</w:t>
      </w:r>
      <w:r>
        <w:rPr>
          <w:snapToGrid w:val="0"/>
        </w:rPr>
        <w:t>.</w:t>
      </w:r>
      <w:r>
        <w:rPr>
          <w:snapToGrid w:val="0"/>
        </w:rPr>
        <w:tab/>
        <w:t>Compensation for extinguishment of security interest</w:t>
      </w:r>
      <w:bookmarkEnd w:id="178"/>
      <w:bookmarkEnd w:id="179"/>
      <w:bookmarkEnd w:id="180"/>
      <w:bookmarkEnd w:id="181"/>
      <w:bookmarkEnd w:id="182"/>
      <w:r>
        <w:rPr>
          <w:snapToGrid w:val="0"/>
        </w:rPr>
        <w:t xml:space="preserve"> </w:t>
      </w:r>
    </w:p>
    <w:p w:rsidR="00457B8F" w:rsidRDefault="00AC6540">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rsidR="00457B8F" w:rsidRDefault="00AC6540">
      <w:pPr>
        <w:pStyle w:val="Indenta"/>
        <w:rPr>
          <w:snapToGrid w:val="0"/>
        </w:rPr>
      </w:pPr>
      <w:r>
        <w:rPr>
          <w:snapToGrid w:val="0"/>
        </w:rPr>
        <w:tab/>
        <w:t>(a)</w:t>
      </w:r>
      <w:r>
        <w:rPr>
          <w:snapToGrid w:val="0"/>
        </w:rPr>
        <w:tab/>
        <w:t>for the registration of which application had been made under section 15; and</w:t>
      </w:r>
    </w:p>
    <w:p w:rsidR="00457B8F" w:rsidRDefault="00AC6540">
      <w:pPr>
        <w:pStyle w:val="Indenta"/>
        <w:rPr>
          <w:snapToGrid w:val="0"/>
        </w:rPr>
      </w:pPr>
      <w:r>
        <w:rPr>
          <w:snapToGrid w:val="0"/>
        </w:rPr>
        <w:tab/>
        <w:t>(b)</w:t>
      </w:r>
      <w:r>
        <w:rPr>
          <w:snapToGrid w:val="0"/>
        </w:rPr>
        <w:tab/>
        <w:t>which at the time the loss or damage was suffered — </w:t>
      </w:r>
    </w:p>
    <w:p w:rsidR="00457B8F" w:rsidRDefault="00AC6540">
      <w:pPr>
        <w:pStyle w:val="Indenti"/>
        <w:rPr>
          <w:snapToGrid w:val="0"/>
        </w:rPr>
      </w:pPr>
      <w:r>
        <w:rPr>
          <w:snapToGrid w:val="0"/>
        </w:rPr>
        <w:tab/>
        <w:t>(i)</w:t>
      </w:r>
      <w:r>
        <w:rPr>
          <w:snapToGrid w:val="0"/>
        </w:rPr>
        <w:tab/>
        <w:t>had not been entered in the register; or</w:t>
      </w:r>
    </w:p>
    <w:p w:rsidR="00457B8F" w:rsidRDefault="00AC6540">
      <w:pPr>
        <w:pStyle w:val="Indenti"/>
        <w:rPr>
          <w:snapToGrid w:val="0"/>
        </w:rPr>
      </w:pPr>
      <w:r>
        <w:rPr>
          <w:snapToGrid w:val="0"/>
        </w:rPr>
        <w:tab/>
        <w:t>(ii)</w:t>
      </w:r>
      <w:r>
        <w:rPr>
          <w:snapToGrid w:val="0"/>
        </w:rPr>
        <w:tab/>
        <w:t>was entered in the register but not correctly entered; or</w:t>
      </w:r>
    </w:p>
    <w:p w:rsidR="00457B8F" w:rsidRDefault="00AC6540">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rsidR="00457B8F" w:rsidRDefault="00AC6540">
      <w:pPr>
        <w:pStyle w:val="Subsection"/>
        <w:rPr>
          <w:snapToGrid w:val="0"/>
        </w:rPr>
      </w:pPr>
      <w:r>
        <w:rPr>
          <w:snapToGrid w:val="0"/>
        </w:rPr>
        <w:tab/>
      </w:r>
      <w:r>
        <w:rPr>
          <w:snapToGrid w:val="0"/>
        </w:rPr>
        <w:tab/>
        <w:t>is entitled to make application to the Commissioner for an order for the payment of compensation to the applicant.</w:t>
      </w:r>
    </w:p>
    <w:p w:rsidR="00457B8F" w:rsidRDefault="00AC6540">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rsidR="00457B8F" w:rsidRDefault="00AC6540">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rsidR="00457B8F" w:rsidRDefault="00AC6540">
      <w:pPr>
        <w:pStyle w:val="Indenta"/>
        <w:rPr>
          <w:snapToGrid w:val="0"/>
        </w:rPr>
      </w:pPr>
      <w:r>
        <w:rPr>
          <w:snapToGrid w:val="0"/>
        </w:rPr>
        <w:tab/>
        <w:t>(a)</w:t>
      </w:r>
      <w:r>
        <w:rPr>
          <w:snapToGrid w:val="0"/>
        </w:rPr>
        <w:tab/>
        <w:t>because of circumstances beyond the applicant’s control; or</w:t>
      </w:r>
    </w:p>
    <w:p w:rsidR="00457B8F" w:rsidRDefault="00AC6540">
      <w:pPr>
        <w:pStyle w:val="Indenta"/>
        <w:rPr>
          <w:snapToGrid w:val="0"/>
        </w:rPr>
      </w:pPr>
      <w:r>
        <w:rPr>
          <w:snapToGrid w:val="0"/>
        </w:rPr>
        <w:tab/>
        <w:t>(b)</w:t>
      </w:r>
      <w:r>
        <w:rPr>
          <w:snapToGrid w:val="0"/>
        </w:rPr>
        <w:tab/>
        <w:t>for reasons that ought to be reasonably to be excused.</w:t>
      </w:r>
    </w:p>
    <w:p w:rsidR="00457B8F" w:rsidRDefault="00AC6540">
      <w:pPr>
        <w:pStyle w:val="Subsection"/>
        <w:rPr>
          <w:snapToGrid w:val="0"/>
        </w:rPr>
      </w:pPr>
      <w:r>
        <w:rPr>
          <w:snapToGrid w:val="0"/>
        </w:rPr>
        <w:tab/>
        <w:t>(4)</w:t>
      </w:r>
      <w:r>
        <w:rPr>
          <w:snapToGrid w:val="0"/>
        </w:rPr>
        <w:tab/>
        <w:t>Compensation paid in respect of a claim under this section shall not exceed — </w:t>
      </w:r>
    </w:p>
    <w:p w:rsidR="00457B8F" w:rsidRDefault="00AC6540">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rsidR="00457B8F" w:rsidRDefault="00AC6540">
      <w:pPr>
        <w:pStyle w:val="Indenta"/>
        <w:rPr>
          <w:snapToGrid w:val="0"/>
        </w:rPr>
      </w:pPr>
      <w:r>
        <w:rPr>
          <w:snapToGrid w:val="0"/>
        </w:rPr>
        <w:tab/>
        <w:t>(b)</w:t>
      </w:r>
      <w:r>
        <w:rPr>
          <w:snapToGrid w:val="0"/>
        </w:rPr>
        <w:tab/>
        <w:t>the value of the registrable goods in respect of which the application is made,</w:t>
      </w:r>
    </w:p>
    <w:p w:rsidR="00457B8F" w:rsidRDefault="00AC6540">
      <w:pPr>
        <w:pStyle w:val="Subsection"/>
        <w:rPr>
          <w:snapToGrid w:val="0"/>
        </w:rPr>
      </w:pPr>
      <w:r>
        <w:rPr>
          <w:snapToGrid w:val="0"/>
        </w:rPr>
        <w:tab/>
      </w:r>
      <w:r>
        <w:rPr>
          <w:snapToGrid w:val="0"/>
        </w:rPr>
        <w:tab/>
        <w:t>at the time the loss or damage is suffered, whichever is the lesser.</w:t>
      </w:r>
    </w:p>
    <w:p w:rsidR="00457B8F" w:rsidRDefault="00AC6540">
      <w:pPr>
        <w:pStyle w:val="Heading5"/>
        <w:rPr>
          <w:snapToGrid w:val="0"/>
        </w:rPr>
      </w:pPr>
      <w:bookmarkStart w:id="183" w:name="_Toc11488855"/>
      <w:bookmarkStart w:id="184" w:name="_Toc131926514"/>
      <w:bookmarkStart w:id="185" w:name="_Toc131926592"/>
      <w:bookmarkStart w:id="186" w:name="_Toc131926698"/>
      <w:bookmarkStart w:id="187" w:name="_Toc139442758"/>
      <w:r>
        <w:rPr>
          <w:rStyle w:val="CharSectno"/>
        </w:rPr>
        <w:t>25</w:t>
      </w:r>
      <w:r>
        <w:rPr>
          <w:snapToGrid w:val="0"/>
        </w:rPr>
        <w:t>.</w:t>
      </w:r>
      <w:r>
        <w:rPr>
          <w:snapToGrid w:val="0"/>
        </w:rPr>
        <w:tab/>
        <w:t>Compensation where entry not shown on certificate</w:t>
      </w:r>
      <w:bookmarkEnd w:id="183"/>
      <w:bookmarkEnd w:id="184"/>
      <w:bookmarkEnd w:id="185"/>
      <w:bookmarkEnd w:id="186"/>
      <w:bookmarkEnd w:id="187"/>
      <w:r>
        <w:rPr>
          <w:snapToGrid w:val="0"/>
        </w:rPr>
        <w:t xml:space="preserve"> </w:t>
      </w:r>
    </w:p>
    <w:p w:rsidR="00457B8F" w:rsidRDefault="00AC6540">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rsidR="00457B8F" w:rsidRDefault="00AC6540">
      <w:pPr>
        <w:pStyle w:val="Indenta"/>
        <w:rPr>
          <w:snapToGrid w:val="0"/>
        </w:rPr>
      </w:pPr>
      <w:r>
        <w:rPr>
          <w:snapToGrid w:val="0"/>
        </w:rPr>
        <w:tab/>
        <w:t>(a)</w:t>
      </w:r>
      <w:r>
        <w:rPr>
          <w:snapToGrid w:val="0"/>
        </w:rPr>
        <w:tab/>
      </w:r>
      <w:r>
        <w:rPr>
          <w:snapToGrid w:val="0"/>
          <w:spacing w:val="-4"/>
        </w:rPr>
        <w:t>before the purchase was made, an application was made —</w:t>
      </w:r>
    </w:p>
    <w:p w:rsidR="00457B8F" w:rsidRDefault="00AC6540">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rsidR="00457B8F" w:rsidRDefault="00AC6540">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rsidR="00457B8F" w:rsidRDefault="00AC6540">
      <w:pPr>
        <w:pStyle w:val="Indenta"/>
        <w:rPr>
          <w:snapToGrid w:val="0"/>
        </w:rPr>
      </w:pPr>
      <w:r>
        <w:rPr>
          <w:snapToGrid w:val="0"/>
        </w:rPr>
        <w:tab/>
      </w:r>
      <w:r>
        <w:rPr>
          <w:snapToGrid w:val="0"/>
        </w:rPr>
        <w:tab/>
        <w:t>and</w:t>
      </w:r>
    </w:p>
    <w:p w:rsidR="00457B8F" w:rsidRDefault="00AC6540">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rsidR="00457B8F" w:rsidRDefault="00AC6540">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rsidR="00457B8F" w:rsidRDefault="00AC6540">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rsidR="00457B8F" w:rsidRDefault="00AC6540">
      <w:pPr>
        <w:pStyle w:val="Indenta"/>
        <w:rPr>
          <w:snapToGrid w:val="0"/>
        </w:rPr>
      </w:pPr>
      <w:r>
        <w:rPr>
          <w:snapToGrid w:val="0"/>
        </w:rPr>
        <w:tab/>
        <w:t>(a)</w:t>
      </w:r>
      <w:r>
        <w:rPr>
          <w:snapToGrid w:val="0"/>
        </w:rPr>
        <w:tab/>
        <w:t>had actual notice of the security interest entered in the register; or</w:t>
      </w:r>
    </w:p>
    <w:p w:rsidR="00457B8F" w:rsidRDefault="00AC6540">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rsidR="00457B8F" w:rsidRDefault="00AC6540">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rsidR="00457B8F" w:rsidRDefault="00AC6540">
      <w:pPr>
        <w:pStyle w:val="Footnotesection"/>
      </w:pPr>
      <w:r>
        <w:tab/>
        <w:t xml:space="preserve">[Section 25 amended by No. 39 of 1996 s. 6.] </w:t>
      </w:r>
    </w:p>
    <w:p w:rsidR="00457B8F" w:rsidRDefault="00AC6540">
      <w:pPr>
        <w:pStyle w:val="Heading5"/>
        <w:rPr>
          <w:snapToGrid w:val="0"/>
        </w:rPr>
      </w:pPr>
      <w:bookmarkStart w:id="188" w:name="_Toc11488856"/>
      <w:bookmarkStart w:id="189" w:name="_Toc131926515"/>
      <w:bookmarkStart w:id="190" w:name="_Toc131926593"/>
      <w:bookmarkStart w:id="191" w:name="_Toc131926699"/>
      <w:bookmarkStart w:id="192" w:name="_Toc139442759"/>
      <w:r>
        <w:rPr>
          <w:rStyle w:val="CharSectno"/>
        </w:rPr>
        <w:t>26</w:t>
      </w:r>
      <w:r>
        <w:rPr>
          <w:snapToGrid w:val="0"/>
        </w:rPr>
        <w:t>.</w:t>
      </w:r>
      <w:r>
        <w:rPr>
          <w:snapToGrid w:val="0"/>
        </w:rPr>
        <w:tab/>
      </w:r>
      <w:bookmarkEnd w:id="188"/>
      <w:bookmarkEnd w:id="189"/>
      <w:bookmarkEnd w:id="190"/>
      <w:bookmarkEnd w:id="191"/>
      <w:r>
        <w:rPr>
          <w:snapToGrid w:val="0"/>
        </w:rPr>
        <w:t>Review by State Administrative Tribunal</w:t>
      </w:r>
      <w:bookmarkEnd w:id="192"/>
      <w:r>
        <w:rPr>
          <w:snapToGrid w:val="0"/>
        </w:rPr>
        <w:t xml:space="preserve"> </w:t>
      </w:r>
    </w:p>
    <w:p w:rsidR="00457B8F" w:rsidRDefault="00AC6540">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rsidR="00457B8F" w:rsidRDefault="00AC6540">
      <w:pPr>
        <w:pStyle w:val="Ednotesubsection"/>
      </w:pPr>
      <w:bookmarkStart w:id="193" w:name="_Toc11488857"/>
      <w:r>
        <w:tab/>
        <w:t>[(2)</w:t>
      </w:r>
      <w:r>
        <w:tab/>
        <w:t>repealed]</w:t>
      </w:r>
    </w:p>
    <w:p w:rsidR="00457B8F" w:rsidRDefault="00AC6540">
      <w:pPr>
        <w:pStyle w:val="Footnotesection"/>
      </w:pPr>
      <w:r>
        <w:tab/>
        <w:t>[Section 26 amended by No. 55 of 2004 s. 105.]</w:t>
      </w:r>
    </w:p>
    <w:p w:rsidR="00457B8F" w:rsidRDefault="00AC6540">
      <w:pPr>
        <w:pStyle w:val="Ednotesection"/>
      </w:pPr>
      <w:bookmarkStart w:id="194" w:name="_Toc11488859"/>
      <w:bookmarkEnd w:id="193"/>
      <w:r>
        <w:t>[</w:t>
      </w:r>
      <w:r>
        <w:rPr>
          <w:b/>
        </w:rPr>
        <w:t>27, 28.</w:t>
      </w:r>
      <w:r>
        <w:tab/>
        <w:t>Repealed by No. 55 of 2004 s. 106.]</w:t>
      </w:r>
    </w:p>
    <w:p w:rsidR="00457B8F" w:rsidRDefault="00AC6540">
      <w:pPr>
        <w:pStyle w:val="Heading2"/>
        <w:rPr>
          <w:rStyle w:val="CharPartText"/>
        </w:rPr>
      </w:pPr>
      <w:bookmarkStart w:id="195" w:name="_Toc138750049"/>
      <w:bookmarkStart w:id="196" w:name="_Toc138750734"/>
      <w:bookmarkStart w:id="197" w:name="_Toc139166475"/>
      <w:bookmarkStart w:id="198" w:name="_Toc139266195"/>
      <w:bookmarkStart w:id="199" w:name="_Toc139343868"/>
      <w:bookmarkStart w:id="200" w:name="_Toc139442760"/>
      <w:bookmarkStart w:id="201" w:name="_Toc131926516"/>
      <w:bookmarkStart w:id="202" w:name="_Toc131926594"/>
      <w:bookmarkStart w:id="203" w:name="_Toc131926700"/>
      <w:r>
        <w:rPr>
          <w:rStyle w:val="CharPartNo"/>
        </w:rPr>
        <w:t>Part IV</w:t>
      </w:r>
      <w:r>
        <w:t xml:space="preserve"> — </w:t>
      </w:r>
      <w:r>
        <w:rPr>
          <w:rStyle w:val="CharPartText"/>
        </w:rPr>
        <w:t>Miscellaneous</w:t>
      </w:r>
      <w:bookmarkEnd w:id="195"/>
      <w:bookmarkEnd w:id="196"/>
      <w:bookmarkEnd w:id="197"/>
      <w:bookmarkEnd w:id="198"/>
      <w:bookmarkEnd w:id="199"/>
      <w:bookmarkEnd w:id="200"/>
    </w:p>
    <w:p w:rsidR="00457B8F" w:rsidRDefault="00AC6540">
      <w:pPr>
        <w:pStyle w:val="Footnoteheading"/>
      </w:pPr>
      <w:r>
        <w:tab/>
        <w:t>[Heading inserted by No. 28 of 2006 s. 61.]</w:t>
      </w:r>
    </w:p>
    <w:p w:rsidR="00457B8F" w:rsidRDefault="00AC6540">
      <w:pPr>
        <w:pStyle w:val="Heading5"/>
        <w:rPr>
          <w:snapToGrid w:val="0"/>
        </w:rPr>
      </w:pPr>
      <w:bookmarkStart w:id="204" w:name="_Toc139442761"/>
      <w:r>
        <w:rPr>
          <w:rStyle w:val="CharSectno"/>
        </w:rPr>
        <w:t>29</w:t>
      </w:r>
      <w:r>
        <w:rPr>
          <w:snapToGrid w:val="0"/>
        </w:rPr>
        <w:t>.</w:t>
      </w:r>
      <w:r>
        <w:rPr>
          <w:snapToGrid w:val="0"/>
        </w:rPr>
        <w:tab/>
        <w:t>Appropriation</w:t>
      </w:r>
      <w:bookmarkEnd w:id="194"/>
      <w:bookmarkEnd w:id="201"/>
      <w:bookmarkEnd w:id="202"/>
      <w:bookmarkEnd w:id="203"/>
      <w:bookmarkEnd w:id="204"/>
      <w:r>
        <w:rPr>
          <w:snapToGrid w:val="0"/>
        </w:rPr>
        <w:t xml:space="preserve"> </w:t>
      </w:r>
    </w:p>
    <w:p w:rsidR="00457B8F" w:rsidRDefault="00AC6540">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rsidR="00457B8F" w:rsidRDefault="00AC6540">
      <w:pPr>
        <w:pStyle w:val="Footnotesection"/>
        <w:rPr>
          <w:spacing w:val="-4"/>
        </w:rPr>
      </w:pPr>
      <w:r>
        <w:tab/>
      </w:r>
      <w:r>
        <w:rPr>
          <w:spacing w:val="-4"/>
        </w:rPr>
        <w:t>[Section 29 amended by No. 6 of 1993 s. 11; No. 49 of 1996 s. 64; No. 55 of 2004 s. 107.]</w:t>
      </w:r>
    </w:p>
    <w:p w:rsidR="00457B8F" w:rsidRDefault="00AC6540">
      <w:pPr>
        <w:pStyle w:val="Heading5"/>
        <w:rPr>
          <w:snapToGrid w:val="0"/>
        </w:rPr>
      </w:pPr>
      <w:bookmarkStart w:id="205" w:name="_Toc11488860"/>
      <w:bookmarkStart w:id="206" w:name="_Toc131926517"/>
      <w:bookmarkStart w:id="207" w:name="_Toc131926595"/>
      <w:bookmarkStart w:id="208" w:name="_Toc131926701"/>
      <w:bookmarkStart w:id="209" w:name="_Toc139442762"/>
      <w:r>
        <w:rPr>
          <w:rStyle w:val="CharSectno"/>
        </w:rPr>
        <w:t>30</w:t>
      </w:r>
      <w:r>
        <w:rPr>
          <w:snapToGrid w:val="0"/>
        </w:rPr>
        <w:t>.</w:t>
      </w:r>
      <w:r>
        <w:rPr>
          <w:snapToGrid w:val="0"/>
        </w:rPr>
        <w:tab/>
        <w:t>Offence</w:t>
      </w:r>
      <w:bookmarkEnd w:id="205"/>
      <w:bookmarkEnd w:id="206"/>
      <w:bookmarkEnd w:id="207"/>
      <w:bookmarkEnd w:id="208"/>
      <w:bookmarkEnd w:id="209"/>
      <w:r>
        <w:rPr>
          <w:snapToGrid w:val="0"/>
        </w:rPr>
        <w:t xml:space="preserve"> </w:t>
      </w:r>
    </w:p>
    <w:p w:rsidR="00457B8F" w:rsidRDefault="00AC6540">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rsidR="00457B8F" w:rsidRDefault="00AC6540">
      <w:pPr>
        <w:pStyle w:val="Penstart"/>
        <w:rPr>
          <w:snapToGrid w:val="0"/>
        </w:rPr>
      </w:pPr>
      <w:r>
        <w:rPr>
          <w:snapToGrid w:val="0"/>
        </w:rPr>
        <w:tab/>
        <w:t>Penalty: $2 500.</w:t>
      </w:r>
    </w:p>
    <w:p w:rsidR="00457B8F" w:rsidRDefault="00AC6540">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rsidR="00457B8F" w:rsidRDefault="00AC6540">
      <w:pPr>
        <w:pStyle w:val="Subsection"/>
        <w:rPr>
          <w:snapToGrid w:val="0"/>
        </w:rPr>
      </w:pPr>
      <w:r>
        <w:rPr>
          <w:snapToGrid w:val="0"/>
        </w:rPr>
        <w:tab/>
        <w:t>(3)</w:t>
      </w:r>
      <w:r>
        <w:rPr>
          <w:snapToGrid w:val="0"/>
        </w:rPr>
        <w:tab/>
        <w:t>A dealer shall not supply any goods in the course of a business without first procuring the discharge of — </w:t>
      </w:r>
    </w:p>
    <w:p w:rsidR="00457B8F" w:rsidRDefault="00AC6540">
      <w:pPr>
        <w:pStyle w:val="Indenta"/>
        <w:rPr>
          <w:snapToGrid w:val="0"/>
        </w:rPr>
      </w:pPr>
      <w:r>
        <w:rPr>
          <w:snapToGrid w:val="0"/>
        </w:rPr>
        <w:tab/>
        <w:t>(a)</w:t>
      </w:r>
      <w:r>
        <w:rPr>
          <w:snapToGrid w:val="0"/>
        </w:rPr>
        <w:tab/>
        <w:t>any security interest of which the dealer has notice;</w:t>
      </w:r>
    </w:p>
    <w:p w:rsidR="00457B8F" w:rsidRDefault="00AC6540">
      <w:pPr>
        <w:pStyle w:val="Indenta"/>
        <w:rPr>
          <w:snapToGrid w:val="0"/>
        </w:rPr>
      </w:pPr>
      <w:r>
        <w:rPr>
          <w:snapToGrid w:val="0"/>
        </w:rPr>
        <w:tab/>
        <w:t>(b)</w:t>
      </w:r>
      <w:r>
        <w:rPr>
          <w:snapToGrid w:val="0"/>
        </w:rPr>
        <w:tab/>
        <w:t>any registered security interest whether or not the dealer has notice of the interest; and</w:t>
      </w:r>
    </w:p>
    <w:p w:rsidR="00457B8F" w:rsidRDefault="00AC6540">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rsidR="00457B8F" w:rsidRDefault="00AC6540">
      <w:pPr>
        <w:pStyle w:val="Penstart"/>
        <w:rPr>
          <w:snapToGrid w:val="0"/>
        </w:rPr>
      </w:pPr>
      <w:r>
        <w:rPr>
          <w:snapToGrid w:val="0"/>
        </w:rPr>
        <w:tab/>
        <w:t>Penalty: $2 500.</w:t>
      </w:r>
    </w:p>
    <w:p w:rsidR="00457B8F" w:rsidRDefault="00AC6540">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rsidR="00457B8F" w:rsidRDefault="00AC6540">
      <w:pPr>
        <w:pStyle w:val="Heading5"/>
      </w:pPr>
      <w:bookmarkStart w:id="210" w:name="_Toc138750736"/>
      <w:bookmarkStart w:id="211" w:name="_Toc139166477"/>
      <w:bookmarkStart w:id="212" w:name="_Toc139266197"/>
      <w:bookmarkStart w:id="213" w:name="_Toc139442763"/>
      <w:bookmarkStart w:id="214" w:name="_Toc11488861"/>
      <w:bookmarkStart w:id="215" w:name="_Toc131926518"/>
      <w:bookmarkStart w:id="216" w:name="_Toc131926596"/>
      <w:bookmarkStart w:id="217" w:name="_Toc131926702"/>
      <w:r>
        <w:rPr>
          <w:rStyle w:val="CharSectno"/>
        </w:rPr>
        <w:t>30A</w:t>
      </w:r>
      <w:r>
        <w:t>.</w:t>
      </w:r>
      <w:r>
        <w:tab/>
        <w:t>Delegation by Commissioner</w:t>
      </w:r>
      <w:bookmarkEnd w:id="210"/>
      <w:bookmarkEnd w:id="211"/>
      <w:bookmarkEnd w:id="212"/>
      <w:bookmarkEnd w:id="213"/>
    </w:p>
    <w:p w:rsidR="00457B8F" w:rsidRDefault="00AC6540">
      <w:pPr>
        <w:pStyle w:val="Subsection"/>
      </w:pPr>
      <w:r>
        <w:tab/>
        <w:t>(1)</w:t>
      </w:r>
      <w:r>
        <w:tab/>
        <w:t>The Commissioner may delegate to any other person employed in the Department any power or duty of the Commissioner under another provision of this Act.</w:t>
      </w:r>
    </w:p>
    <w:p w:rsidR="00457B8F" w:rsidRDefault="00AC6540">
      <w:pPr>
        <w:pStyle w:val="Subsection"/>
      </w:pPr>
      <w:r>
        <w:tab/>
        <w:t>(2)</w:t>
      </w:r>
      <w:r>
        <w:tab/>
        <w:t>The delegation must be in writing signed by the Commissioner.</w:t>
      </w:r>
    </w:p>
    <w:p w:rsidR="00457B8F" w:rsidRDefault="00AC6540">
      <w:pPr>
        <w:pStyle w:val="Subsection"/>
      </w:pPr>
      <w:r>
        <w:tab/>
        <w:t>(3)</w:t>
      </w:r>
      <w:r>
        <w:tab/>
        <w:t>A person to whom a power or duty is delegated under this section cannot delegate that power or duty.</w:t>
      </w:r>
    </w:p>
    <w:p w:rsidR="00457B8F" w:rsidRDefault="00AC6540">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457B8F" w:rsidRDefault="00AC6540">
      <w:pPr>
        <w:pStyle w:val="Subsection"/>
      </w:pPr>
      <w:r>
        <w:tab/>
        <w:t>(5)</w:t>
      </w:r>
      <w:r>
        <w:tab/>
        <w:t>Nothing in this section limits the ability of the Commissioner to perform a function through an officer or agent.</w:t>
      </w:r>
    </w:p>
    <w:p w:rsidR="00457B8F" w:rsidRDefault="00AC6540">
      <w:pPr>
        <w:pStyle w:val="Footnotesection"/>
      </w:pPr>
      <w:r>
        <w:tab/>
        <w:t>[Section 30A inserted by No. 28 of 2006 s. 62.]</w:t>
      </w:r>
    </w:p>
    <w:p w:rsidR="00457B8F" w:rsidRDefault="00AC6540">
      <w:pPr>
        <w:pStyle w:val="Heading5"/>
      </w:pPr>
      <w:bookmarkStart w:id="218" w:name="_Toc138750737"/>
      <w:bookmarkStart w:id="219" w:name="_Toc139166478"/>
      <w:bookmarkStart w:id="220" w:name="_Toc139266198"/>
      <w:bookmarkStart w:id="221" w:name="_Toc139442764"/>
      <w:r>
        <w:rPr>
          <w:rStyle w:val="CharSectno"/>
        </w:rPr>
        <w:t>30B</w:t>
      </w:r>
      <w:r>
        <w:t>.</w:t>
      </w:r>
      <w:r>
        <w:tab/>
        <w:t>Information officially obtained to be confidential</w:t>
      </w:r>
      <w:bookmarkEnd w:id="218"/>
      <w:bookmarkEnd w:id="219"/>
      <w:bookmarkEnd w:id="220"/>
      <w:bookmarkEnd w:id="221"/>
    </w:p>
    <w:p w:rsidR="00457B8F" w:rsidRDefault="00AC6540">
      <w:pPr>
        <w:pStyle w:val="Subsection"/>
      </w:pPr>
      <w:r>
        <w:tab/>
        <w:t>(1)</w:t>
      </w:r>
      <w:r>
        <w:tab/>
        <w:t>A person who misuses information obtained by reason of any function that person has, or at any time had, in the administration of this Act commits an offence.</w:t>
      </w:r>
    </w:p>
    <w:p w:rsidR="00457B8F" w:rsidRDefault="00AC6540">
      <w:pPr>
        <w:pStyle w:val="Penstart"/>
      </w:pPr>
      <w:r>
        <w:tab/>
        <w:t>Penalty: $20 000.</w:t>
      </w:r>
    </w:p>
    <w:p w:rsidR="00457B8F" w:rsidRDefault="00AC6540">
      <w:pPr>
        <w:pStyle w:val="Subsection"/>
      </w:pPr>
      <w:r>
        <w:tab/>
        <w:t>(2)</w:t>
      </w:r>
      <w:r>
        <w:tab/>
        <w:t>A person misuses information if it is, directly or indirectly, recorded, used, or disclosed to another person, other than —</w:t>
      </w:r>
    </w:p>
    <w:p w:rsidR="00457B8F" w:rsidRDefault="00AC6540">
      <w:pPr>
        <w:pStyle w:val="Indenta"/>
      </w:pPr>
      <w:r>
        <w:tab/>
        <w:t>(a)</w:t>
      </w:r>
      <w:r>
        <w:tab/>
        <w:t>in the course of duty;</w:t>
      </w:r>
    </w:p>
    <w:p w:rsidR="00457B8F" w:rsidRDefault="00AC6540">
      <w:pPr>
        <w:pStyle w:val="Indenta"/>
      </w:pPr>
      <w:r>
        <w:tab/>
        <w:t>(b)</w:t>
      </w:r>
      <w:r>
        <w:tab/>
        <w:t>under this Act;</w:t>
      </w:r>
    </w:p>
    <w:p w:rsidR="00457B8F" w:rsidRDefault="00AC6540">
      <w:pPr>
        <w:pStyle w:val="Indenta"/>
      </w:pPr>
      <w:r>
        <w:tab/>
        <w:t>(c)</w:t>
      </w:r>
      <w:r>
        <w:tab/>
        <w:t>for the purposes of the investigation of any suspected offence or the conduct of proceedings against any person for an offence;</w:t>
      </w:r>
    </w:p>
    <w:p w:rsidR="00457B8F" w:rsidRDefault="00AC6540">
      <w:pPr>
        <w:pStyle w:val="Indenta"/>
      </w:pPr>
      <w:r>
        <w:tab/>
        <w:t>(d)</w:t>
      </w:r>
      <w:r>
        <w:tab/>
        <w:t>in a manner that could not reasonably be expected to lead to the identification of any person to whom the information refers; or</w:t>
      </w:r>
    </w:p>
    <w:p w:rsidR="00457B8F" w:rsidRDefault="00AC6540">
      <w:pPr>
        <w:pStyle w:val="Indenta"/>
      </w:pPr>
      <w:r>
        <w:tab/>
        <w:t>(e)</w:t>
      </w:r>
      <w:r>
        <w:tab/>
        <w:t>with the consent of the person to whom the information relates, or each of them if there is more than one.</w:t>
      </w:r>
    </w:p>
    <w:p w:rsidR="00457B8F" w:rsidRDefault="00AC6540">
      <w:pPr>
        <w:pStyle w:val="Subsection"/>
      </w:pPr>
      <w:r>
        <w:tab/>
        <w:t>(3)</w:t>
      </w:r>
      <w:r>
        <w:tab/>
        <w:t xml:space="preserve">In this section — </w:t>
      </w:r>
    </w:p>
    <w:p w:rsidR="00457B8F" w:rsidRDefault="00AC6540">
      <w:pPr>
        <w:pStyle w:val="Defstart"/>
      </w:pPr>
      <w:r>
        <w:rPr>
          <w:b/>
        </w:rPr>
        <w:tab/>
        <w:t>“</w:t>
      </w:r>
      <w:r>
        <w:rPr>
          <w:rStyle w:val="CharDefText"/>
        </w:rPr>
        <w:t>information</w:t>
      </w:r>
      <w:r>
        <w:rPr>
          <w:b/>
        </w:rPr>
        <w:t>”</w:t>
      </w:r>
      <w:r>
        <w:t xml:space="preserve"> means information concerning the affairs of a person.</w:t>
      </w:r>
    </w:p>
    <w:p w:rsidR="00457B8F" w:rsidRDefault="00AC6540">
      <w:pPr>
        <w:pStyle w:val="Footnotesection"/>
      </w:pPr>
      <w:bookmarkStart w:id="222" w:name="_Toc138750738"/>
      <w:bookmarkStart w:id="223" w:name="_Toc139166479"/>
      <w:bookmarkStart w:id="224" w:name="_Toc139266199"/>
      <w:r>
        <w:tab/>
        <w:t>[Section 30B inserted by No. 28 of 2006 s. 62.]</w:t>
      </w:r>
    </w:p>
    <w:p w:rsidR="00457B8F" w:rsidRDefault="00AC6540">
      <w:pPr>
        <w:pStyle w:val="Heading5"/>
      </w:pPr>
      <w:bookmarkStart w:id="225" w:name="_Toc139442765"/>
      <w:r>
        <w:rPr>
          <w:rStyle w:val="CharSectno"/>
        </w:rPr>
        <w:t>30C</w:t>
      </w:r>
      <w:r>
        <w:t>.</w:t>
      </w:r>
      <w:r>
        <w:tab/>
        <w:t>Protection from liability for wrongdoing</w:t>
      </w:r>
      <w:bookmarkEnd w:id="222"/>
      <w:bookmarkEnd w:id="223"/>
      <w:bookmarkEnd w:id="224"/>
      <w:bookmarkEnd w:id="225"/>
    </w:p>
    <w:p w:rsidR="00457B8F" w:rsidRDefault="00AC6540">
      <w:pPr>
        <w:pStyle w:val="Subsection"/>
      </w:pPr>
      <w:r>
        <w:tab/>
        <w:t>(1)</w:t>
      </w:r>
      <w:r>
        <w:tab/>
        <w:t>Subject to sections 24 and 25, a person is not liable for anything that the person has, in good faith, done in the performance or purported performance of a function under this Act.</w:t>
      </w:r>
    </w:p>
    <w:p w:rsidR="00457B8F" w:rsidRDefault="00AC6540">
      <w:pPr>
        <w:pStyle w:val="Subsection"/>
      </w:pPr>
      <w:r>
        <w:tab/>
        <w:t>(2)</w:t>
      </w:r>
      <w:r>
        <w:tab/>
        <w:t>Subject to sections 24 and 25, the State is also relieved of any liability that it might otherwise have had for another person having done anything as described in subsection (1).</w:t>
      </w:r>
    </w:p>
    <w:p w:rsidR="00457B8F" w:rsidRDefault="00AC6540">
      <w:pPr>
        <w:pStyle w:val="Subsection"/>
      </w:pPr>
      <w:r>
        <w:tab/>
        <w:t>(3)</w:t>
      </w:r>
      <w:r>
        <w:tab/>
        <w:t>The protection given by this section applies even though the thing done as described in subsection (1) may have been capable of being done whether or not this Act had been enacted.</w:t>
      </w:r>
    </w:p>
    <w:p w:rsidR="00457B8F" w:rsidRDefault="00AC6540">
      <w:pPr>
        <w:pStyle w:val="Subsection"/>
      </w:pPr>
      <w:r>
        <w:tab/>
        <w:t>(4)</w:t>
      </w:r>
      <w:r>
        <w:tab/>
        <w:t>In this section, a reference to the doing of anything includes a reference to an omission to do anything.</w:t>
      </w:r>
    </w:p>
    <w:p w:rsidR="00457B8F" w:rsidRDefault="00AC6540">
      <w:pPr>
        <w:pStyle w:val="Footnotesection"/>
      </w:pPr>
      <w:bookmarkStart w:id="226" w:name="_Toc138750739"/>
      <w:bookmarkStart w:id="227" w:name="_Toc139166480"/>
      <w:bookmarkStart w:id="228" w:name="_Toc139266200"/>
      <w:r>
        <w:tab/>
        <w:t>[Section 30C inserted by No. 28 of 2006 s. 62.]</w:t>
      </w:r>
    </w:p>
    <w:p w:rsidR="00457B8F" w:rsidRDefault="00AC6540">
      <w:pPr>
        <w:pStyle w:val="Heading5"/>
      </w:pPr>
      <w:bookmarkStart w:id="229" w:name="_Toc139442766"/>
      <w:r>
        <w:rPr>
          <w:rStyle w:val="CharSectno"/>
        </w:rPr>
        <w:t>30D</w:t>
      </w:r>
      <w:r>
        <w:t>.</w:t>
      </w:r>
      <w:r>
        <w:tab/>
        <w:t xml:space="preserve">Application of certain provisions of the </w:t>
      </w:r>
      <w:r>
        <w:rPr>
          <w:i/>
        </w:rPr>
        <w:t>Consumer Affairs Act 1971</w:t>
      </w:r>
      <w:bookmarkEnd w:id="226"/>
      <w:bookmarkEnd w:id="227"/>
      <w:bookmarkEnd w:id="228"/>
      <w:bookmarkEnd w:id="229"/>
    </w:p>
    <w:p w:rsidR="00457B8F" w:rsidRDefault="00AC6540">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rsidR="00457B8F" w:rsidRDefault="00AC6540">
      <w:pPr>
        <w:pStyle w:val="Footnotesection"/>
      </w:pPr>
      <w:r>
        <w:tab/>
        <w:t>[Section 30D inserted by No. 28 of 2006 s. 62.]</w:t>
      </w:r>
    </w:p>
    <w:p w:rsidR="00457B8F" w:rsidRDefault="00AC6540">
      <w:pPr>
        <w:pStyle w:val="Heading5"/>
        <w:rPr>
          <w:snapToGrid w:val="0"/>
        </w:rPr>
      </w:pPr>
      <w:bookmarkStart w:id="230" w:name="_Toc139442767"/>
      <w:r>
        <w:rPr>
          <w:rStyle w:val="CharSectno"/>
        </w:rPr>
        <w:t>31</w:t>
      </w:r>
      <w:r>
        <w:rPr>
          <w:snapToGrid w:val="0"/>
        </w:rPr>
        <w:t>.</w:t>
      </w:r>
      <w:r>
        <w:rPr>
          <w:snapToGrid w:val="0"/>
        </w:rPr>
        <w:tab/>
        <w:t>Regulations</w:t>
      </w:r>
      <w:bookmarkEnd w:id="214"/>
      <w:bookmarkEnd w:id="215"/>
      <w:bookmarkEnd w:id="216"/>
      <w:bookmarkEnd w:id="217"/>
      <w:bookmarkEnd w:id="230"/>
      <w:r>
        <w:rPr>
          <w:snapToGrid w:val="0"/>
        </w:rPr>
        <w:t xml:space="preserve"> </w:t>
      </w:r>
    </w:p>
    <w:p w:rsidR="00457B8F" w:rsidRDefault="00AC6540">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rsidR="00457B8F" w:rsidRDefault="00AC6540">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rsidR="00457B8F" w:rsidRDefault="00AC6540">
      <w:pPr>
        <w:pStyle w:val="Ednotesection"/>
      </w:pPr>
      <w:r>
        <w:t>[</w:t>
      </w:r>
      <w:r>
        <w:rPr>
          <w:b/>
        </w:rPr>
        <w:t>32.</w:t>
      </w:r>
      <w:r>
        <w:rPr>
          <w:b/>
        </w:rPr>
        <w:tab/>
      </w:r>
      <w:r>
        <w:t>Omitted under the Reprints Act 1984 s. 7(4)(e).]</w:t>
      </w:r>
    </w:p>
    <w:p w:rsidR="00457B8F" w:rsidRDefault="00457B8F">
      <w:pPr>
        <w:sectPr w:rsidR="00457B8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57B8F" w:rsidRDefault="00AC6540">
      <w:pPr>
        <w:pStyle w:val="nHeading2"/>
      </w:pPr>
      <w:bookmarkStart w:id="231" w:name="_Toc92444785"/>
      <w:bookmarkStart w:id="232" w:name="_Toc130956248"/>
      <w:bookmarkStart w:id="233" w:name="_Toc131319038"/>
      <w:bookmarkStart w:id="234" w:name="_Toc131319347"/>
      <w:bookmarkStart w:id="235" w:name="_Toc131319382"/>
      <w:bookmarkStart w:id="236" w:name="_Toc131319417"/>
      <w:bookmarkStart w:id="237" w:name="_Toc131319452"/>
      <w:bookmarkStart w:id="238" w:name="_Toc131319487"/>
      <w:bookmarkStart w:id="239" w:name="_Toc131926519"/>
      <w:bookmarkStart w:id="240" w:name="_Toc131926597"/>
      <w:bookmarkStart w:id="241" w:name="_Toc131926668"/>
      <w:bookmarkStart w:id="242" w:name="_Toc131926703"/>
      <w:bookmarkStart w:id="243" w:name="_Toc131927065"/>
      <w:bookmarkStart w:id="244" w:name="_Toc132433631"/>
      <w:bookmarkStart w:id="245" w:name="_Toc132434870"/>
      <w:bookmarkStart w:id="246" w:name="_Toc133139959"/>
      <w:bookmarkStart w:id="247" w:name="_Toc135464387"/>
      <w:bookmarkStart w:id="248" w:name="_Toc139343876"/>
      <w:bookmarkStart w:id="249" w:name="_Toc139442768"/>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457B8F" w:rsidRDefault="00AC6540">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57B8F" w:rsidRDefault="00AC6540">
      <w:pPr>
        <w:pStyle w:val="nHeading3"/>
        <w:rPr>
          <w:snapToGrid w:val="0"/>
        </w:rPr>
      </w:pPr>
      <w:bookmarkStart w:id="250" w:name="_Toc131926520"/>
      <w:bookmarkStart w:id="251" w:name="_Toc131926598"/>
      <w:bookmarkStart w:id="252" w:name="_Toc131926704"/>
      <w:bookmarkStart w:id="253" w:name="_Toc139442769"/>
      <w:r>
        <w:rPr>
          <w:snapToGrid w:val="0"/>
        </w:rPr>
        <w:t>Compilation table</w:t>
      </w:r>
      <w:bookmarkEnd w:id="250"/>
      <w:bookmarkEnd w:id="251"/>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57B8F">
        <w:trPr>
          <w:tblHeader/>
        </w:trPr>
        <w:tc>
          <w:tcPr>
            <w:tcW w:w="2268" w:type="dxa"/>
            <w:tcBorders>
              <w:top w:val="single" w:sz="8" w:space="0" w:color="auto"/>
              <w:bottom w:val="single" w:sz="8" w:space="0" w:color="auto"/>
            </w:tcBorders>
          </w:tcPr>
          <w:p w:rsidR="00457B8F" w:rsidRDefault="00AC6540">
            <w:pPr>
              <w:pStyle w:val="nTable"/>
              <w:spacing w:after="40"/>
              <w:rPr>
                <w:b/>
                <w:sz w:val="19"/>
              </w:rPr>
            </w:pPr>
            <w:r>
              <w:rPr>
                <w:b/>
                <w:sz w:val="19"/>
              </w:rPr>
              <w:t>Short title</w:t>
            </w:r>
          </w:p>
        </w:tc>
        <w:tc>
          <w:tcPr>
            <w:tcW w:w="1134" w:type="dxa"/>
            <w:tcBorders>
              <w:top w:val="single" w:sz="8" w:space="0" w:color="auto"/>
              <w:bottom w:val="single" w:sz="8" w:space="0" w:color="auto"/>
            </w:tcBorders>
          </w:tcPr>
          <w:p w:rsidR="00457B8F" w:rsidRDefault="00AC654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57B8F" w:rsidRDefault="00AC6540">
            <w:pPr>
              <w:pStyle w:val="nTable"/>
              <w:spacing w:after="40"/>
              <w:rPr>
                <w:b/>
                <w:sz w:val="19"/>
              </w:rPr>
            </w:pPr>
            <w:r>
              <w:rPr>
                <w:b/>
                <w:sz w:val="19"/>
              </w:rPr>
              <w:t>Assent</w:t>
            </w:r>
          </w:p>
        </w:tc>
        <w:tc>
          <w:tcPr>
            <w:tcW w:w="2551" w:type="dxa"/>
            <w:tcBorders>
              <w:top w:val="single" w:sz="8" w:space="0" w:color="auto"/>
              <w:bottom w:val="single" w:sz="8" w:space="0" w:color="auto"/>
            </w:tcBorders>
          </w:tcPr>
          <w:p w:rsidR="00457B8F" w:rsidRDefault="00AC6540">
            <w:pPr>
              <w:pStyle w:val="nTable"/>
              <w:spacing w:after="40"/>
              <w:rPr>
                <w:b/>
                <w:sz w:val="19"/>
              </w:rPr>
            </w:pPr>
            <w:r>
              <w:rPr>
                <w:b/>
                <w:sz w:val="19"/>
              </w:rPr>
              <w:t>Commencement</w:t>
            </w:r>
          </w:p>
        </w:tc>
      </w:tr>
      <w:tr w:rsidR="00457B8F">
        <w:tc>
          <w:tcPr>
            <w:tcW w:w="2268" w:type="dxa"/>
          </w:tcPr>
          <w:p w:rsidR="00457B8F" w:rsidRDefault="00AC6540">
            <w:pPr>
              <w:pStyle w:val="nTable"/>
              <w:spacing w:after="40"/>
              <w:rPr>
                <w:i/>
                <w:sz w:val="19"/>
              </w:rPr>
            </w:pPr>
            <w:r>
              <w:rPr>
                <w:i/>
                <w:sz w:val="19"/>
              </w:rPr>
              <w:t>Chattel Securities Act 1987</w:t>
            </w:r>
          </w:p>
        </w:tc>
        <w:tc>
          <w:tcPr>
            <w:tcW w:w="1134" w:type="dxa"/>
          </w:tcPr>
          <w:p w:rsidR="00457B8F" w:rsidRDefault="00AC6540">
            <w:pPr>
              <w:pStyle w:val="nTable"/>
              <w:spacing w:after="40"/>
              <w:rPr>
                <w:sz w:val="19"/>
              </w:rPr>
            </w:pPr>
            <w:r>
              <w:rPr>
                <w:sz w:val="19"/>
              </w:rPr>
              <w:t>101 of 1987</w:t>
            </w:r>
          </w:p>
        </w:tc>
        <w:tc>
          <w:tcPr>
            <w:tcW w:w="1134" w:type="dxa"/>
          </w:tcPr>
          <w:p w:rsidR="00457B8F" w:rsidRDefault="00AC6540">
            <w:pPr>
              <w:pStyle w:val="nTable"/>
              <w:spacing w:after="40"/>
              <w:rPr>
                <w:sz w:val="19"/>
              </w:rPr>
            </w:pPr>
            <w:r>
              <w:rPr>
                <w:sz w:val="19"/>
              </w:rPr>
              <w:t>18 Dec 1987</w:t>
            </w:r>
          </w:p>
        </w:tc>
        <w:tc>
          <w:tcPr>
            <w:tcW w:w="2551" w:type="dxa"/>
          </w:tcPr>
          <w:p w:rsidR="00457B8F" w:rsidRDefault="00AC6540">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rsidR="00457B8F">
        <w:tc>
          <w:tcPr>
            <w:tcW w:w="2268" w:type="dxa"/>
          </w:tcPr>
          <w:p w:rsidR="00457B8F" w:rsidRDefault="00AC6540">
            <w:pPr>
              <w:pStyle w:val="nTable"/>
              <w:spacing w:after="40"/>
              <w:rPr>
                <w:i/>
                <w:sz w:val="19"/>
              </w:rPr>
            </w:pPr>
            <w:r>
              <w:rPr>
                <w:i/>
                <w:sz w:val="19"/>
              </w:rPr>
              <w:t xml:space="preserve">Financial Administration Legislation Amendment Act 1993 </w:t>
            </w:r>
            <w:r>
              <w:rPr>
                <w:sz w:val="19"/>
              </w:rPr>
              <w:t>s. 11</w:t>
            </w:r>
          </w:p>
        </w:tc>
        <w:tc>
          <w:tcPr>
            <w:tcW w:w="1134" w:type="dxa"/>
          </w:tcPr>
          <w:p w:rsidR="00457B8F" w:rsidRDefault="00AC6540">
            <w:pPr>
              <w:pStyle w:val="nTable"/>
              <w:spacing w:after="40"/>
              <w:rPr>
                <w:sz w:val="19"/>
              </w:rPr>
            </w:pPr>
            <w:r>
              <w:rPr>
                <w:sz w:val="19"/>
              </w:rPr>
              <w:t>6 of 1993</w:t>
            </w:r>
          </w:p>
        </w:tc>
        <w:tc>
          <w:tcPr>
            <w:tcW w:w="1134" w:type="dxa"/>
          </w:tcPr>
          <w:p w:rsidR="00457B8F" w:rsidRDefault="00AC6540">
            <w:pPr>
              <w:pStyle w:val="nTable"/>
              <w:spacing w:after="40"/>
              <w:rPr>
                <w:sz w:val="19"/>
              </w:rPr>
            </w:pPr>
            <w:r>
              <w:rPr>
                <w:sz w:val="19"/>
              </w:rPr>
              <w:t>27 Aug 1993</w:t>
            </w:r>
          </w:p>
        </w:tc>
        <w:tc>
          <w:tcPr>
            <w:tcW w:w="2551" w:type="dxa"/>
          </w:tcPr>
          <w:p w:rsidR="00457B8F" w:rsidRDefault="00AC6540">
            <w:pPr>
              <w:pStyle w:val="nTable"/>
              <w:spacing w:after="40"/>
              <w:rPr>
                <w:sz w:val="19"/>
              </w:rPr>
            </w:pPr>
            <w:r>
              <w:rPr>
                <w:sz w:val="19"/>
              </w:rPr>
              <w:t>1 Jul 1993 (see s. 2(1))</w:t>
            </w:r>
          </w:p>
        </w:tc>
      </w:tr>
      <w:tr w:rsidR="00457B8F">
        <w:tc>
          <w:tcPr>
            <w:tcW w:w="2268" w:type="dxa"/>
          </w:tcPr>
          <w:p w:rsidR="00457B8F" w:rsidRDefault="00AC6540">
            <w:pPr>
              <w:pStyle w:val="nTable"/>
              <w:spacing w:after="40"/>
              <w:rPr>
                <w:i/>
                <w:sz w:val="19"/>
              </w:rPr>
            </w:pPr>
            <w:r>
              <w:rPr>
                <w:i/>
                <w:sz w:val="19"/>
              </w:rPr>
              <w:t>Chattel Securities Amendment Act 1996</w:t>
            </w:r>
          </w:p>
        </w:tc>
        <w:tc>
          <w:tcPr>
            <w:tcW w:w="1134" w:type="dxa"/>
          </w:tcPr>
          <w:p w:rsidR="00457B8F" w:rsidRDefault="00AC6540">
            <w:pPr>
              <w:pStyle w:val="nTable"/>
              <w:spacing w:after="40"/>
              <w:rPr>
                <w:sz w:val="19"/>
              </w:rPr>
            </w:pPr>
            <w:r>
              <w:rPr>
                <w:sz w:val="19"/>
              </w:rPr>
              <w:t>39 of 1996</w:t>
            </w:r>
          </w:p>
        </w:tc>
        <w:tc>
          <w:tcPr>
            <w:tcW w:w="1134" w:type="dxa"/>
          </w:tcPr>
          <w:p w:rsidR="00457B8F" w:rsidRDefault="00AC6540">
            <w:pPr>
              <w:pStyle w:val="nTable"/>
              <w:spacing w:after="40"/>
              <w:rPr>
                <w:sz w:val="19"/>
              </w:rPr>
            </w:pPr>
            <w:r>
              <w:rPr>
                <w:sz w:val="19"/>
              </w:rPr>
              <w:t>27 Sep 1996</w:t>
            </w:r>
          </w:p>
        </w:tc>
        <w:tc>
          <w:tcPr>
            <w:tcW w:w="2551" w:type="dxa"/>
          </w:tcPr>
          <w:p w:rsidR="00457B8F" w:rsidRDefault="00AC6540">
            <w:pPr>
              <w:pStyle w:val="nTable"/>
              <w:spacing w:after="40"/>
              <w:rPr>
                <w:sz w:val="19"/>
              </w:rPr>
            </w:pPr>
            <w:r>
              <w:rPr>
                <w:sz w:val="19"/>
              </w:rPr>
              <w:t xml:space="preserve">4 Nov 1996 (see s. 2 and </w:t>
            </w:r>
            <w:r>
              <w:rPr>
                <w:i/>
                <w:sz w:val="19"/>
              </w:rPr>
              <w:t>Gazette</w:t>
            </w:r>
            <w:r>
              <w:rPr>
                <w:sz w:val="19"/>
              </w:rPr>
              <w:t xml:space="preserve"> 29 Oct 1996 p. 5715)</w:t>
            </w:r>
          </w:p>
        </w:tc>
      </w:tr>
      <w:tr w:rsidR="00457B8F">
        <w:tc>
          <w:tcPr>
            <w:tcW w:w="2268" w:type="dxa"/>
          </w:tcPr>
          <w:p w:rsidR="00457B8F" w:rsidRDefault="00AC6540">
            <w:pPr>
              <w:pStyle w:val="nTable"/>
              <w:spacing w:after="40"/>
              <w:rPr>
                <w:i/>
                <w:sz w:val="19"/>
              </w:rPr>
            </w:pPr>
            <w:r>
              <w:rPr>
                <w:i/>
                <w:sz w:val="19"/>
              </w:rPr>
              <w:t xml:space="preserve">Financial Legislation Amendment Act 1996 </w:t>
            </w:r>
            <w:r>
              <w:rPr>
                <w:sz w:val="19"/>
              </w:rPr>
              <w:t>s. 64</w:t>
            </w:r>
          </w:p>
        </w:tc>
        <w:tc>
          <w:tcPr>
            <w:tcW w:w="1134" w:type="dxa"/>
          </w:tcPr>
          <w:p w:rsidR="00457B8F" w:rsidRDefault="00AC6540">
            <w:pPr>
              <w:pStyle w:val="nTable"/>
              <w:spacing w:after="40"/>
              <w:rPr>
                <w:sz w:val="19"/>
              </w:rPr>
            </w:pPr>
            <w:r>
              <w:rPr>
                <w:sz w:val="19"/>
              </w:rPr>
              <w:t>49 of 1996</w:t>
            </w:r>
          </w:p>
        </w:tc>
        <w:tc>
          <w:tcPr>
            <w:tcW w:w="1134" w:type="dxa"/>
          </w:tcPr>
          <w:p w:rsidR="00457B8F" w:rsidRDefault="00AC6540">
            <w:pPr>
              <w:pStyle w:val="nTable"/>
              <w:spacing w:after="40"/>
              <w:rPr>
                <w:sz w:val="19"/>
              </w:rPr>
            </w:pPr>
            <w:r>
              <w:rPr>
                <w:sz w:val="19"/>
              </w:rPr>
              <w:t>25 Oct 1996</w:t>
            </w:r>
          </w:p>
        </w:tc>
        <w:tc>
          <w:tcPr>
            <w:tcW w:w="2551" w:type="dxa"/>
          </w:tcPr>
          <w:p w:rsidR="00457B8F" w:rsidRDefault="00AC6540">
            <w:pPr>
              <w:pStyle w:val="nTable"/>
              <w:spacing w:after="40"/>
              <w:rPr>
                <w:sz w:val="19"/>
              </w:rPr>
            </w:pPr>
            <w:r>
              <w:rPr>
                <w:sz w:val="19"/>
              </w:rPr>
              <w:t>25 Oct 1996 (see s. 2(1))</w:t>
            </w:r>
          </w:p>
        </w:tc>
      </w:tr>
      <w:tr w:rsidR="00457B8F">
        <w:tc>
          <w:tcPr>
            <w:tcW w:w="2268" w:type="dxa"/>
          </w:tcPr>
          <w:p w:rsidR="00457B8F" w:rsidRDefault="00AC6540">
            <w:pPr>
              <w:pStyle w:val="nTable"/>
              <w:spacing w:after="40"/>
              <w:rPr>
                <w:i/>
                <w:sz w:val="19"/>
              </w:rPr>
            </w:pPr>
            <w:r>
              <w:rPr>
                <w:i/>
                <w:sz w:val="19"/>
              </w:rPr>
              <w:t xml:space="preserve">Motor Vehicle Dealers Amendment Act 2002 </w:t>
            </w:r>
            <w:r>
              <w:rPr>
                <w:sz w:val="19"/>
              </w:rPr>
              <w:t>s. 70</w:t>
            </w:r>
          </w:p>
        </w:tc>
        <w:tc>
          <w:tcPr>
            <w:tcW w:w="1134" w:type="dxa"/>
          </w:tcPr>
          <w:p w:rsidR="00457B8F" w:rsidRDefault="00AC6540">
            <w:pPr>
              <w:pStyle w:val="nTable"/>
              <w:spacing w:after="40"/>
              <w:rPr>
                <w:sz w:val="19"/>
              </w:rPr>
            </w:pPr>
            <w:r>
              <w:rPr>
                <w:sz w:val="19"/>
              </w:rPr>
              <w:t>4 of 2002</w:t>
            </w:r>
          </w:p>
        </w:tc>
        <w:tc>
          <w:tcPr>
            <w:tcW w:w="1134" w:type="dxa"/>
          </w:tcPr>
          <w:p w:rsidR="00457B8F" w:rsidRDefault="00AC6540">
            <w:pPr>
              <w:pStyle w:val="nTable"/>
              <w:spacing w:after="40"/>
              <w:rPr>
                <w:sz w:val="19"/>
              </w:rPr>
            </w:pPr>
            <w:r>
              <w:rPr>
                <w:sz w:val="19"/>
              </w:rPr>
              <w:t>4 Jun 2002</w:t>
            </w:r>
          </w:p>
        </w:tc>
        <w:tc>
          <w:tcPr>
            <w:tcW w:w="2551" w:type="dxa"/>
          </w:tcPr>
          <w:p w:rsidR="00457B8F" w:rsidRDefault="00AC6540">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rsidR="00457B8F">
        <w:trPr>
          <w:cantSplit/>
        </w:trPr>
        <w:tc>
          <w:tcPr>
            <w:tcW w:w="7087" w:type="dxa"/>
            <w:gridSpan w:val="4"/>
          </w:tcPr>
          <w:p w:rsidR="00457B8F" w:rsidRDefault="00AC6540">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(correction in </w:t>
            </w:r>
            <w:r>
              <w:rPr>
                <w:i/>
                <w:sz w:val="19"/>
              </w:rPr>
              <w:t>Gazette</w:t>
            </w:r>
            <w:r>
              <w:rPr>
                <w:sz w:val="19"/>
              </w:rPr>
              <w:t xml:space="preserve"> 24 Mar 2006 p. 1102)</w:t>
            </w:r>
          </w:p>
        </w:tc>
      </w:tr>
      <w:tr w:rsidR="00457B8F">
        <w:tc>
          <w:tcPr>
            <w:tcW w:w="2268" w:type="dxa"/>
          </w:tcPr>
          <w:p w:rsidR="00457B8F" w:rsidRDefault="00AC6540">
            <w:pPr>
              <w:pStyle w:val="nTable"/>
              <w:spacing w:after="40"/>
              <w:rPr>
                <w:i/>
                <w:sz w:val="19"/>
              </w:rPr>
            </w:pPr>
            <w:r>
              <w:rPr>
                <w:i/>
                <w:sz w:val="19"/>
              </w:rPr>
              <w:t>Corporations (Consequential Amendments) Act (No. 2) 2003</w:t>
            </w:r>
            <w:r>
              <w:rPr>
                <w:sz w:val="19"/>
              </w:rPr>
              <w:t xml:space="preserve"> Pt. 4</w:t>
            </w:r>
          </w:p>
        </w:tc>
        <w:tc>
          <w:tcPr>
            <w:tcW w:w="1134" w:type="dxa"/>
          </w:tcPr>
          <w:p w:rsidR="00457B8F" w:rsidRDefault="00AC6540">
            <w:pPr>
              <w:pStyle w:val="nTable"/>
              <w:spacing w:after="40"/>
              <w:rPr>
                <w:sz w:val="19"/>
              </w:rPr>
            </w:pPr>
            <w:r>
              <w:rPr>
                <w:sz w:val="19"/>
              </w:rPr>
              <w:t>20 of 2003</w:t>
            </w:r>
          </w:p>
        </w:tc>
        <w:tc>
          <w:tcPr>
            <w:tcW w:w="1134" w:type="dxa"/>
          </w:tcPr>
          <w:p w:rsidR="00457B8F" w:rsidRDefault="00AC6540">
            <w:pPr>
              <w:pStyle w:val="nTable"/>
              <w:spacing w:after="40"/>
              <w:rPr>
                <w:sz w:val="19"/>
              </w:rPr>
            </w:pPr>
            <w:r>
              <w:rPr>
                <w:sz w:val="19"/>
              </w:rPr>
              <w:t>23 Apr 2003</w:t>
            </w:r>
          </w:p>
        </w:tc>
        <w:tc>
          <w:tcPr>
            <w:tcW w:w="2551" w:type="dxa"/>
          </w:tcPr>
          <w:p w:rsidR="00457B8F" w:rsidRDefault="00AC6540">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457B8F">
        <w:tc>
          <w:tcPr>
            <w:tcW w:w="2268" w:type="dxa"/>
          </w:tcPr>
          <w:p w:rsidR="00457B8F" w:rsidRDefault="00AC6540">
            <w:pPr>
              <w:pStyle w:val="nTable"/>
              <w:spacing w:after="40"/>
              <w:rPr>
                <w:sz w:val="19"/>
              </w:rPr>
            </w:pPr>
            <w:r>
              <w:rPr>
                <w:i/>
                <w:sz w:val="19"/>
              </w:rPr>
              <w:t>Statutes (Repeals and Minor Amendments) Act 2003</w:t>
            </w:r>
            <w:r>
              <w:rPr>
                <w:sz w:val="19"/>
              </w:rPr>
              <w:t xml:space="preserve"> s. 34</w:t>
            </w:r>
          </w:p>
        </w:tc>
        <w:tc>
          <w:tcPr>
            <w:tcW w:w="1134" w:type="dxa"/>
          </w:tcPr>
          <w:p w:rsidR="00457B8F" w:rsidRDefault="00AC6540">
            <w:pPr>
              <w:pStyle w:val="nTable"/>
              <w:spacing w:after="40"/>
              <w:rPr>
                <w:sz w:val="19"/>
              </w:rPr>
            </w:pPr>
            <w:r>
              <w:rPr>
                <w:sz w:val="19"/>
              </w:rPr>
              <w:t>74 of 2003</w:t>
            </w:r>
          </w:p>
        </w:tc>
        <w:tc>
          <w:tcPr>
            <w:tcW w:w="1134" w:type="dxa"/>
          </w:tcPr>
          <w:p w:rsidR="00457B8F" w:rsidRDefault="00AC6540">
            <w:pPr>
              <w:pStyle w:val="nTable"/>
              <w:spacing w:after="40"/>
              <w:rPr>
                <w:sz w:val="19"/>
              </w:rPr>
            </w:pPr>
            <w:r>
              <w:rPr>
                <w:sz w:val="19"/>
              </w:rPr>
              <w:t>15 Dec 2003</w:t>
            </w:r>
          </w:p>
        </w:tc>
        <w:tc>
          <w:tcPr>
            <w:tcW w:w="2551" w:type="dxa"/>
          </w:tcPr>
          <w:p w:rsidR="00457B8F" w:rsidRDefault="00AC6540">
            <w:pPr>
              <w:pStyle w:val="nTable"/>
              <w:spacing w:after="40"/>
              <w:rPr>
                <w:sz w:val="19"/>
              </w:rPr>
            </w:pPr>
            <w:r>
              <w:rPr>
                <w:spacing w:val="-2"/>
                <w:sz w:val="19"/>
              </w:rPr>
              <w:t>15 Dec 2003 (see s. 2)</w:t>
            </w:r>
          </w:p>
        </w:tc>
      </w:tr>
      <w:tr w:rsidR="00457B8F">
        <w:tc>
          <w:tcPr>
            <w:tcW w:w="2268" w:type="dxa"/>
          </w:tcPr>
          <w:p w:rsidR="00457B8F" w:rsidRDefault="00AC6540">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rsidR="00457B8F" w:rsidRDefault="00AC6540">
            <w:pPr>
              <w:pStyle w:val="nTable"/>
              <w:spacing w:after="40"/>
              <w:rPr>
                <w:sz w:val="19"/>
              </w:rPr>
            </w:pPr>
            <w:r>
              <w:rPr>
                <w:sz w:val="19"/>
              </w:rPr>
              <w:t>55 of 2004</w:t>
            </w:r>
          </w:p>
        </w:tc>
        <w:tc>
          <w:tcPr>
            <w:tcW w:w="1134" w:type="dxa"/>
          </w:tcPr>
          <w:p w:rsidR="00457B8F" w:rsidRDefault="00AC6540">
            <w:pPr>
              <w:pStyle w:val="nTable"/>
              <w:spacing w:after="40"/>
              <w:rPr>
                <w:sz w:val="19"/>
              </w:rPr>
            </w:pPr>
            <w:r>
              <w:rPr>
                <w:sz w:val="19"/>
              </w:rPr>
              <w:t>24 Nov 2004</w:t>
            </w:r>
          </w:p>
        </w:tc>
        <w:tc>
          <w:tcPr>
            <w:tcW w:w="2551" w:type="dxa"/>
          </w:tcPr>
          <w:p w:rsidR="00457B8F" w:rsidRDefault="00AC6540">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457B8F">
        <w:trPr>
          <w:cantSplit/>
        </w:trPr>
        <w:tc>
          <w:tcPr>
            <w:tcW w:w="7087" w:type="dxa"/>
            <w:gridSpan w:val="4"/>
          </w:tcPr>
          <w:p w:rsidR="00457B8F" w:rsidRDefault="00AC6540">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w:t>
            </w:r>
          </w:p>
        </w:tc>
      </w:tr>
      <w:tr w:rsidR="00457B8F">
        <w:tc>
          <w:tcPr>
            <w:tcW w:w="2268" w:type="dxa"/>
            <w:tcBorders>
              <w:bottom w:val="single" w:sz="4" w:space="0" w:color="auto"/>
            </w:tcBorders>
          </w:tcPr>
          <w:p w:rsidR="00457B8F" w:rsidRDefault="00AC6540">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Borders>
              <w:bottom w:val="single" w:sz="4" w:space="0" w:color="auto"/>
            </w:tcBorders>
          </w:tcPr>
          <w:p w:rsidR="00457B8F" w:rsidRDefault="00AC6540">
            <w:pPr>
              <w:pStyle w:val="nTable"/>
              <w:spacing w:after="40"/>
              <w:rPr>
                <w:sz w:val="19"/>
              </w:rPr>
            </w:pPr>
            <w:r>
              <w:rPr>
                <w:sz w:val="19"/>
              </w:rPr>
              <w:t>28 of 2006</w:t>
            </w:r>
          </w:p>
        </w:tc>
        <w:tc>
          <w:tcPr>
            <w:tcW w:w="1134" w:type="dxa"/>
            <w:tcBorders>
              <w:bottom w:val="single" w:sz="4" w:space="0" w:color="auto"/>
            </w:tcBorders>
          </w:tcPr>
          <w:p w:rsidR="00457B8F" w:rsidRDefault="00AC6540">
            <w:pPr>
              <w:pStyle w:val="nTable"/>
              <w:spacing w:after="40"/>
              <w:rPr>
                <w:sz w:val="19"/>
              </w:rPr>
            </w:pPr>
            <w:r>
              <w:rPr>
                <w:sz w:val="19"/>
              </w:rPr>
              <w:t>26 Jun 2006</w:t>
            </w:r>
          </w:p>
        </w:tc>
        <w:tc>
          <w:tcPr>
            <w:tcW w:w="2551" w:type="dxa"/>
            <w:tcBorders>
              <w:bottom w:val="single" w:sz="4" w:space="0" w:color="auto"/>
            </w:tcBorders>
          </w:tcPr>
          <w:p w:rsidR="00457B8F" w:rsidRDefault="00AC6540">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bl>
    <w:p w:rsidR="00457B8F" w:rsidRDefault="00AC6540">
      <w:pPr>
        <w:pStyle w:val="nSubsection"/>
        <w:spacing w:before="360"/>
        <w:ind w:left="482" w:hanging="482"/>
      </w:pPr>
      <w:r>
        <w:rPr>
          <w:vertAlign w:val="superscript"/>
        </w:rPr>
        <w:t>1a</w:t>
      </w:r>
      <w:r>
        <w:tab/>
        <w:t>On the date as at which thi</w:t>
      </w:r>
      <w:bookmarkStart w:id="254" w:name="_Hlt507390729"/>
      <w:bookmarkEnd w:id="254"/>
      <w:r>
        <w:t>s compilation was prepared, provisions referred to in the following table had not come into operation and were therefore not included in this compilation.  For the text of the provisions see the endnote referred to in the table.</w:t>
      </w:r>
    </w:p>
    <w:p w:rsidR="00457B8F" w:rsidRDefault="00AC6540">
      <w:pPr>
        <w:pStyle w:val="nHeading3"/>
      </w:pPr>
      <w:bookmarkStart w:id="255" w:name="_Toc511102521"/>
      <w:bookmarkStart w:id="256" w:name="_Toc20294003"/>
      <w:bookmarkStart w:id="257" w:name="_Toc131926521"/>
      <w:bookmarkStart w:id="258" w:name="_Toc131926599"/>
      <w:bookmarkStart w:id="259" w:name="_Toc131926705"/>
      <w:bookmarkStart w:id="260" w:name="_Toc139442770"/>
      <w:r>
        <w:t>Provisions that have not come into operation</w:t>
      </w:r>
      <w:bookmarkEnd w:id="255"/>
      <w:bookmarkEnd w:id="256"/>
      <w:bookmarkEnd w:id="257"/>
      <w:bookmarkEnd w:id="258"/>
      <w:bookmarkEnd w:id="259"/>
      <w:bookmarkEnd w:id="26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57B8F">
        <w:trPr>
          <w:cantSplit/>
          <w:tblHeader/>
        </w:trPr>
        <w:tc>
          <w:tcPr>
            <w:tcW w:w="2268" w:type="dxa"/>
            <w:tcBorders>
              <w:top w:val="single" w:sz="8" w:space="0" w:color="auto"/>
            </w:tcBorders>
          </w:tcPr>
          <w:p w:rsidR="00457B8F" w:rsidRDefault="00AC6540">
            <w:pPr>
              <w:pStyle w:val="nTable"/>
              <w:keepNext/>
              <w:spacing w:after="60"/>
              <w:ind w:right="113"/>
              <w:rPr>
                <w:b/>
                <w:sz w:val="19"/>
              </w:rPr>
            </w:pPr>
            <w:r>
              <w:rPr>
                <w:b/>
                <w:sz w:val="19"/>
              </w:rPr>
              <w:t>Short title</w:t>
            </w:r>
          </w:p>
        </w:tc>
        <w:tc>
          <w:tcPr>
            <w:tcW w:w="1134" w:type="dxa"/>
            <w:tcBorders>
              <w:top w:val="single" w:sz="8" w:space="0" w:color="auto"/>
            </w:tcBorders>
          </w:tcPr>
          <w:p w:rsidR="00457B8F" w:rsidRDefault="00AC6540">
            <w:pPr>
              <w:pStyle w:val="nTable"/>
              <w:keepNext/>
              <w:spacing w:after="60"/>
              <w:rPr>
                <w:b/>
                <w:sz w:val="19"/>
              </w:rPr>
            </w:pPr>
            <w:r>
              <w:rPr>
                <w:b/>
                <w:sz w:val="19"/>
              </w:rPr>
              <w:t>Number and year</w:t>
            </w:r>
          </w:p>
        </w:tc>
        <w:tc>
          <w:tcPr>
            <w:tcW w:w="1134" w:type="dxa"/>
            <w:tcBorders>
              <w:top w:val="single" w:sz="8" w:space="0" w:color="auto"/>
            </w:tcBorders>
          </w:tcPr>
          <w:p w:rsidR="00457B8F" w:rsidRDefault="00AC6540">
            <w:pPr>
              <w:pStyle w:val="nTable"/>
              <w:keepNext/>
              <w:spacing w:after="60"/>
              <w:rPr>
                <w:b/>
                <w:sz w:val="19"/>
              </w:rPr>
            </w:pPr>
            <w:r>
              <w:rPr>
                <w:b/>
                <w:sz w:val="19"/>
              </w:rPr>
              <w:t>Assent</w:t>
            </w:r>
          </w:p>
        </w:tc>
        <w:tc>
          <w:tcPr>
            <w:tcW w:w="2552" w:type="dxa"/>
            <w:tcBorders>
              <w:top w:val="single" w:sz="8" w:space="0" w:color="auto"/>
            </w:tcBorders>
          </w:tcPr>
          <w:p w:rsidR="00457B8F" w:rsidRDefault="00AC6540">
            <w:pPr>
              <w:pStyle w:val="nTable"/>
              <w:keepNext/>
              <w:spacing w:after="60"/>
              <w:rPr>
                <w:b/>
                <w:sz w:val="19"/>
              </w:rPr>
            </w:pPr>
            <w:r>
              <w:rPr>
                <w:b/>
                <w:sz w:val="19"/>
              </w:rPr>
              <w:t>Commencement</w:t>
            </w:r>
          </w:p>
        </w:tc>
      </w:tr>
      <w:tr w:rsidR="00457B8F">
        <w:trPr>
          <w:cantSplit/>
        </w:trPr>
        <w:tc>
          <w:tcPr>
            <w:tcW w:w="2268" w:type="dxa"/>
            <w:tcBorders>
              <w:top w:val="single" w:sz="8" w:space="0" w:color="auto"/>
              <w:bottom w:val="single" w:sz="8" w:space="0" w:color="auto"/>
            </w:tcBorders>
          </w:tcPr>
          <w:p w:rsidR="00457B8F" w:rsidRDefault="00AC6540">
            <w:pPr>
              <w:pStyle w:val="nTable"/>
              <w:spacing w:before="120"/>
              <w:ind w:right="113"/>
              <w:rPr>
                <w:sz w:val="19"/>
                <w:vertAlign w:val="superscript"/>
              </w:rPr>
            </w:pPr>
            <w:r>
              <w:rPr>
                <w:i/>
                <w:sz w:val="19"/>
              </w:rPr>
              <w:t xml:space="preserve">Road Traffic Amendment (Vehicle Licensing) Act 2001 </w:t>
            </w:r>
            <w:r>
              <w:rPr>
                <w:sz w:val="19"/>
              </w:rPr>
              <w:t xml:space="preserve">Pt. 3 Div. 1 </w:t>
            </w:r>
            <w:r>
              <w:rPr>
                <w:sz w:val="19"/>
                <w:vertAlign w:val="superscript"/>
              </w:rPr>
              <w:t>4</w:t>
            </w:r>
          </w:p>
        </w:tc>
        <w:tc>
          <w:tcPr>
            <w:tcW w:w="1134" w:type="dxa"/>
            <w:tcBorders>
              <w:top w:val="single" w:sz="8" w:space="0" w:color="auto"/>
              <w:bottom w:val="single" w:sz="8" w:space="0" w:color="auto"/>
            </w:tcBorders>
          </w:tcPr>
          <w:p w:rsidR="00457B8F" w:rsidRDefault="00AC6540">
            <w:pPr>
              <w:pStyle w:val="nTable"/>
              <w:keepNext/>
              <w:spacing w:before="120"/>
              <w:rPr>
                <w:sz w:val="19"/>
              </w:rPr>
            </w:pPr>
            <w:r>
              <w:rPr>
                <w:sz w:val="19"/>
              </w:rPr>
              <w:t>28 of 2001</w:t>
            </w:r>
          </w:p>
        </w:tc>
        <w:tc>
          <w:tcPr>
            <w:tcW w:w="1134" w:type="dxa"/>
            <w:tcBorders>
              <w:top w:val="single" w:sz="8" w:space="0" w:color="auto"/>
              <w:bottom w:val="single" w:sz="8" w:space="0" w:color="auto"/>
            </w:tcBorders>
          </w:tcPr>
          <w:p w:rsidR="00457B8F" w:rsidRDefault="00AC6540">
            <w:pPr>
              <w:pStyle w:val="nTable"/>
              <w:keepNext/>
              <w:spacing w:before="120"/>
              <w:rPr>
                <w:sz w:val="19"/>
              </w:rPr>
            </w:pPr>
            <w:r>
              <w:rPr>
                <w:sz w:val="19"/>
              </w:rPr>
              <w:t>21 Dec 2001</w:t>
            </w:r>
          </w:p>
        </w:tc>
        <w:tc>
          <w:tcPr>
            <w:tcW w:w="2552" w:type="dxa"/>
            <w:tcBorders>
              <w:top w:val="single" w:sz="8" w:space="0" w:color="auto"/>
              <w:bottom w:val="single" w:sz="8" w:space="0" w:color="auto"/>
            </w:tcBorders>
          </w:tcPr>
          <w:p w:rsidR="00457B8F" w:rsidRDefault="00AC6540">
            <w:pPr>
              <w:pStyle w:val="nTable"/>
              <w:keepNext/>
              <w:spacing w:before="120"/>
              <w:rPr>
                <w:sz w:val="19"/>
              </w:rPr>
            </w:pPr>
            <w:r>
              <w:rPr>
                <w:sz w:val="19"/>
              </w:rPr>
              <w:t>To be proclaimed (see s. 2)</w:t>
            </w:r>
          </w:p>
        </w:tc>
      </w:tr>
    </w:tbl>
    <w:p w:rsidR="00457B8F" w:rsidRDefault="00AC6540">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rsidR="00457B8F" w:rsidRDefault="00AC6540">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57B8F" w:rsidRDefault="00AC6540">
      <w:pPr>
        <w:pStyle w:val="nSubsection"/>
        <w:rPr>
          <w:snapToGrid w:val="0"/>
        </w:rPr>
      </w:pPr>
      <w:r>
        <w:rPr>
          <w:vertAlign w:val="superscript"/>
        </w:rPr>
        <w:t>4</w:t>
      </w:r>
      <w:r>
        <w:tab/>
        <w:t>On the date as at which this compilation was prepared, the</w:t>
      </w:r>
      <w:r>
        <w:rPr>
          <w:sz w:val="18"/>
        </w:rPr>
        <w:t xml:space="preserve"> </w:t>
      </w:r>
      <w:r>
        <w:rPr>
          <w:rFonts w:ascii="Times" w:hAnsi="Times"/>
          <w:i/>
        </w:rPr>
        <w:t xml:space="preserve">Road Traffic Amendment (Vehicle Licensing) Act 2001 </w:t>
      </w:r>
      <w:r>
        <w:rPr>
          <w:rFonts w:ascii="Times" w:hAnsi="Times"/>
        </w:rPr>
        <w:t>Pt. 3 Div. 1</w:t>
      </w:r>
      <w:r>
        <w:t xml:space="preserve"> had</w:t>
      </w:r>
      <w:r>
        <w:rPr>
          <w:snapToGrid w:val="0"/>
        </w:rPr>
        <w:t xml:space="preserve"> not come into operation.  It reads as follows:</w:t>
      </w:r>
    </w:p>
    <w:p w:rsidR="00457B8F" w:rsidRDefault="00AC6540">
      <w:pPr>
        <w:pStyle w:val="MiscOpen"/>
        <w:rPr>
          <w:rStyle w:val="CharSectno"/>
        </w:rPr>
      </w:pPr>
      <w:r>
        <w:rPr>
          <w:rStyle w:val="CharSectno"/>
        </w:rPr>
        <w:t>“</w:t>
      </w:r>
    </w:p>
    <w:p w:rsidR="00457B8F" w:rsidRDefault="00AC6540">
      <w:pPr>
        <w:pStyle w:val="nzHeading5"/>
        <w:jc w:val="center"/>
      </w:pPr>
      <w:r>
        <w:rPr>
          <w:rStyle w:val="CharDivNo"/>
        </w:rPr>
        <w:t>Division 1</w:t>
      </w:r>
      <w:r>
        <w:t xml:space="preserve"> — </w:t>
      </w:r>
      <w:r>
        <w:rPr>
          <w:rStyle w:val="CharDivText"/>
          <w:i/>
        </w:rPr>
        <w:t>Chattel Securities Act 1987</w:t>
      </w:r>
      <w:r>
        <w:rPr>
          <w:rStyle w:val="CharDivText"/>
        </w:rPr>
        <w:t xml:space="preserve"> amended</w:t>
      </w:r>
    </w:p>
    <w:p w:rsidR="00457B8F" w:rsidRDefault="00AC6540">
      <w:pPr>
        <w:pStyle w:val="nzHeading5"/>
      </w:pPr>
      <w:r>
        <w:rPr>
          <w:rStyle w:val="CharSectno"/>
        </w:rPr>
        <w:t>25</w:t>
      </w:r>
      <w:r>
        <w:t>.</w:t>
      </w:r>
      <w:r>
        <w:tab/>
        <w:t>The Act amended</w:t>
      </w:r>
    </w:p>
    <w:p w:rsidR="00457B8F" w:rsidRDefault="00AC6540">
      <w:pPr>
        <w:pStyle w:val="nzSubsection"/>
      </w:pPr>
      <w:r>
        <w:tab/>
      </w:r>
      <w:r>
        <w:tab/>
        <w:t xml:space="preserve">The amendments in this Division are to the </w:t>
      </w:r>
      <w:r>
        <w:rPr>
          <w:i/>
        </w:rPr>
        <w:t>Chattel Securities Act 1987</w:t>
      </w:r>
      <w:r>
        <w:t>.</w:t>
      </w:r>
    </w:p>
    <w:p w:rsidR="00457B8F" w:rsidRDefault="00AC6540">
      <w:pPr>
        <w:pStyle w:val="nzHeading5"/>
      </w:pPr>
      <w:r>
        <w:rPr>
          <w:rStyle w:val="CharSectno"/>
        </w:rPr>
        <w:t>26</w:t>
      </w:r>
      <w:r>
        <w:t>.</w:t>
      </w:r>
      <w:r>
        <w:tab/>
        <w:t>Section 3 amended</w:t>
      </w:r>
    </w:p>
    <w:p w:rsidR="00457B8F" w:rsidRDefault="00AC6540">
      <w:pPr>
        <w:pStyle w:val="nzSubsection"/>
      </w:pPr>
      <w:r>
        <w:tab/>
      </w:r>
      <w:r>
        <w:tab/>
        <w:t>Section 3(1) is amended by inserting after the definition of “supply” the following definition —</w:t>
      </w:r>
    </w:p>
    <w:p w:rsidR="00457B8F" w:rsidRDefault="00AC6540">
      <w:pPr>
        <w:pStyle w:val="nzDefstart"/>
        <w:ind w:right="1134"/>
      </w:pPr>
      <w:r>
        <w:t xml:space="preserve">“    </w:t>
      </w:r>
    </w:p>
    <w:p w:rsidR="00457B8F" w:rsidRDefault="00AC6540">
      <w:pPr>
        <w:pStyle w:val="nzDefstart"/>
        <w:ind w:right="1134"/>
      </w:pPr>
      <w:r>
        <w:tab/>
      </w:r>
      <w:r>
        <w:rPr>
          <w:b/>
        </w:rPr>
        <w:t>“</w:t>
      </w:r>
      <w:r>
        <w:rPr>
          <w:b/>
          <w:bCs/>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 </w:t>
      </w:r>
    </w:p>
    <w:p w:rsidR="00457B8F" w:rsidRDefault="00AC6540">
      <w:pPr>
        <w:pStyle w:val="MiscClose"/>
        <w:ind w:right="567"/>
      </w:pPr>
      <w:r>
        <w:t>”.</w:t>
      </w:r>
    </w:p>
    <w:p w:rsidR="00457B8F" w:rsidRDefault="00AC6540">
      <w:pPr>
        <w:pStyle w:val="nzHeading5"/>
        <w:ind w:right="425"/>
      </w:pPr>
      <w:r>
        <w:rPr>
          <w:rStyle w:val="CharSectno"/>
        </w:rPr>
        <w:t>27</w:t>
      </w:r>
      <w:r>
        <w:t>.</w:t>
      </w:r>
      <w:r>
        <w:tab/>
        <w:t>Section 7 amended</w:t>
      </w:r>
    </w:p>
    <w:p w:rsidR="00457B8F" w:rsidRDefault="00AC6540">
      <w:pPr>
        <w:pStyle w:val="nzSubsection"/>
        <w:ind w:right="425"/>
      </w:pPr>
      <w:r>
        <w:tab/>
        <w:t>(1)</w:t>
      </w:r>
      <w:r>
        <w:tab/>
        <w:t>Section 7(5)(b) is amended by deleting “, caravan or semi</w:t>
      </w:r>
      <w:r>
        <w:noBreakHyphen/>
        <w:t>trailer described in the First Schedule to that Act, being a motor vehicle, trailer, caravan or semi</w:t>
      </w:r>
      <w:r>
        <w:noBreakHyphen/>
        <w:t>trailer”.</w:t>
      </w:r>
    </w:p>
    <w:p w:rsidR="00457B8F" w:rsidRDefault="00AC6540">
      <w:pPr>
        <w:pStyle w:val="nzSubsection"/>
        <w:ind w:right="425"/>
      </w:pPr>
      <w:r>
        <w:tab/>
        <w:t>(2)</w:t>
      </w:r>
      <w:r>
        <w:tab/>
        <w:t>Section 7(6)(d) is amended by deleting “, caravan or semi</w:t>
      </w:r>
      <w:r>
        <w:noBreakHyphen/>
        <w:t>trailer described in the First Schedule to that Act, being a motor vehicle, trailer, caravan or semi</w:t>
      </w:r>
      <w:r>
        <w:noBreakHyphen/>
        <w:t>trailer”.</w:t>
      </w:r>
    </w:p>
    <w:p w:rsidR="00457B8F" w:rsidRDefault="00AC6540">
      <w:pPr>
        <w:pStyle w:val="nzHeading5"/>
        <w:ind w:right="425"/>
      </w:pPr>
      <w:r>
        <w:rPr>
          <w:rStyle w:val="CharSectno"/>
        </w:rPr>
        <w:t>28</w:t>
      </w:r>
      <w:r>
        <w:t>.</w:t>
      </w:r>
      <w:r>
        <w:tab/>
        <w:t>Section 13 amended</w:t>
      </w:r>
    </w:p>
    <w:p w:rsidR="00457B8F" w:rsidRDefault="00AC6540">
      <w:pPr>
        <w:pStyle w:val="nzSubsection"/>
        <w:ind w:right="425"/>
      </w:pPr>
      <w:r>
        <w:tab/>
      </w:r>
      <w:r>
        <w:tab/>
        <w:t>Section 13(b) is amended by deleting “, caravans and semi</w:t>
      </w:r>
      <w:r>
        <w:noBreakHyphen/>
        <w:t xml:space="preserve">trailers described in the First Schedule to the </w:t>
      </w:r>
      <w:r>
        <w:rPr>
          <w:i/>
        </w:rPr>
        <w:t>Road Traffic Act 1974</w:t>
      </w:r>
      <w:r>
        <w:t>, being trailers, caravans and semi</w:t>
      </w:r>
      <w:r>
        <w:noBreakHyphen/>
        <w:t>trailers”.</w:t>
      </w:r>
    </w:p>
    <w:p w:rsidR="00457B8F" w:rsidRDefault="00AC6540">
      <w:pPr>
        <w:pStyle w:val="MiscClose"/>
      </w:pPr>
      <w:r>
        <w:t>”.</w:t>
      </w:r>
    </w:p>
    <w:p w:rsidR="00457B8F" w:rsidRDefault="00AC6540">
      <w:pPr>
        <w:pStyle w:val="nSubsection"/>
      </w:pPr>
      <w:r>
        <w:rPr>
          <w:vertAlign w:val="superscript"/>
        </w:rPr>
        <w:t>5</w:t>
      </w:r>
      <w:r>
        <w:tab/>
        <w:t xml:space="preserve">The </w:t>
      </w:r>
      <w:r>
        <w:rPr>
          <w:i/>
          <w:iCs/>
        </w:rPr>
        <w:t>Machinery of Government (Miscellaneous Amendments) Act 2006</w:t>
      </w:r>
      <w:r>
        <w:t xml:space="preserve"> Pt. 4 Div. 23 reads as follows:</w:t>
      </w:r>
    </w:p>
    <w:p w:rsidR="00457B8F" w:rsidRDefault="00AC6540">
      <w:pPr>
        <w:pStyle w:val="MiscOpen"/>
      </w:pPr>
      <w:r>
        <w:t>“</w:t>
      </w:r>
    </w:p>
    <w:p w:rsidR="00457B8F" w:rsidRDefault="00AC6540">
      <w:pPr>
        <w:pStyle w:val="nzHeading3"/>
      </w:pPr>
      <w:bookmarkStart w:id="261" w:name="_Toc101066971"/>
      <w:bookmarkStart w:id="262" w:name="_Toc101067787"/>
      <w:bookmarkStart w:id="263" w:name="_Toc101068421"/>
      <w:bookmarkStart w:id="264" w:name="_Toc101068938"/>
      <w:bookmarkStart w:id="265" w:name="_Toc101070533"/>
      <w:bookmarkStart w:id="266" w:name="_Toc101073117"/>
      <w:bookmarkStart w:id="267" w:name="_Toc101080300"/>
      <w:bookmarkStart w:id="268" w:name="_Toc101080963"/>
      <w:bookmarkStart w:id="269" w:name="_Toc101173925"/>
      <w:bookmarkStart w:id="270" w:name="_Toc101256601"/>
      <w:bookmarkStart w:id="271" w:name="_Toc101260653"/>
      <w:bookmarkStart w:id="272" w:name="_Toc101329434"/>
      <w:bookmarkStart w:id="273" w:name="_Toc101350875"/>
      <w:bookmarkStart w:id="274" w:name="_Toc101578755"/>
      <w:bookmarkStart w:id="275" w:name="_Toc101599730"/>
      <w:bookmarkStart w:id="276" w:name="_Toc101666562"/>
      <w:bookmarkStart w:id="277" w:name="_Toc101672524"/>
      <w:bookmarkStart w:id="278" w:name="_Toc101675034"/>
      <w:bookmarkStart w:id="279" w:name="_Toc101682760"/>
      <w:bookmarkStart w:id="280" w:name="_Toc101690030"/>
      <w:bookmarkStart w:id="281" w:name="_Toc101769362"/>
      <w:bookmarkStart w:id="282" w:name="_Toc101770648"/>
      <w:bookmarkStart w:id="283" w:name="_Toc101774105"/>
      <w:bookmarkStart w:id="284" w:name="_Toc101845072"/>
      <w:bookmarkStart w:id="285" w:name="_Toc102981725"/>
      <w:bookmarkStart w:id="286" w:name="_Toc103569831"/>
      <w:bookmarkStart w:id="287" w:name="_Toc106089067"/>
      <w:bookmarkStart w:id="288" w:name="_Toc106097122"/>
      <w:bookmarkStart w:id="289" w:name="_Toc136050276"/>
      <w:bookmarkStart w:id="290" w:name="_Toc138660655"/>
      <w:bookmarkStart w:id="291" w:name="_Toc138661234"/>
      <w:bookmarkStart w:id="292" w:name="_Toc138750210"/>
      <w:bookmarkStart w:id="293" w:name="_Toc138750895"/>
      <w:bookmarkStart w:id="294" w:name="_Toc139166636"/>
      <w:bookmarkStart w:id="295" w:name="_Toc139266356"/>
      <w:r>
        <w:rPr>
          <w:rStyle w:val="CharDivNo"/>
        </w:rPr>
        <w:t>Division 23</w:t>
      </w:r>
      <w:r>
        <w:t> — </w:t>
      </w:r>
      <w:r>
        <w:rPr>
          <w:rStyle w:val="CharDivText"/>
        </w:rPr>
        <w:t>Transitional provisions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457B8F" w:rsidRDefault="00AC6540">
      <w:pPr>
        <w:pStyle w:val="nzHeading5"/>
      </w:pPr>
      <w:bookmarkStart w:id="296" w:name="_Toc2055349"/>
      <w:bookmarkStart w:id="297" w:name="_Toc45504367"/>
      <w:bookmarkStart w:id="298" w:name="_Toc46642257"/>
      <w:bookmarkStart w:id="299" w:name="_Toc100544432"/>
      <w:bookmarkStart w:id="300" w:name="_Toc138661235"/>
      <w:bookmarkStart w:id="301" w:name="_Toc138750896"/>
      <w:bookmarkStart w:id="302" w:name="_Toc139166637"/>
      <w:bookmarkStart w:id="303" w:name="_Toc139266357"/>
      <w:r>
        <w:rPr>
          <w:rStyle w:val="CharSectno"/>
        </w:rPr>
        <w:t>151</w:t>
      </w:r>
      <w:r>
        <w:t>.</w:t>
      </w:r>
      <w:r>
        <w:tab/>
        <w:t>Commissioner for Fair Trading</w:t>
      </w:r>
      <w:bookmarkEnd w:id="296"/>
      <w:bookmarkEnd w:id="297"/>
      <w:bookmarkEnd w:id="298"/>
      <w:bookmarkEnd w:id="299"/>
      <w:bookmarkEnd w:id="300"/>
      <w:bookmarkEnd w:id="301"/>
      <w:bookmarkEnd w:id="302"/>
      <w:bookmarkEnd w:id="303"/>
    </w:p>
    <w:p w:rsidR="00457B8F" w:rsidRDefault="00AC6540">
      <w:pPr>
        <w:pStyle w:val="nzSubsection"/>
      </w:pPr>
      <w:r>
        <w:tab/>
      </w:r>
      <w:bookmarkStart w:id="304" w:name="_Hlt45508481"/>
      <w:bookmarkEnd w:id="304"/>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457B8F" w:rsidRDefault="00AC6540">
      <w:pPr>
        <w:pStyle w:val="nzIndenta"/>
      </w:pPr>
      <w:r>
        <w:tab/>
        <w:t>(a)</w:t>
      </w:r>
      <w:r>
        <w:tab/>
        <w:t>the Associations Incorporation Act 1987;</w:t>
      </w:r>
    </w:p>
    <w:p w:rsidR="00457B8F" w:rsidRDefault="00AC6540">
      <w:pPr>
        <w:pStyle w:val="nzIndenta"/>
      </w:pPr>
      <w:r>
        <w:tab/>
        <w:t>(b)</w:t>
      </w:r>
      <w:r>
        <w:tab/>
        <w:t xml:space="preserve">the </w:t>
      </w:r>
      <w:r>
        <w:rPr>
          <w:i/>
        </w:rPr>
        <w:t>Business Names Act 1962</w:t>
      </w:r>
      <w:r>
        <w:t>;</w:t>
      </w:r>
    </w:p>
    <w:p w:rsidR="00457B8F" w:rsidRDefault="00AC6540">
      <w:pPr>
        <w:pStyle w:val="nzIndenta"/>
      </w:pPr>
      <w:r>
        <w:tab/>
        <w:t>(c)</w:t>
      </w:r>
      <w:r>
        <w:tab/>
        <w:t xml:space="preserve">the </w:t>
      </w:r>
      <w:r>
        <w:rPr>
          <w:i/>
        </w:rPr>
        <w:t>Chattel Securities Act 1987</w:t>
      </w:r>
      <w:r>
        <w:t>;</w:t>
      </w:r>
    </w:p>
    <w:p w:rsidR="00457B8F" w:rsidRDefault="00AC6540">
      <w:pPr>
        <w:pStyle w:val="nzIndenta"/>
      </w:pPr>
      <w:r>
        <w:tab/>
        <w:t>(d)</w:t>
      </w:r>
      <w:r>
        <w:tab/>
        <w:t xml:space="preserve">the </w:t>
      </w:r>
      <w:r>
        <w:rPr>
          <w:i/>
        </w:rPr>
        <w:t>Companies (Co</w:t>
      </w:r>
      <w:r>
        <w:rPr>
          <w:i/>
        </w:rPr>
        <w:noBreakHyphen/>
        <w:t>operative) Act 1943</w:t>
      </w:r>
      <w:r>
        <w:t>;</w:t>
      </w:r>
    </w:p>
    <w:p w:rsidR="00457B8F" w:rsidRDefault="00AC6540">
      <w:pPr>
        <w:pStyle w:val="nzIndenta"/>
      </w:pPr>
      <w:r>
        <w:tab/>
        <w:t>(e)</w:t>
      </w:r>
      <w:r>
        <w:tab/>
        <w:t xml:space="preserve">Part 8 of the </w:t>
      </w:r>
      <w:r>
        <w:rPr>
          <w:i/>
        </w:rPr>
        <w:t>Competition Policy Reform (Western Australia) Act 1996</w:t>
      </w:r>
      <w:r>
        <w:t>;</w:t>
      </w:r>
    </w:p>
    <w:p w:rsidR="00457B8F" w:rsidRDefault="00AC6540">
      <w:pPr>
        <w:pStyle w:val="nzIndenta"/>
      </w:pPr>
      <w:r>
        <w:tab/>
        <w:t>(f)</w:t>
      </w:r>
      <w:r>
        <w:tab/>
        <w:t xml:space="preserve">the </w:t>
      </w:r>
      <w:r>
        <w:rPr>
          <w:i/>
        </w:rPr>
        <w:t>Consumer Affairs Act 1971</w:t>
      </w:r>
      <w:r>
        <w:t>;</w:t>
      </w:r>
    </w:p>
    <w:p w:rsidR="00457B8F" w:rsidRDefault="00AC6540">
      <w:pPr>
        <w:pStyle w:val="nzIndenta"/>
      </w:pPr>
      <w:r>
        <w:tab/>
        <w:t>(g)</w:t>
      </w:r>
      <w:r>
        <w:tab/>
        <w:t xml:space="preserve">the </w:t>
      </w:r>
      <w:r>
        <w:rPr>
          <w:i/>
        </w:rPr>
        <w:t>Co</w:t>
      </w:r>
      <w:r>
        <w:rPr>
          <w:i/>
        </w:rPr>
        <w:noBreakHyphen/>
        <w:t>operative and Provident Societies Act 1903</w:t>
      </w:r>
      <w:r>
        <w:t>;</w:t>
      </w:r>
    </w:p>
    <w:p w:rsidR="00457B8F" w:rsidRDefault="00AC6540">
      <w:pPr>
        <w:pStyle w:val="nzIndenta"/>
      </w:pPr>
      <w:r>
        <w:tab/>
        <w:t>(h)</w:t>
      </w:r>
      <w:r>
        <w:tab/>
        <w:t xml:space="preserve">the </w:t>
      </w:r>
      <w:r>
        <w:rPr>
          <w:i/>
        </w:rPr>
        <w:t>Credit Act 1984</w:t>
      </w:r>
      <w:r>
        <w:t>;</w:t>
      </w:r>
    </w:p>
    <w:p w:rsidR="00457B8F" w:rsidRDefault="00AC6540">
      <w:pPr>
        <w:pStyle w:val="nzIndenta"/>
      </w:pPr>
      <w:r>
        <w:tab/>
        <w:t>(i)</w:t>
      </w:r>
      <w:r>
        <w:tab/>
        <w:t xml:space="preserve">the </w:t>
      </w:r>
      <w:r>
        <w:rPr>
          <w:i/>
        </w:rPr>
        <w:t>Credit (Administration) Act 1984</w:t>
      </w:r>
      <w:r>
        <w:t>;</w:t>
      </w:r>
    </w:p>
    <w:p w:rsidR="00457B8F" w:rsidRDefault="00AC6540">
      <w:pPr>
        <w:pStyle w:val="nzIndenta"/>
      </w:pPr>
      <w:r>
        <w:tab/>
        <w:t>(j)</w:t>
      </w:r>
      <w:r>
        <w:tab/>
        <w:t xml:space="preserve">the </w:t>
      </w:r>
      <w:r>
        <w:rPr>
          <w:i/>
        </w:rPr>
        <w:t>Employment Agents Act 1976</w:t>
      </w:r>
      <w:r>
        <w:t>;</w:t>
      </w:r>
    </w:p>
    <w:p w:rsidR="00457B8F" w:rsidRDefault="00AC6540">
      <w:pPr>
        <w:pStyle w:val="nzIndenta"/>
      </w:pPr>
      <w:r>
        <w:tab/>
        <w:t>(k)</w:t>
      </w:r>
      <w:r>
        <w:tab/>
        <w:t xml:space="preserve">the </w:t>
      </w:r>
      <w:r>
        <w:rPr>
          <w:i/>
        </w:rPr>
        <w:t>Hire</w:t>
      </w:r>
      <w:r>
        <w:rPr>
          <w:i/>
        </w:rPr>
        <w:noBreakHyphen/>
        <w:t>Purchase Act 1959</w:t>
      </w:r>
      <w:r>
        <w:t>;</w:t>
      </w:r>
    </w:p>
    <w:p w:rsidR="00457B8F" w:rsidRDefault="00AC6540">
      <w:pPr>
        <w:pStyle w:val="nzIndenta"/>
      </w:pPr>
      <w:r>
        <w:tab/>
        <w:t>(l)</w:t>
      </w:r>
      <w:r>
        <w:tab/>
        <w:t xml:space="preserve">the </w:t>
      </w:r>
      <w:r>
        <w:rPr>
          <w:i/>
        </w:rPr>
        <w:t>Limited Partnerships Act 1909</w:t>
      </w:r>
      <w:r>
        <w:t>;</w:t>
      </w:r>
    </w:p>
    <w:p w:rsidR="00457B8F" w:rsidRDefault="00AC6540">
      <w:pPr>
        <w:pStyle w:val="nzIndenta"/>
      </w:pPr>
      <w:r>
        <w:tab/>
        <w:t>(m)</w:t>
      </w:r>
      <w:r>
        <w:tab/>
        <w:t xml:space="preserve">the </w:t>
      </w:r>
      <w:r>
        <w:rPr>
          <w:i/>
        </w:rPr>
        <w:t>Motor Vehicle Dealers Act 1973</w:t>
      </w:r>
      <w:r>
        <w:t>;</w:t>
      </w:r>
    </w:p>
    <w:p w:rsidR="00457B8F" w:rsidRDefault="00AC6540">
      <w:pPr>
        <w:pStyle w:val="nzIndenta"/>
      </w:pPr>
      <w:r>
        <w:tab/>
        <w:t>(n)</w:t>
      </w:r>
      <w:r>
        <w:tab/>
        <w:t xml:space="preserve">the </w:t>
      </w:r>
      <w:r>
        <w:rPr>
          <w:i/>
        </w:rPr>
        <w:t>Petroleum Products Pricing Act 1983</w:t>
      </w:r>
      <w:r>
        <w:t>;</w:t>
      </w:r>
    </w:p>
    <w:p w:rsidR="00457B8F" w:rsidRDefault="00AC6540">
      <w:pPr>
        <w:pStyle w:val="nzIndenta"/>
      </w:pPr>
      <w:r>
        <w:tab/>
        <w:t>(o)</w:t>
      </w:r>
      <w:r>
        <w:tab/>
        <w:t xml:space="preserve">the </w:t>
      </w:r>
      <w:r>
        <w:rPr>
          <w:i/>
        </w:rPr>
        <w:t>Petroleum Retailers Rights and Liabilities Act 1982</w:t>
      </w:r>
      <w:r>
        <w:t>;</w:t>
      </w:r>
    </w:p>
    <w:p w:rsidR="00457B8F" w:rsidRDefault="00AC6540">
      <w:pPr>
        <w:pStyle w:val="nzIndenta"/>
      </w:pPr>
      <w:r>
        <w:tab/>
        <w:t>(p)</w:t>
      </w:r>
      <w:r>
        <w:tab/>
        <w:t xml:space="preserve">the </w:t>
      </w:r>
      <w:r>
        <w:rPr>
          <w:i/>
        </w:rPr>
        <w:t>Residential Tenancies Act 1987</w:t>
      </w:r>
      <w:r>
        <w:t>;</w:t>
      </w:r>
    </w:p>
    <w:p w:rsidR="00457B8F" w:rsidRDefault="00AC6540">
      <w:pPr>
        <w:pStyle w:val="nzIndenta"/>
      </w:pPr>
      <w:r>
        <w:tab/>
        <w:t>(q)</w:t>
      </w:r>
      <w:r>
        <w:tab/>
        <w:t xml:space="preserve">the </w:t>
      </w:r>
      <w:r>
        <w:rPr>
          <w:i/>
        </w:rPr>
        <w:t>Retirement Villages Act 1992</w:t>
      </w:r>
      <w:r>
        <w:t>;</w:t>
      </w:r>
    </w:p>
    <w:p w:rsidR="00457B8F" w:rsidRDefault="00AC6540">
      <w:pPr>
        <w:pStyle w:val="nzIndenta"/>
      </w:pPr>
      <w:r>
        <w:tab/>
        <w:t>(r)</w:t>
      </w:r>
      <w:r>
        <w:tab/>
        <w:t xml:space="preserve">the </w:t>
      </w:r>
      <w:r>
        <w:rPr>
          <w:i/>
        </w:rPr>
        <w:t>Travel Agents Act 1985</w:t>
      </w:r>
      <w:r>
        <w:t>.</w:t>
      </w:r>
    </w:p>
    <w:p w:rsidR="00457B8F" w:rsidRDefault="00AC6540">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457B8F" w:rsidRDefault="00AC6540">
      <w:pPr>
        <w:pStyle w:val="nzIndenta"/>
      </w:pPr>
      <w:r>
        <w:tab/>
        <w:t>(a)</w:t>
      </w:r>
      <w:r>
        <w:tab/>
        <w:t>by, to or in relation to, the Commissioner or Registrar (as the case requires) as defined in that other enactment as in force after commencement; and</w:t>
      </w:r>
    </w:p>
    <w:p w:rsidR="00457B8F" w:rsidRDefault="00AC6540">
      <w:pPr>
        <w:pStyle w:val="nzIndenta"/>
      </w:pPr>
      <w:r>
        <w:tab/>
        <w:t>(b)</w:t>
      </w:r>
      <w:r>
        <w:tab/>
        <w:t>where relevant, under the corresponding provision of that other enactment as in force after commencement.</w:t>
      </w:r>
    </w:p>
    <w:p w:rsidR="00457B8F" w:rsidRDefault="00AC6540">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457B8F" w:rsidRDefault="00AC6540">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457B8F" w:rsidRDefault="00AC6540">
      <w:pPr>
        <w:pStyle w:val="nzSubsection"/>
      </w:pPr>
      <w:r>
        <w:tab/>
        <w:t>(5)</w:t>
      </w:r>
      <w:r>
        <w:tab/>
        <w:t xml:space="preserve">A reference in an enactment to the Commissioner for Fair Trading is to have effect after commencement as if it had been amended to be a reference to — </w:t>
      </w:r>
    </w:p>
    <w:p w:rsidR="00457B8F" w:rsidRDefault="00AC6540">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457B8F" w:rsidRDefault="00AC6540">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457B8F" w:rsidRDefault="00AC6540">
      <w:pPr>
        <w:pStyle w:val="nzHeading5"/>
      </w:pPr>
      <w:bookmarkStart w:id="305" w:name="_Toc45504368"/>
      <w:bookmarkStart w:id="306" w:name="_Toc46642258"/>
      <w:bookmarkStart w:id="307" w:name="_Toc100544433"/>
      <w:bookmarkStart w:id="308" w:name="_Toc138661236"/>
      <w:bookmarkStart w:id="309" w:name="_Toc138750897"/>
      <w:bookmarkStart w:id="310" w:name="_Toc139166638"/>
      <w:bookmarkStart w:id="311" w:name="_Toc139266358"/>
      <w:r>
        <w:rPr>
          <w:rStyle w:val="CharSectno"/>
        </w:rPr>
        <w:t>152</w:t>
      </w:r>
      <w:r>
        <w:t>.</w:t>
      </w:r>
      <w:r>
        <w:tab/>
        <w:t>Commissioner for Corporate Affairs and Registrar of Co</w:t>
      </w:r>
      <w:r>
        <w:noBreakHyphen/>
        <w:t>operative and Financial Institutions</w:t>
      </w:r>
      <w:bookmarkEnd w:id="305"/>
      <w:bookmarkEnd w:id="306"/>
      <w:bookmarkEnd w:id="307"/>
      <w:bookmarkEnd w:id="308"/>
      <w:bookmarkEnd w:id="309"/>
      <w:bookmarkEnd w:id="310"/>
      <w:bookmarkEnd w:id="311"/>
    </w:p>
    <w:p w:rsidR="00457B8F" w:rsidRDefault="00AC6540">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457B8F" w:rsidRDefault="00AC6540">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457B8F" w:rsidRDefault="00AC6540">
      <w:pPr>
        <w:pStyle w:val="nzHeading5"/>
      </w:pPr>
      <w:bookmarkStart w:id="312" w:name="_Toc45504369"/>
      <w:bookmarkStart w:id="313" w:name="_Toc46642259"/>
      <w:bookmarkStart w:id="314" w:name="_Toc100544434"/>
      <w:bookmarkStart w:id="315" w:name="_Toc138661237"/>
      <w:bookmarkStart w:id="316" w:name="_Toc138750898"/>
      <w:bookmarkStart w:id="317" w:name="_Toc139166639"/>
      <w:bookmarkStart w:id="318" w:name="_Toc139266359"/>
      <w:r>
        <w:rPr>
          <w:rStyle w:val="CharSectno"/>
        </w:rPr>
        <w:t>153</w:t>
      </w:r>
      <w:r>
        <w:t>.</w:t>
      </w:r>
      <w:r>
        <w:tab/>
      </w:r>
      <w:r>
        <w:rPr>
          <w:i/>
        </w:rPr>
        <w:t>Consumer Affairs Act 1971</w:t>
      </w:r>
      <w:bookmarkEnd w:id="312"/>
      <w:bookmarkEnd w:id="313"/>
      <w:bookmarkEnd w:id="314"/>
      <w:bookmarkEnd w:id="315"/>
      <w:bookmarkEnd w:id="316"/>
      <w:bookmarkEnd w:id="317"/>
      <w:bookmarkEnd w:id="318"/>
    </w:p>
    <w:p w:rsidR="00457B8F" w:rsidRDefault="00AC6540">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457B8F" w:rsidRDefault="00AC6540">
      <w:pPr>
        <w:pStyle w:val="nzHeading5"/>
        <w:rPr>
          <w:i/>
        </w:rPr>
      </w:pPr>
      <w:bookmarkStart w:id="319" w:name="_Toc2055351"/>
      <w:bookmarkStart w:id="320" w:name="_Toc45504370"/>
      <w:bookmarkStart w:id="321" w:name="_Toc46642260"/>
      <w:bookmarkStart w:id="322" w:name="_Toc100544435"/>
      <w:bookmarkStart w:id="323" w:name="_Toc138661238"/>
      <w:bookmarkStart w:id="324" w:name="_Toc138750899"/>
      <w:bookmarkStart w:id="325" w:name="_Toc139166640"/>
      <w:bookmarkStart w:id="326" w:name="_Toc139266360"/>
      <w:r>
        <w:rPr>
          <w:rStyle w:val="CharSectno"/>
        </w:rPr>
        <w:t>154</w:t>
      </w:r>
      <w:r>
        <w:t>.</w:t>
      </w:r>
      <w:r>
        <w:tab/>
      </w:r>
      <w:r>
        <w:rPr>
          <w:i/>
        </w:rPr>
        <w:t>Petroleum Products Pricing Act 1983</w:t>
      </w:r>
      <w:bookmarkEnd w:id="319"/>
      <w:bookmarkEnd w:id="320"/>
      <w:bookmarkEnd w:id="321"/>
      <w:bookmarkEnd w:id="322"/>
      <w:bookmarkEnd w:id="323"/>
      <w:bookmarkEnd w:id="324"/>
      <w:bookmarkEnd w:id="325"/>
      <w:bookmarkEnd w:id="326"/>
    </w:p>
    <w:p w:rsidR="00457B8F" w:rsidRDefault="00AC6540">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457B8F" w:rsidRDefault="00AC6540">
      <w:pPr>
        <w:pStyle w:val="nzHeading5"/>
      </w:pPr>
      <w:bookmarkStart w:id="327" w:name="_Hlt20546863"/>
      <w:bookmarkStart w:id="328" w:name="_Toc2055353"/>
      <w:bookmarkStart w:id="329" w:name="_Toc45504371"/>
      <w:bookmarkStart w:id="330" w:name="_Toc46642261"/>
      <w:bookmarkStart w:id="331" w:name="_Toc100544436"/>
      <w:bookmarkStart w:id="332" w:name="_Toc138661239"/>
      <w:bookmarkStart w:id="333" w:name="_Toc138750900"/>
      <w:bookmarkStart w:id="334" w:name="_Toc139166641"/>
      <w:bookmarkStart w:id="335" w:name="_Toc139266361"/>
      <w:bookmarkEnd w:id="327"/>
      <w:r>
        <w:rPr>
          <w:rStyle w:val="CharSectno"/>
        </w:rPr>
        <w:t>155</w:t>
      </w:r>
      <w:r>
        <w:t>.</w:t>
      </w:r>
      <w:r>
        <w:tab/>
        <w:t>Interpretation</w:t>
      </w:r>
      <w:bookmarkEnd w:id="328"/>
      <w:bookmarkEnd w:id="329"/>
      <w:bookmarkEnd w:id="330"/>
      <w:bookmarkEnd w:id="331"/>
      <w:bookmarkEnd w:id="332"/>
      <w:bookmarkEnd w:id="333"/>
      <w:bookmarkEnd w:id="334"/>
      <w:bookmarkEnd w:id="335"/>
    </w:p>
    <w:p w:rsidR="00457B8F" w:rsidRDefault="00AC6540">
      <w:pPr>
        <w:pStyle w:val="nzSubsection"/>
      </w:pPr>
      <w:r>
        <w:tab/>
      </w:r>
      <w:r>
        <w:tab/>
        <w:t xml:space="preserve">In this Division — </w:t>
      </w:r>
    </w:p>
    <w:p w:rsidR="00457B8F" w:rsidRDefault="00AC6540">
      <w:pPr>
        <w:pStyle w:val="nzDefstart"/>
      </w:pPr>
      <w:r>
        <w:tab/>
      </w:r>
      <w:r>
        <w:rPr>
          <w:b/>
        </w:rPr>
        <w:t>“</w:t>
      </w:r>
      <w:r>
        <w:rPr>
          <w:rStyle w:val="CharDefText"/>
        </w:rPr>
        <w:t>commencement</w:t>
      </w:r>
      <w:r>
        <w:rPr>
          <w:b/>
        </w:rPr>
        <w:t>”</w:t>
      </w:r>
      <w:r>
        <w:t xml:space="preserve"> means the time at which this Division comes into operation;</w:t>
      </w:r>
    </w:p>
    <w:p w:rsidR="00457B8F" w:rsidRDefault="00AC6540">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rsidR="00457B8F" w:rsidRDefault="00AC6540">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rsidR="00457B8F" w:rsidRDefault="00AC6540">
      <w:pPr>
        <w:pStyle w:val="MiscClose"/>
      </w:pPr>
      <w:r>
        <w:t>”.</w:t>
      </w:r>
    </w:p>
    <w:p w:rsidR="00457B8F" w:rsidRDefault="00457B8F"/>
    <w:p w:rsidR="00457B8F" w:rsidRDefault="00457B8F">
      <w:pPr>
        <w:sectPr w:rsidR="00457B8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57B8F" w:rsidRDefault="00457B8F"/>
    <w:sectPr w:rsidR="00457B8F">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8F" w:rsidRDefault="00AC6540">
      <w:r>
        <w:separator/>
      </w:r>
    </w:p>
  </w:endnote>
  <w:endnote w:type="continuationSeparator" w:id="0">
    <w:p w:rsidR="00457B8F" w:rsidRDefault="00AC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p>
  <w:p w:rsidR="00457B8F" w:rsidRDefault="00AC65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457B8F" w:rsidRDefault="00AC65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457B8F" w:rsidRDefault="00AC65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1CD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p>
  <w:p w:rsidR="00457B8F" w:rsidRDefault="00AC65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57B8F" w:rsidRDefault="00AC654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1CD5">
      <w:rPr>
        <w:rStyle w:val="PageNumber"/>
        <w:rFonts w:ascii="Arial" w:hAnsi="Arial" w:cs="Arial"/>
        <w:noProof/>
      </w:rPr>
      <w:t>i</w:t>
    </w:r>
    <w:r>
      <w:rPr>
        <w:rStyle w:val="PageNumber"/>
        <w:rFonts w:ascii="Arial" w:hAnsi="Arial" w:cs="Arial"/>
      </w:rPr>
      <w:fldChar w:fldCharType="end"/>
    </w:r>
  </w:p>
  <w:p w:rsidR="00457B8F" w:rsidRDefault="00AC654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1CD5">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457B8F" w:rsidRDefault="00AC65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1CD5">
      <w:rPr>
        <w:rStyle w:val="CharPageNo"/>
        <w:rFonts w:ascii="Arial" w:hAnsi="Arial"/>
        <w:noProof/>
      </w:rPr>
      <w:t>33</w:t>
    </w:r>
    <w:r>
      <w:rPr>
        <w:rStyle w:val="CharPageNo"/>
        <w:rFonts w:ascii="Arial" w:hAnsi="Arial"/>
      </w:rPr>
      <w:fldChar w:fldCharType="end"/>
    </w:r>
  </w:p>
  <w:p w:rsidR="00457B8F" w:rsidRDefault="00AC654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Footer"/>
      <w:tabs>
        <w:tab w:val="clear" w:pos="4153"/>
        <w:tab w:val="right" w:pos="7088"/>
      </w:tabs>
      <w:rPr>
        <w:rStyle w:val="PageNumber"/>
      </w:rPr>
    </w:pPr>
  </w:p>
  <w:p w:rsidR="00457B8F" w:rsidRDefault="00AC65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1CD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1CD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1CD5">
      <w:rPr>
        <w:rStyle w:val="CharPageNo"/>
        <w:rFonts w:ascii="Arial" w:hAnsi="Arial"/>
        <w:noProof/>
      </w:rPr>
      <w:t>1</w:t>
    </w:r>
    <w:r>
      <w:rPr>
        <w:rStyle w:val="CharPageNo"/>
        <w:rFonts w:ascii="Arial" w:hAnsi="Arial"/>
      </w:rPr>
      <w:fldChar w:fldCharType="end"/>
    </w:r>
  </w:p>
  <w:p w:rsidR="00457B8F" w:rsidRDefault="00AC654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8F" w:rsidRDefault="00AC6540">
      <w:r>
        <w:separator/>
      </w:r>
    </w:p>
  </w:footnote>
  <w:footnote w:type="continuationSeparator" w:id="0">
    <w:p w:rsidR="00457B8F" w:rsidRDefault="00AC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57B8F">
      <w:trPr>
        <w:cantSplit/>
      </w:trPr>
      <w:tc>
        <w:tcPr>
          <w:tcW w:w="7160" w:type="dxa"/>
          <w:gridSpan w:val="2"/>
        </w:tcPr>
        <w:p w:rsidR="00457B8F" w:rsidRDefault="00AC6540">
          <w:pPr>
            <w:pStyle w:val="HeaderActNameLeft"/>
          </w:pPr>
          <w:fldSimple w:instr=" Styleref &quot;Name of Act/Reg&quot; ">
            <w:r w:rsidR="00991CD5">
              <w:rPr>
                <w:noProof/>
              </w:rPr>
              <w:t>Chattel Securities Act 1987</w:t>
            </w:r>
          </w:fldSimple>
        </w:p>
      </w:tc>
    </w:tr>
    <w:tr w:rsidR="00457B8F">
      <w:tc>
        <w:tcPr>
          <w:tcW w:w="1548" w:type="dxa"/>
        </w:tcPr>
        <w:p w:rsidR="00457B8F" w:rsidRDefault="00457B8F">
          <w:pPr>
            <w:pStyle w:val="HeaderNumberLeft"/>
          </w:pPr>
        </w:p>
      </w:tc>
      <w:tc>
        <w:tcPr>
          <w:tcW w:w="5612" w:type="dxa"/>
        </w:tcPr>
        <w:p w:rsidR="00457B8F" w:rsidRDefault="00457B8F">
          <w:pPr>
            <w:pStyle w:val="HeaderTextLeft"/>
          </w:pPr>
        </w:p>
      </w:tc>
    </w:tr>
    <w:tr w:rsidR="00457B8F">
      <w:tc>
        <w:tcPr>
          <w:tcW w:w="1548" w:type="dxa"/>
        </w:tcPr>
        <w:p w:rsidR="00457B8F" w:rsidRDefault="00457B8F">
          <w:pPr>
            <w:pStyle w:val="HeaderNumberLeft"/>
          </w:pPr>
        </w:p>
      </w:tc>
      <w:tc>
        <w:tcPr>
          <w:tcW w:w="5612" w:type="dxa"/>
        </w:tcPr>
        <w:p w:rsidR="00457B8F" w:rsidRDefault="00457B8F">
          <w:pPr>
            <w:pStyle w:val="HeaderTextLeft"/>
          </w:pPr>
        </w:p>
      </w:tc>
    </w:tr>
    <w:tr w:rsidR="00457B8F">
      <w:trPr>
        <w:cantSplit/>
      </w:trPr>
      <w:tc>
        <w:tcPr>
          <w:tcW w:w="7160" w:type="dxa"/>
          <w:gridSpan w:val="2"/>
        </w:tcPr>
        <w:p w:rsidR="00457B8F" w:rsidRDefault="00457B8F">
          <w:pPr>
            <w:pStyle w:val="HeaderSectionLeft"/>
          </w:pPr>
        </w:p>
      </w:tc>
    </w:tr>
  </w:tbl>
  <w:p w:rsidR="00457B8F" w:rsidRDefault="00457B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57B8F">
      <w:trPr>
        <w:cantSplit/>
      </w:trPr>
      <w:tc>
        <w:tcPr>
          <w:tcW w:w="7160" w:type="dxa"/>
          <w:gridSpan w:val="2"/>
        </w:tcPr>
        <w:p w:rsidR="00457B8F" w:rsidRDefault="00AC6540">
          <w:pPr>
            <w:pStyle w:val="HeaderActNameRight"/>
          </w:pPr>
          <w:fldSimple w:instr=" Styleref &quot;Name of Act/Reg&quot; ">
            <w:r w:rsidR="00991CD5">
              <w:rPr>
                <w:noProof/>
              </w:rPr>
              <w:t>Chattel Securities Act 1987</w:t>
            </w:r>
          </w:fldSimple>
        </w:p>
      </w:tc>
    </w:tr>
    <w:tr w:rsidR="00457B8F">
      <w:tc>
        <w:tcPr>
          <w:tcW w:w="5760" w:type="dxa"/>
        </w:tcPr>
        <w:p w:rsidR="00457B8F" w:rsidRDefault="00457B8F">
          <w:pPr>
            <w:pStyle w:val="HeaderTextRight"/>
          </w:pPr>
        </w:p>
      </w:tc>
      <w:tc>
        <w:tcPr>
          <w:tcW w:w="1400" w:type="dxa"/>
        </w:tcPr>
        <w:p w:rsidR="00457B8F" w:rsidRDefault="00457B8F">
          <w:pPr>
            <w:pStyle w:val="HeaderNumberRight"/>
          </w:pPr>
        </w:p>
      </w:tc>
    </w:tr>
    <w:tr w:rsidR="00457B8F">
      <w:tc>
        <w:tcPr>
          <w:tcW w:w="5760" w:type="dxa"/>
        </w:tcPr>
        <w:p w:rsidR="00457B8F" w:rsidRDefault="00457B8F">
          <w:pPr>
            <w:pStyle w:val="HeaderTextRight"/>
          </w:pPr>
        </w:p>
      </w:tc>
      <w:tc>
        <w:tcPr>
          <w:tcW w:w="1400" w:type="dxa"/>
        </w:tcPr>
        <w:p w:rsidR="00457B8F" w:rsidRDefault="00457B8F">
          <w:pPr>
            <w:pStyle w:val="HeaderNumberRight"/>
          </w:pPr>
        </w:p>
      </w:tc>
    </w:tr>
    <w:tr w:rsidR="00457B8F">
      <w:trPr>
        <w:cantSplit/>
      </w:trPr>
      <w:tc>
        <w:tcPr>
          <w:tcW w:w="7160" w:type="dxa"/>
          <w:gridSpan w:val="2"/>
        </w:tcPr>
        <w:p w:rsidR="00457B8F" w:rsidRDefault="00457B8F">
          <w:pPr>
            <w:pStyle w:val="HeaderSectionRight"/>
          </w:pPr>
        </w:p>
      </w:tc>
    </w:tr>
  </w:tbl>
  <w:p w:rsidR="00457B8F" w:rsidRDefault="00457B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AC6540">
    <w:pPr>
      <w:pStyle w:val="headerpartodd"/>
      <w:ind w:left="0" w:firstLine="0"/>
      <w:rPr>
        <w:i/>
      </w:rPr>
    </w:pPr>
    <w:r>
      <w:rPr>
        <w:i/>
      </w:rPr>
      <w:fldChar w:fldCharType="begin"/>
    </w:r>
    <w:r>
      <w:rPr>
        <w:i/>
      </w:rPr>
      <w:instrText xml:space="preserve"> Styleref "Name of Act/Reg" </w:instrText>
    </w:r>
    <w:r>
      <w:rPr>
        <w:i/>
      </w:rPr>
      <w:fldChar w:fldCharType="separate"/>
    </w:r>
    <w:r w:rsidR="00991CD5">
      <w:rPr>
        <w:i/>
        <w:noProof/>
      </w:rPr>
      <w:t>Chattel Securities Act 1987</w:t>
    </w:r>
    <w:r>
      <w:rPr>
        <w:i/>
      </w:rPr>
      <w:fldChar w:fldCharType="end"/>
    </w:r>
  </w:p>
  <w:p w:rsidR="00457B8F" w:rsidRDefault="00457B8F">
    <w:pPr>
      <w:pStyle w:val="headerpartodd"/>
      <w:ind w:left="0" w:firstLine="0"/>
      <w:rPr>
        <w:b w:val="0"/>
        <w:i/>
      </w:rPr>
    </w:pPr>
  </w:p>
  <w:p w:rsidR="00457B8F" w:rsidRDefault="00457B8F">
    <w:pPr>
      <w:pStyle w:val="headerpart"/>
    </w:pPr>
  </w:p>
  <w:p w:rsidR="00457B8F" w:rsidRDefault="00457B8F">
    <w:pPr>
      <w:pStyle w:val="headerpart"/>
    </w:pPr>
  </w:p>
  <w:p w:rsidR="00457B8F" w:rsidRDefault="00457B8F">
    <w:pPr>
      <w:pBdr>
        <w:bottom w:val="single" w:sz="6" w:space="1" w:color="auto"/>
      </w:pBdr>
      <w:rPr>
        <w:b/>
      </w:rPr>
    </w:pPr>
  </w:p>
  <w:p w:rsidR="00457B8F" w:rsidRDefault="00457B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AC6540">
    <w:pPr>
      <w:pStyle w:val="headerpartodd"/>
      <w:ind w:left="0" w:firstLine="0"/>
      <w:jc w:val="right"/>
      <w:rPr>
        <w:i/>
      </w:rPr>
    </w:pPr>
    <w:r>
      <w:rPr>
        <w:i/>
      </w:rPr>
      <w:fldChar w:fldCharType="begin"/>
    </w:r>
    <w:r>
      <w:rPr>
        <w:i/>
      </w:rPr>
      <w:instrText xml:space="preserve"> Styleref "Name of Act/Reg" </w:instrText>
    </w:r>
    <w:r>
      <w:rPr>
        <w:i/>
      </w:rPr>
      <w:fldChar w:fldCharType="separate"/>
    </w:r>
    <w:r w:rsidR="00991CD5">
      <w:rPr>
        <w:i/>
        <w:noProof/>
      </w:rPr>
      <w:t>Chattel Securities Act 1987</w:t>
    </w:r>
    <w:r>
      <w:rPr>
        <w:i/>
      </w:rPr>
      <w:fldChar w:fldCharType="end"/>
    </w:r>
  </w:p>
  <w:p w:rsidR="00457B8F" w:rsidRDefault="00457B8F">
    <w:pPr>
      <w:pStyle w:val="headerpartodd"/>
      <w:ind w:left="0" w:firstLine="0"/>
      <w:jc w:val="right"/>
      <w:rPr>
        <w:b w:val="0"/>
        <w:i/>
      </w:rPr>
    </w:pPr>
  </w:p>
  <w:p w:rsidR="00457B8F" w:rsidRDefault="00457B8F">
    <w:pPr>
      <w:pStyle w:val="headerpart"/>
      <w:jc w:val="right"/>
    </w:pPr>
  </w:p>
  <w:p w:rsidR="00457B8F" w:rsidRDefault="00457B8F">
    <w:pPr>
      <w:pStyle w:val="headerpart"/>
      <w:jc w:val="right"/>
    </w:pPr>
  </w:p>
  <w:p w:rsidR="00457B8F" w:rsidRDefault="00457B8F">
    <w:pPr>
      <w:pBdr>
        <w:bottom w:val="single" w:sz="6" w:space="1" w:color="auto"/>
      </w:pBdr>
      <w:jc w:val="right"/>
      <w:rPr>
        <w:b/>
      </w:rPr>
    </w:pPr>
  </w:p>
  <w:p w:rsidR="00457B8F" w:rsidRDefault="0045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7B8F">
      <w:trPr>
        <w:cantSplit/>
      </w:trPr>
      <w:tc>
        <w:tcPr>
          <w:tcW w:w="7312" w:type="dxa"/>
          <w:gridSpan w:val="2"/>
        </w:tcPr>
        <w:p w:rsidR="00457B8F" w:rsidRDefault="00AC6540">
          <w:pPr>
            <w:pStyle w:val="HeaderActNameLeft"/>
          </w:pPr>
          <w:fldSimple w:instr=" Styleref &quot;Name of Act/Reg&quot; ">
            <w:r w:rsidR="00991CD5">
              <w:rPr>
                <w:noProof/>
              </w:rPr>
              <w:t>Chattel Securities Act 1987</w:t>
            </w:r>
          </w:fldSimple>
        </w:p>
      </w:tc>
    </w:tr>
    <w:tr w:rsidR="00457B8F">
      <w:tc>
        <w:tcPr>
          <w:tcW w:w="1548" w:type="dxa"/>
        </w:tcPr>
        <w:p w:rsidR="00457B8F" w:rsidRDefault="00457B8F">
          <w:pPr>
            <w:pStyle w:val="HeaderNumberLeft"/>
          </w:pPr>
        </w:p>
      </w:tc>
      <w:tc>
        <w:tcPr>
          <w:tcW w:w="5764" w:type="dxa"/>
        </w:tcPr>
        <w:p w:rsidR="00457B8F" w:rsidRDefault="00457B8F">
          <w:pPr>
            <w:pStyle w:val="HeaderTextLeft"/>
          </w:pPr>
        </w:p>
      </w:tc>
    </w:tr>
    <w:tr w:rsidR="00457B8F">
      <w:tc>
        <w:tcPr>
          <w:tcW w:w="1548" w:type="dxa"/>
        </w:tcPr>
        <w:p w:rsidR="00457B8F" w:rsidRDefault="00457B8F">
          <w:pPr>
            <w:pStyle w:val="HeaderNumberLeft"/>
          </w:pPr>
        </w:p>
      </w:tc>
      <w:tc>
        <w:tcPr>
          <w:tcW w:w="5764" w:type="dxa"/>
        </w:tcPr>
        <w:p w:rsidR="00457B8F" w:rsidRDefault="00457B8F">
          <w:pPr>
            <w:pStyle w:val="HeaderTextLeft"/>
          </w:pPr>
        </w:p>
      </w:tc>
    </w:tr>
    <w:tr w:rsidR="00457B8F">
      <w:trPr>
        <w:cantSplit/>
      </w:trPr>
      <w:tc>
        <w:tcPr>
          <w:tcW w:w="7312" w:type="dxa"/>
          <w:gridSpan w:val="2"/>
        </w:tcPr>
        <w:p w:rsidR="00457B8F" w:rsidRDefault="00AC6540">
          <w:pPr>
            <w:pStyle w:val="HeaderSectionLeft"/>
            <w:rPr>
              <w:b w:val="0"/>
            </w:rPr>
          </w:pPr>
          <w:r>
            <w:rPr>
              <w:b w:val="0"/>
            </w:rPr>
            <w:t>Contents</w:t>
          </w:r>
        </w:p>
      </w:tc>
    </w:tr>
  </w:tbl>
  <w:p w:rsidR="00457B8F" w:rsidRDefault="00457B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7B8F">
      <w:trPr>
        <w:cantSplit/>
      </w:trPr>
      <w:tc>
        <w:tcPr>
          <w:tcW w:w="7312" w:type="dxa"/>
          <w:gridSpan w:val="2"/>
        </w:tcPr>
        <w:p w:rsidR="00457B8F" w:rsidRDefault="00AC6540">
          <w:pPr>
            <w:pStyle w:val="HeaderActNameRight"/>
          </w:pPr>
          <w:fldSimple w:instr=" Styleref &quot;Name of Act/Reg&quot; ">
            <w:r w:rsidR="00991CD5">
              <w:rPr>
                <w:noProof/>
              </w:rPr>
              <w:t>Chattel Securities Act 1987</w:t>
            </w:r>
          </w:fldSimple>
        </w:p>
      </w:tc>
    </w:tr>
    <w:tr w:rsidR="00457B8F">
      <w:tc>
        <w:tcPr>
          <w:tcW w:w="5760" w:type="dxa"/>
        </w:tcPr>
        <w:p w:rsidR="00457B8F" w:rsidRDefault="00457B8F">
          <w:pPr>
            <w:pStyle w:val="HeaderTextRight"/>
          </w:pPr>
        </w:p>
      </w:tc>
      <w:tc>
        <w:tcPr>
          <w:tcW w:w="1552" w:type="dxa"/>
        </w:tcPr>
        <w:p w:rsidR="00457B8F" w:rsidRDefault="00457B8F">
          <w:pPr>
            <w:pStyle w:val="HeaderNumberRight"/>
          </w:pPr>
        </w:p>
      </w:tc>
    </w:tr>
    <w:tr w:rsidR="00457B8F">
      <w:tc>
        <w:tcPr>
          <w:tcW w:w="5760" w:type="dxa"/>
        </w:tcPr>
        <w:p w:rsidR="00457B8F" w:rsidRDefault="00457B8F">
          <w:pPr>
            <w:pStyle w:val="HeaderTextRight"/>
          </w:pPr>
        </w:p>
      </w:tc>
      <w:tc>
        <w:tcPr>
          <w:tcW w:w="1552" w:type="dxa"/>
        </w:tcPr>
        <w:p w:rsidR="00457B8F" w:rsidRDefault="00457B8F">
          <w:pPr>
            <w:pStyle w:val="HeaderNumberRight"/>
          </w:pPr>
        </w:p>
      </w:tc>
    </w:tr>
    <w:tr w:rsidR="00457B8F">
      <w:trPr>
        <w:cantSplit/>
      </w:trPr>
      <w:tc>
        <w:tcPr>
          <w:tcW w:w="7312" w:type="dxa"/>
          <w:gridSpan w:val="2"/>
        </w:tcPr>
        <w:p w:rsidR="00457B8F" w:rsidRDefault="00457B8F">
          <w:pPr>
            <w:pStyle w:val="HeaderSectionRight"/>
          </w:pPr>
        </w:p>
      </w:tc>
    </w:tr>
  </w:tbl>
  <w:p w:rsidR="00457B8F" w:rsidRDefault="00457B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7B8F">
      <w:trPr>
        <w:cantSplit/>
      </w:trPr>
      <w:tc>
        <w:tcPr>
          <w:tcW w:w="7312" w:type="dxa"/>
          <w:gridSpan w:val="2"/>
        </w:tcPr>
        <w:p w:rsidR="00457B8F" w:rsidRDefault="00AC6540">
          <w:pPr>
            <w:pStyle w:val="HeaderActNameLeft"/>
          </w:pPr>
          <w:fldSimple w:instr=" Styleref &quot;Name of Act/Reg&quot; ">
            <w:r w:rsidR="00991CD5">
              <w:rPr>
                <w:noProof/>
              </w:rPr>
              <w:t>Chattel Securities Act 1987</w:t>
            </w:r>
          </w:fldSimple>
        </w:p>
      </w:tc>
    </w:tr>
    <w:tr w:rsidR="00457B8F">
      <w:tc>
        <w:tcPr>
          <w:tcW w:w="1305" w:type="dxa"/>
        </w:tcPr>
        <w:p w:rsidR="00457B8F" w:rsidRDefault="00AC6540">
          <w:pPr>
            <w:pStyle w:val="HeaderNumberLeft"/>
          </w:pPr>
          <w:fldSimple w:instr=" styleref CharPartNo ">
            <w:r w:rsidR="00991CD5">
              <w:rPr>
                <w:noProof/>
              </w:rPr>
              <w:t>Part I</w:t>
            </w:r>
          </w:fldSimple>
        </w:p>
      </w:tc>
      <w:tc>
        <w:tcPr>
          <w:tcW w:w="6007" w:type="dxa"/>
        </w:tcPr>
        <w:p w:rsidR="00457B8F" w:rsidRDefault="00AC6540">
          <w:pPr>
            <w:pStyle w:val="HeaderTextLeft"/>
          </w:pPr>
          <w:fldSimple w:instr=" styleref CharPartText ">
            <w:r w:rsidR="00991CD5">
              <w:rPr>
                <w:noProof/>
              </w:rPr>
              <w:t>Preliminary</w:t>
            </w:r>
          </w:fldSimple>
        </w:p>
      </w:tc>
    </w:tr>
    <w:tr w:rsidR="00457B8F">
      <w:tc>
        <w:tcPr>
          <w:tcW w:w="1305" w:type="dxa"/>
        </w:tcPr>
        <w:p w:rsidR="00457B8F" w:rsidRDefault="00AC6540">
          <w:pPr>
            <w:pStyle w:val="HeaderNumberLeft"/>
          </w:pPr>
          <w:r>
            <w:fldChar w:fldCharType="begin"/>
          </w:r>
          <w:r>
            <w:instrText xml:space="preserve"> styleref CharDivNo </w:instrText>
          </w:r>
          <w:r>
            <w:fldChar w:fldCharType="end"/>
          </w:r>
        </w:p>
      </w:tc>
      <w:tc>
        <w:tcPr>
          <w:tcW w:w="6007" w:type="dxa"/>
        </w:tcPr>
        <w:p w:rsidR="00457B8F" w:rsidRDefault="00AC6540">
          <w:pPr>
            <w:pStyle w:val="HeaderTextLeft"/>
          </w:pPr>
          <w:r>
            <w:fldChar w:fldCharType="begin"/>
          </w:r>
          <w:r>
            <w:instrText xml:space="preserve"> styleref CharDivText </w:instrText>
          </w:r>
          <w:r>
            <w:fldChar w:fldCharType="end"/>
          </w:r>
        </w:p>
      </w:tc>
    </w:tr>
    <w:tr w:rsidR="00457B8F">
      <w:trPr>
        <w:cantSplit/>
      </w:trPr>
      <w:tc>
        <w:tcPr>
          <w:tcW w:w="7312" w:type="dxa"/>
          <w:gridSpan w:val="2"/>
        </w:tcPr>
        <w:p w:rsidR="00457B8F" w:rsidRDefault="00AC6540">
          <w:pPr>
            <w:pStyle w:val="HeaderSectionLeft"/>
          </w:pPr>
          <w:r>
            <w:t xml:space="preserve">s. </w:t>
          </w:r>
          <w:fldSimple w:instr=" styleref CharSectno ">
            <w:r w:rsidR="00991CD5">
              <w:rPr>
                <w:noProof/>
              </w:rPr>
              <w:t>1</w:t>
            </w:r>
          </w:fldSimple>
        </w:p>
      </w:tc>
    </w:tr>
  </w:tbl>
  <w:p w:rsidR="00457B8F" w:rsidRDefault="00457B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7B8F">
      <w:trPr>
        <w:cantSplit/>
      </w:trPr>
      <w:tc>
        <w:tcPr>
          <w:tcW w:w="7312" w:type="dxa"/>
          <w:gridSpan w:val="2"/>
        </w:tcPr>
        <w:p w:rsidR="00457B8F" w:rsidRDefault="00AC6540">
          <w:pPr>
            <w:pStyle w:val="HeaderActNameRight"/>
          </w:pPr>
          <w:fldSimple w:instr=" Styleref &quot;Name of Act/Reg&quot; ">
            <w:r w:rsidR="00991CD5">
              <w:rPr>
                <w:noProof/>
              </w:rPr>
              <w:t>Chattel Securities Act 1987</w:t>
            </w:r>
          </w:fldSimple>
        </w:p>
      </w:tc>
    </w:tr>
    <w:tr w:rsidR="00457B8F">
      <w:tc>
        <w:tcPr>
          <w:tcW w:w="5985" w:type="dxa"/>
        </w:tcPr>
        <w:p w:rsidR="00457B8F" w:rsidRDefault="00AC6540">
          <w:pPr>
            <w:pStyle w:val="HeaderTextRight"/>
          </w:pPr>
          <w:fldSimple w:instr=" styleref CharPartText ">
            <w:r w:rsidR="00991CD5">
              <w:rPr>
                <w:noProof/>
              </w:rPr>
              <w:t>Preliminary</w:t>
            </w:r>
          </w:fldSimple>
        </w:p>
      </w:tc>
      <w:tc>
        <w:tcPr>
          <w:tcW w:w="1327" w:type="dxa"/>
        </w:tcPr>
        <w:p w:rsidR="00457B8F" w:rsidRDefault="00AC6540">
          <w:pPr>
            <w:pStyle w:val="HeaderNumberRight"/>
          </w:pPr>
          <w:fldSimple w:instr=" styleref CharPartNo ">
            <w:r w:rsidR="00991CD5">
              <w:rPr>
                <w:noProof/>
              </w:rPr>
              <w:t>Part I</w:t>
            </w:r>
          </w:fldSimple>
        </w:p>
      </w:tc>
    </w:tr>
    <w:tr w:rsidR="00457B8F">
      <w:tc>
        <w:tcPr>
          <w:tcW w:w="5985" w:type="dxa"/>
        </w:tcPr>
        <w:p w:rsidR="00457B8F" w:rsidRDefault="00AC6540">
          <w:pPr>
            <w:pStyle w:val="HeaderTextRight"/>
          </w:pPr>
          <w:r>
            <w:fldChar w:fldCharType="begin"/>
          </w:r>
          <w:r>
            <w:instrText xml:space="preserve"> styleref CharDivText </w:instrText>
          </w:r>
          <w:r>
            <w:fldChar w:fldCharType="end"/>
          </w:r>
        </w:p>
      </w:tc>
      <w:tc>
        <w:tcPr>
          <w:tcW w:w="1327" w:type="dxa"/>
        </w:tcPr>
        <w:p w:rsidR="00457B8F" w:rsidRDefault="00AC6540">
          <w:pPr>
            <w:pStyle w:val="HeaderNumberRight"/>
          </w:pPr>
          <w:r>
            <w:fldChar w:fldCharType="begin"/>
          </w:r>
          <w:r>
            <w:instrText xml:space="preserve"> styleref CharDivNo </w:instrText>
          </w:r>
          <w:r>
            <w:fldChar w:fldCharType="end"/>
          </w:r>
        </w:p>
      </w:tc>
    </w:tr>
    <w:tr w:rsidR="00457B8F">
      <w:trPr>
        <w:cantSplit/>
      </w:trPr>
      <w:tc>
        <w:tcPr>
          <w:tcW w:w="7312" w:type="dxa"/>
          <w:gridSpan w:val="2"/>
        </w:tcPr>
        <w:p w:rsidR="00457B8F" w:rsidRDefault="00AC6540">
          <w:pPr>
            <w:pStyle w:val="HeaderSectionRight"/>
          </w:pPr>
          <w:r>
            <w:t xml:space="preserve">s. </w:t>
          </w:r>
          <w:fldSimple w:instr=" styleref CharSectno ">
            <w:r w:rsidR="00991CD5">
              <w:rPr>
                <w:noProof/>
              </w:rPr>
              <w:t>1</w:t>
            </w:r>
          </w:fldSimple>
        </w:p>
      </w:tc>
    </w:tr>
  </w:tbl>
  <w:p w:rsidR="00457B8F" w:rsidRDefault="00457B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8F" w:rsidRDefault="00457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40"/>
    <w:rsid w:val="003B3D3C"/>
    <w:rsid w:val="00457B8F"/>
    <w:rsid w:val="00991CD5"/>
    <w:rsid w:val="00A36A49"/>
    <w:rsid w:val="00AC6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8443</Words>
  <Characters>40445</Characters>
  <Application>Microsoft Office Word</Application>
  <DocSecurity>0</DocSecurity>
  <Lines>1064</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1987 - 02-b0-03</dc:title>
  <dc:subject/>
  <dc:creator>svcMRProcess</dc:creator>
  <cp:keywords/>
  <cp:lastModifiedBy>svcMRProcess</cp:lastModifiedBy>
  <cp:revision>4</cp:revision>
  <cp:lastPrinted>2006-04-19T04:01:00Z</cp:lastPrinted>
  <dcterms:created xsi:type="dcterms:W3CDTF">2013-02-13T13:45:00Z</dcterms:created>
  <dcterms:modified xsi:type="dcterms:W3CDTF">2013-02-13T13:45:00Z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119</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02-b0-03</vt:lpwstr>
  </property>
</Properties>
</file>