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Construction Industry Portable Paid Long Service Leave Act 1985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Regulations 1986</w:t>
      </w:r>
      <w:r>
        <w:rPr>
          <w:sz w:val="48"/>
        </w:rPr>
        <w:fldChar w:fldCharType="end"/>
      </w:r>
    </w:p>
    <w:p>
      <w:pPr>
        <w:pStyle w:val="ReprintNo"/>
        <w:outlineLvl w:val="9"/>
      </w:pPr>
      <w:r>
        <w:t>Reprint 4:  The regulations as at 7 March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pt" o:ole="" fillcolor="window">
            <v:imagedata r:id="rId9" o:title=""/>
          </v:shape>
          <o:OLEObject Type="Embed" ProgID="Word.Picture.8" ShapeID="_x0000_i1025" DrawAspect="Content" ObjectID="_164499113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_Toc34378394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_Toc34378395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_Toc34378396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_Toc34378397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_Toc34378398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_Toc34378399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_Toc34378400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_Toc34378401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_Toc34378402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_Toc34378403 \h </w:instrText>
      </w:r>
      <w:r>
        <w:fldChar w:fldCharType="separate"/>
      </w:r>
      <w:r>
        <w:t>4</w:t>
      </w:r>
      <w:r>
        <w:fldChar w:fldCharType="end"/>
      </w:r>
    </w:p>
    <w:p>
      <w:pPr>
        <w:pStyle w:val="TOC2"/>
        <w:tabs>
          <w:tab w:val="right" w:pos="7086"/>
        </w:tabs>
        <w:rPr>
          <w:rFonts w:asciiTheme="minorHAnsi" w:eastAsiaTheme="minorEastAsia" w:hAnsiTheme="minorHAnsi" w:cstheme="minorBidi"/>
          <w:b w:val="0"/>
          <w:sz w:val="22"/>
          <w:szCs w:val="22"/>
        </w:rPr>
      </w:pPr>
      <w:r>
        <w:t>Schedule 1 — Prescribed awards and classifications of work</w:t>
      </w:r>
    </w:p>
    <w:p>
      <w:pPr>
        <w:pStyle w:val="TOC4"/>
        <w:tabs>
          <w:tab w:val="right" w:pos="7086"/>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pos="7086"/>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pos="7086"/>
        </w:tabs>
        <w:rPr>
          <w:rFonts w:asciiTheme="minorHAnsi" w:eastAsiaTheme="minorEastAsia" w:hAnsiTheme="minorHAnsi" w:cstheme="minorBidi"/>
          <w:b w:val="0"/>
          <w:sz w:val="22"/>
          <w:szCs w:val="22"/>
        </w:rPr>
      </w:pPr>
      <w:r>
        <w:t>Schedule 2</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_Toc34378409 \h </w:instrText>
      </w:r>
      <w:r>
        <w:fldChar w:fldCharType="separate"/>
      </w:r>
      <w:r>
        <w:t>10</w:t>
      </w:r>
      <w:r>
        <w:fldChar w:fldCharType="end"/>
      </w:r>
    </w:p>
    <w:p>
      <w:pPr>
        <w:pStyle w:val="TOC2"/>
        <w:tabs>
          <w:tab w:val="righ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34378394"/>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2" w:name="_Toc34378395"/>
      <w:r>
        <w:rPr>
          <w:rStyle w:val="CharSectno"/>
        </w:rPr>
        <w:t>2</w:t>
      </w:r>
      <w:r>
        <w:rPr>
          <w:snapToGrid w:val="0"/>
        </w:rPr>
        <w:t>.</w:t>
      </w:r>
      <w:r>
        <w:rPr>
          <w:snapToGrid w:val="0"/>
        </w:rPr>
        <w:tab/>
        <w:t>Prescribed awards</w:t>
      </w:r>
      <w:bookmarkEnd w:id="2"/>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3" w:name="_Toc34378396"/>
      <w:r>
        <w:rPr>
          <w:rStyle w:val="CharSectno"/>
        </w:rPr>
        <w:t>3</w:t>
      </w:r>
      <w:r>
        <w:rPr>
          <w:snapToGrid w:val="0"/>
        </w:rPr>
        <w:t>.</w:t>
      </w:r>
      <w:r>
        <w:rPr>
          <w:snapToGrid w:val="0"/>
        </w:rPr>
        <w:tab/>
        <w:t>Prescribed classifications of work</w:t>
      </w:r>
      <w:bookmarkEnd w:id="3"/>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4" w:name="_Toc34378397"/>
      <w:r>
        <w:rPr>
          <w:rStyle w:val="CharSectno"/>
        </w:rPr>
        <w:t>4</w:t>
      </w:r>
      <w:r>
        <w:rPr>
          <w:snapToGrid w:val="0"/>
        </w:rPr>
        <w:t>.</w:t>
      </w:r>
      <w:r>
        <w:rPr>
          <w:snapToGrid w:val="0"/>
        </w:rPr>
        <w:tab/>
        <w:t>Common seal</w:t>
      </w:r>
      <w:bookmarkEnd w:id="4"/>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5" w:name="_Toc34378398"/>
      <w:r>
        <w:rPr>
          <w:rStyle w:val="CharSectno"/>
        </w:rPr>
        <w:t>5</w:t>
      </w:r>
      <w:r>
        <w:rPr>
          <w:snapToGrid w:val="0"/>
        </w:rPr>
        <w:t>.</w:t>
      </w:r>
      <w:r>
        <w:rPr>
          <w:snapToGrid w:val="0"/>
        </w:rPr>
        <w:tab/>
        <w:t>Amount of notifiable contracts</w:t>
      </w:r>
      <w:bookmarkEnd w:id="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6" w:name="_Toc34378399"/>
      <w:r>
        <w:rPr>
          <w:rStyle w:val="CharSectno"/>
        </w:rPr>
        <w:t>5A</w:t>
      </w:r>
      <w:r>
        <w:t>.</w:t>
      </w:r>
      <w:r>
        <w:tab/>
        <w:t>Prescribed corresponding laws</w:t>
      </w:r>
      <w:bookmarkEnd w:id="6"/>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7" w:name="_Toc34378400"/>
      <w:r>
        <w:rPr>
          <w:rStyle w:val="CharSectno"/>
        </w:rPr>
        <w:t>6</w:t>
      </w:r>
      <w:r>
        <w:rPr>
          <w:snapToGrid w:val="0"/>
        </w:rPr>
        <w:t>.</w:t>
      </w:r>
      <w:r>
        <w:rPr>
          <w:snapToGrid w:val="0"/>
        </w:rPr>
        <w:tab/>
        <w:t>Prescribed period for section 31</w:t>
      </w:r>
      <w:bookmarkEnd w:id="7"/>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8" w:name="_Toc34378401"/>
      <w:r>
        <w:rPr>
          <w:rStyle w:val="CharSectno"/>
        </w:rPr>
        <w:t>7</w:t>
      </w:r>
      <w:r>
        <w:rPr>
          <w:snapToGrid w:val="0"/>
        </w:rPr>
        <w:t>.</w:t>
      </w:r>
      <w:r>
        <w:rPr>
          <w:snapToGrid w:val="0"/>
        </w:rPr>
        <w:tab/>
        <w:t>Information required for section 32</w:t>
      </w:r>
      <w:bookmarkEnd w:id="8"/>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9" w:name="_Toc34378402"/>
      <w:r>
        <w:rPr>
          <w:rStyle w:val="CharSectno"/>
        </w:rPr>
        <w:t>8</w:t>
      </w:r>
      <w:r>
        <w:rPr>
          <w:snapToGrid w:val="0"/>
        </w:rPr>
        <w:t>.</w:t>
      </w:r>
      <w:r>
        <w:rPr>
          <w:snapToGrid w:val="0"/>
        </w:rPr>
        <w:tab/>
        <w:t>Amount prescribed for section 34</w:t>
      </w:r>
      <w:bookmarkEnd w:id="9"/>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1.9% 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w:t>
      </w:r>
    </w:p>
    <w:p>
      <w:pPr>
        <w:pStyle w:val="Heading5"/>
        <w:spacing w:before="240"/>
        <w:rPr>
          <w:snapToGrid w:val="0"/>
        </w:rPr>
      </w:pPr>
      <w:bookmarkStart w:id="10" w:name="_Toc34378403"/>
      <w:r>
        <w:rPr>
          <w:rStyle w:val="CharSectno"/>
        </w:rPr>
        <w:t>9</w:t>
      </w:r>
      <w:r>
        <w:rPr>
          <w:snapToGrid w:val="0"/>
        </w:rPr>
        <w:t>.</w:t>
      </w:r>
      <w:r>
        <w:rPr>
          <w:snapToGrid w:val="0"/>
        </w:rPr>
        <w:tab/>
        <w:t>Certificate of appointment of inspector</w:t>
      </w:r>
      <w:bookmarkEnd w:id="1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11" w:name="_Toc34378404"/>
      <w:r>
        <w:rPr>
          <w:rStyle w:val="CharSchNo"/>
        </w:rPr>
        <w:t>Schedule 1</w:t>
      </w:r>
      <w:r>
        <w:t> — </w:t>
      </w:r>
      <w:r>
        <w:rPr>
          <w:rStyle w:val="CharSchText"/>
        </w:rPr>
        <w:t>Prescribed awards and classifications of work</w:t>
      </w:r>
      <w:bookmarkEnd w:id="11"/>
    </w:p>
    <w:p>
      <w:pPr>
        <w:pStyle w:val="yShoulderClause"/>
      </w:pPr>
      <w:r>
        <w:t>[r. 2 and 3]</w:t>
      </w:r>
    </w:p>
    <w:p>
      <w:pPr>
        <w:pStyle w:val="yFootnoteheading"/>
      </w:pPr>
      <w:r>
        <w:tab/>
        <w:t>[Heading inserted in Gazette 10 Jul 2012 p. 3058.]</w:t>
      </w:r>
    </w:p>
    <w:p>
      <w:pPr>
        <w:pStyle w:val="yHeading3"/>
      </w:pPr>
      <w:bookmarkStart w:id="12" w:name="_Toc34378405"/>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12"/>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13" w:name="_Toc34378406"/>
      <w:r>
        <w:rPr>
          <w:rStyle w:val="CharSDivNo"/>
        </w:rPr>
        <w:t>Division 2</w:t>
      </w:r>
      <w:r>
        <w:rPr>
          <w:b w:val="0"/>
        </w:rPr>
        <w:t> — </w:t>
      </w:r>
      <w:r>
        <w:rPr>
          <w:rStyle w:val="CharSDivText"/>
        </w:rPr>
        <w:t xml:space="preserve">Awards under the </w:t>
      </w:r>
      <w:r>
        <w:rPr>
          <w:rStyle w:val="CharSDivText"/>
          <w:i/>
        </w:rPr>
        <w:t>Industrial Relations Act 1979</w:t>
      </w:r>
      <w:bookmarkEnd w:id="13"/>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30"/>
          <w:headerReference w:type="default" r:id="rId31"/>
          <w:headerReference w:type="first" r:id="rId32"/>
          <w:type w:val="oddPage"/>
          <w:pgSz w:w="11906" w:h="16838" w:code="9"/>
          <w:pgMar w:top="2381" w:right="2410" w:bottom="3544" w:left="2410" w:header="720" w:footer="3380" w:gutter="0"/>
          <w:cols w:space="720"/>
          <w:noEndnote/>
          <w:docGrid w:linePitch="326"/>
        </w:sectPr>
      </w:pPr>
    </w:p>
    <w:p>
      <w:pPr>
        <w:pStyle w:val="yScheduleHeading"/>
      </w:pPr>
      <w:bookmarkStart w:id="14" w:name="_Toc34378407"/>
      <w:r>
        <w:rPr>
          <w:rStyle w:val="CharSchNo"/>
        </w:rPr>
        <w:t>Schedule 2</w:t>
      </w:r>
      <w:bookmarkEnd w:id="14"/>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jc w:val="right"/>
        <w:rPr>
          <w:snapToGrid w:val="0"/>
        </w:rPr>
      </w:pPr>
    </w:p>
    <w:p>
      <w:pPr>
        <w:sectPr>
          <w:headerReference w:type="even" r:id="rId34"/>
          <w:headerReference w:type="default" r:id="rId35"/>
          <w:pgSz w:w="11906" w:h="16838" w:code="9"/>
          <w:pgMar w:top="2381" w:right="2410" w:bottom="3544" w:left="2410" w:header="720" w:footer="3380" w:gutter="0"/>
          <w:cols w:space="720"/>
          <w:noEndnote/>
          <w:docGrid w:linePitch="326"/>
        </w:sectPr>
      </w:pPr>
    </w:p>
    <w:p>
      <w:pPr>
        <w:pStyle w:val="nHeading2"/>
      </w:pPr>
      <w:bookmarkStart w:id="15" w:name="_Toc34378408"/>
      <w:r>
        <w:t>Notes</w:t>
      </w:r>
      <w:bookmarkEnd w:id="15"/>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4378409"/>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spacing w:after="40"/>
              <w:rPr>
                <w:rFonts w:ascii="Arial" w:hAnsi="Arial"/>
                <w:b/>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2008</w:t>
            </w:r>
          </w:p>
        </w:tc>
        <w:tc>
          <w:tcPr>
            <w:tcW w:w="1276" w:type="dxa"/>
          </w:tcPr>
          <w:p>
            <w:pPr>
              <w:pStyle w:val="nTable"/>
              <w:spacing w:after="40"/>
              <w:rPr>
                <w:sz w:val="19"/>
              </w:rPr>
            </w:pPr>
            <w:r>
              <w:rPr>
                <w:sz w:val="19"/>
              </w:rPr>
              <w:t>30 Dec 2008 p. 5642</w:t>
            </w:r>
          </w:p>
        </w:tc>
        <w:tc>
          <w:tcPr>
            <w:tcW w:w="2693" w:type="dxa"/>
          </w:tcPr>
          <w:p>
            <w:pPr>
              <w:pStyle w:val="nTable"/>
              <w:spacing w:after="40"/>
              <w:rPr>
                <w:sz w:val="19"/>
              </w:rPr>
            </w:pPr>
            <w:r>
              <w:rPr>
                <w:sz w:val="19"/>
              </w:rPr>
              <w:t>r. 1 and 2: 30 Dec 2008 (see r. 2(a));</w:t>
            </w:r>
            <w:r>
              <w:rPr>
                <w:sz w:val="19"/>
              </w:rPr>
              <w:br/>
              <w:t>Regulations other than r. 1 and 2: 1 Jan 2009 (see r. 2(b))</w:t>
            </w:r>
          </w:p>
        </w:tc>
      </w:tr>
      <w:tr>
        <w:tc>
          <w:tcPr>
            <w:tcW w:w="3119" w:type="dxa"/>
          </w:tcPr>
          <w:p>
            <w:pPr>
              <w:pStyle w:val="nTable"/>
              <w:spacing w:after="40"/>
              <w:rPr>
                <w:sz w:val="19"/>
              </w:rPr>
            </w:pPr>
            <w:r>
              <w:rPr>
                <w:i/>
                <w:sz w:val="19"/>
              </w:rPr>
              <w:t>Construction Industry Portable Paid Long Service Leave Amendment Regulations 2011</w:t>
            </w:r>
          </w:p>
        </w:tc>
        <w:tc>
          <w:tcPr>
            <w:tcW w:w="1276" w:type="dxa"/>
          </w:tcPr>
          <w:p>
            <w:pPr>
              <w:pStyle w:val="nTable"/>
              <w:spacing w:after="40"/>
              <w:rPr>
                <w:sz w:val="19"/>
              </w:rPr>
            </w:pPr>
            <w:r>
              <w:rPr>
                <w:sz w:val="19"/>
              </w:rPr>
              <w:t>30 Dec 2011 p. 5574-5</w:t>
            </w:r>
          </w:p>
        </w:tc>
        <w:tc>
          <w:tcPr>
            <w:tcW w:w="2693" w:type="dxa"/>
          </w:tcPr>
          <w:p>
            <w:pPr>
              <w:pStyle w:val="nTable"/>
              <w:spacing w:after="40"/>
              <w:rPr>
                <w:sz w:val="19"/>
              </w:rPr>
            </w:pPr>
            <w:r>
              <w:rPr>
                <w:sz w:val="19"/>
              </w:rPr>
              <w:t>r. 1 and 2: 30 Dec 2011 (see r. 2(a));</w:t>
            </w:r>
            <w:r>
              <w:rPr>
                <w:sz w:val="19"/>
              </w:rPr>
              <w:br/>
              <w:t>Regulations other than r. 1 and 2: 31 Dec 2011 (see r. 2(b))</w:t>
            </w:r>
          </w:p>
        </w:tc>
      </w:tr>
      <w:tr>
        <w:tc>
          <w:tcPr>
            <w:tcW w:w="3119" w:type="dxa"/>
          </w:tcPr>
          <w:p>
            <w:pPr>
              <w:pStyle w:val="nTable"/>
              <w:spacing w:after="40"/>
              <w:rPr>
                <w:i/>
                <w:sz w:val="19"/>
              </w:rPr>
            </w:pPr>
            <w:r>
              <w:rPr>
                <w:i/>
                <w:sz w:val="19"/>
              </w:rPr>
              <w:t>Construction Industry Portable Paid Long Service Leave Amendment Regulations 2012</w:t>
            </w:r>
          </w:p>
        </w:tc>
        <w:tc>
          <w:tcPr>
            <w:tcW w:w="1276" w:type="dxa"/>
          </w:tcPr>
          <w:p>
            <w:pPr>
              <w:pStyle w:val="nTable"/>
              <w:spacing w:after="40"/>
              <w:rPr>
                <w:sz w:val="19"/>
              </w:rPr>
            </w:pPr>
            <w:r>
              <w:rPr>
                <w:sz w:val="19"/>
              </w:rPr>
              <w:t>10 Jul 2012 p. 3057</w:t>
            </w:r>
            <w:r>
              <w:rPr>
                <w:sz w:val="19"/>
              </w:rPr>
              <w:noBreakHyphen/>
              <w:t>60</w:t>
            </w:r>
          </w:p>
        </w:tc>
        <w:tc>
          <w:tcPr>
            <w:tcW w:w="2693" w:type="dxa"/>
          </w:tcPr>
          <w:p>
            <w:pPr>
              <w:pStyle w:val="nTable"/>
              <w:spacing w:after="40"/>
              <w:rPr>
                <w:sz w:val="19"/>
              </w:rPr>
            </w:pPr>
            <w:r>
              <w:rPr>
                <w:sz w:val="19"/>
              </w:rPr>
              <w:t>r. 1 and 2: 10 Jul 2012 (see r. 2(a));</w:t>
            </w:r>
            <w:r>
              <w:rPr>
                <w:sz w:val="19"/>
              </w:rPr>
              <w:br/>
              <w:t>Regulations other than r. 1 and 2: 11 Jul 2012 (see r. 2(b))</w:t>
            </w:r>
          </w:p>
        </w:tc>
      </w:tr>
      <w:tr>
        <w:tc>
          <w:tcPr>
            <w:tcW w:w="3119" w:type="dxa"/>
            <w:shd w:val="clear" w:color="auto" w:fill="auto"/>
          </w:tcPr>
          <w:p>
            <w:pPr>
              <w:pStyle w:val="nTable"/>
              <w:spacing w:after="40"/>
              <w:rPr>
                <w:i/>
                <w:sz w:val="19"/>
              </w:rPr>
            </w:pPr>
            <w:r>
              <w:rPr>
                <w:i/>
                <w:sz w:val="19"/>
              </w:rPr>
              <w:t>Construction Industry Portable Paid Long Service Leave Amendment Regulations 2013</w:t>
            </w:r>
          </w:p>
        </w:tc>
        <w:tc>
          <w:tcPr>
            <w:tcW w:w="1276" w:type="dxa"/>
            <w:shd w:val="clear" w:color="auto" w:fill="auto"/>
          </w:tcPr>
          <w:p>
            <w:pPr>
              <w:pStyle w:val="nTable"/>
              <w:spacing w:after="40"/>
              <w:rPr>
                <w:sz w:val="19"/>
              </w:rPr>
            </w:pPr>
            <w:r>
              <w:rPr>
                <w:sz w:val="19"/>
              </w:rPr>
              <w:t>27 Dec 2013 p. 6445</w:t>
            </w:r>
          </w:p>
        </w:tc>
        <w:tc>
          <w:tcPr>
            <w:tcW w:w="2693" w:type="dxa"/>
            <w:shd w:val="clear" w:color="auto" w:fill="auto"/>
          </w:tcPr>
          <w:p>
            <w:pPr>
              <w:pStyle w:val="nTable"/>
              <w:spacing w:after="40"/>
              <w:rPr>
                <w:sz w:val="19"/>
              </w:rPr>
            </w:pPr>
            <w:r>
              <w:rPr>
                <w:sz w:val="19"/>
              </w:rPr>
              <w:t>r. 1 and 2: 27 Dec 2013 (see r. 2(a));</w:t>
            </w:r>
            <w:r>
              <w:rPr>
                <w:sz w:val="19"/>
              </w:rPr>
              <w:br/>
              <w:t>Regulations other than r. 1 and 2: 1 Jan 2014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Construction Industry Portable Paid Long Service Leave Regulations 1986</w:t>
            </w:r>
            <w:r>
              <w:rPr>
                <w:b/>
                <w:sz w:val="19"/>
              </w:rPr>
              <w:t xml:space="preserve"> as at 7 Mar 2014</w:t>
            </w:r>
            <w:r>
              <w:rPr>
                <w:sz w:val="19"/>
              </w:rPr>
              <w:t xml:space="preserve"> (includes amendments listed above)</w:t>
            </w:r>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7" w:name="_Toc34378410"/>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temporary employee</w:t>
      </w:r>
      <w:r>
        <w:tab/>
        <w:t>3(3)</w:t>
      </w: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awards and classifications of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Awards given continuing effect under the Fair Work (Transitional Provisions and Consequential Amendments) Act 2009 (Commonwealth)</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rPr>
              <w:sz w:val="19"/>
            </w:rPr>
          </w:pPr>
          <w:r>
            <w:rPr>
              <w:sz w:val="19"/>
            </w:rPr>
            <w:fldChar w:fldCharType="begin"/>
          </w:r>
          <w:r>
            <w:rPr>
              <w:sz w:val="19"/>
            </w:rPr>
            <w:instrText xml:space="preserve"> styleref CharSchText </w:instrText>
          </w:r>
          <w:r>
            <w:rPr>
              <w:sz w:val="19"/>
            </w:rPr>
            <w:fldChar w:fldCharType="separate"/>
          </w:r>
          <w:r>
            <w:rPr>
              <w:noProof/>
              <w:sz w:val="19"/>
            </w:rPr>
            <w:t>Prescribed awards and classifications of work</w:t>
          </w:r>
          <w:r>
            <w:rPr>
              <w:noProof/>
              <w:sz w:val="19"/>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rPr>
              <w:sz w:val="19"/>
            </w:rPr>
          </w:pPr>
          <w:r>
            <w:rPr>
              <w:sz w:val="19"/>
            </w:rPr>
            <w:fldChar w:fldCharType="begin"/>
          </w:r>
          <w:r>
            <w:rPr>
              <w:sz w:val="19"/>
            </w:rPr>
            <w:instrText xml:space="preserve"> styleref CharSDivText </w:instrText>
          </w:r>
          <w:r>
            <w:rPr>
              <w:sz w:val="19"/>
            </w:rPr>
            <w:fldChar w:fldCharType="separate"/>
          </w:r>
          <w:r>
            <w:rPr>
              <w:noProof/>
              <w:sz w:val="19"/>
            </w:rPr>
            <w:t>Awards given continuing effect under the Fair Work (Transitional Provisions and Consequential Amendments) Act 2009 (Commonwealth)</w:t>
          </w:r>
          <w:r>
            <w:rPr>
              <w:noProof/>
              <w:sz w:val="19"/>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awards and classifications of work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066210FD"/>
    <w:multiLevelType w:val="multilevel"/>
    <w:tmpl w:val="B008D350"/>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1A614E3"/>
    <w:multiLevelType w:val="multilevel"/>
    <w:tmpl w:val="2ABEFE78"/>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22FF52EB"/>
    <w:multiLevelType w:val="multilevel"/>
    <w:tmpl w:val="033A45D2"/>
    <w:name w:val="DefinitionNumbers"/>
    <w:lvl w:ilvl="0">
      <w:start w:val="1"/>
      <w:numFmt w:val="none"/>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7A0F6C54"/>
    <w:multiLevelType w:val="multilevel"/>
    <w:tmpl w:val="A434F540"/>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739"/>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1203095739" w:val="RemoveTrackChanges"/>
    <w:docVar w:name="WAFER_20151203095739_GUID" w:val="b21f0234-c912-4ea9-b924-4d39b388cf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2882</Words>
  <Characters>14732</Characters>
  <Application>Microsoft Office Word</Application>
  <DocSecurity>0</DocSecurity>
  <Lines>701</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1986 - 04-00-01</dc:title>
  <dc:subject/>
  <dc:creator/>
  <cp:keywords/>
  <dc:description/>
  <cp:lastModifiedBy>svcMRProcess</cp:lastModifiedBy>
  <cp:revision>4</cp:revision>
  <cp:lastPrinted>2014-03-12T00:40:00Z</cp:lastPrinted>
  <dcterms:created xsi:type="dcterms:W3CDTF">2020-03-06T01:12:00Z</dcterms:created>
  <dcterms:modified xsi:type="dcterms:W3CDTF">2020-03-06T01:13:00Z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20140307</vt:lpwstr>
  </property>
  <property fmtid="{D5CDD505-2E9C-101B-9397-08002B2CF9AE}" pid="4" name="DocumentType">
    <vt:lpwstr>Reg</vt:lpwstr>
  </property>
  <property fmtid="{D5CDD505-2E9C-101B-9397-08002B2CF9AE}" pid="5" name="OwlsUID">
    <vt:i4>4365</vt:i4>
  </property>
  <property fmtid="{D5CDD505-2E9C-101B-9397-08002B2CF9AE}" pid="6" name="AsAtDate">
    <vt:lpwstr>07 Mar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2014-03-06T16:00:00Z</vt:filetime>
  </property>
</Properties>
</file>