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  <w:rPr>
          <w:highlight w:val="cyan"/>
        </w:rPr>
      </w:pPr>
      <w:r>
        <w:t>Construction Industry Portable Paid Long Service Leave Act 1985</w:t>
      </w:r>
    </w:p>
    <w:p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Construction Industry Portable Paid Long Service Leave Regulations 1986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7 March 2014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_Toc382553354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_Toc382553355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_Toc382553356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_Toc382553357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_Toc382553358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_Toc382553359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_Toc382553360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_Toc382553361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_Toc382553362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_Toc382553363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_Toc382553369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" name="Picture 6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7</w:t>
            </w:r>
            <w:r>
              <w:rPr>
                <w:b/>
                <w:snapToGrid w:val="0"/>
                <w:sz w:val="22"/>
              </w:rPr>
              <w:t xml:space="preserve"> March 2014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38255335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" w:name="_Toc38255335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3" w:name="_Toc38255335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4" w:name="_Toc38255335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5" w:name="_Toc38255335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6" w:name="_Toc382553359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6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7" w:name="_Toc38255336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7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8" w:name="_Toc38255336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9" w:name="_Toc38255336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1.9% of the ordinary pay of that employee.</w:t>
      </w:r>
    </w:p>
    <w:p>
      <w:pPr>
        <w:pStyle w:val="Footnotesection"/>
        <w:keepLines w:val="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5575; 27 Dec 2013 p. 6445.] </w:t>
      </w:r>
    </w:p>
    <w:p>
      <w:pPr>
        <w:pStyle w:val="Heading5"/>
        <w:spacing w:before="240"/>
        <w:rPr>
          <w:snapToGrid w:val="0"/>
        </w:rPr>
      </w:pPr>
      <w:bookmarkStart w:id="10" w:name="_Toc38255336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0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1" w:name="_Toc38255336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11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12" w:name="_Toc382553365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2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13" w:name="_Toc382553366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3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p>
      <w:pPr>
        <w:pStyle w:val="yFootnotesection"/>
        <w:tabs>
          <w:tab w:val="clear" w:pos="893"/>
        </w:tabs>
        <w:ind w:left="0" w:firstLine="0"/>
      </w:pPr>
    </w:p>
    <w:p>
      <w:pPr>
        <w:sectPr>
          <w:headerReference w:type="even" r:id="rId28"/>
          <w:headerReference w:type="default" r:id="rId29"/>
          <w:headerReference w:type="first" r:id="rId30"/>
          <w:type w:val="oddPage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4" w:name="_Toc382553367"/>
      <w:r>
        <w:rPr>
          <w:rStyle w:val="CharSchNo"/>
        </w:rPr>
        <w:t>Schedule 2</w:t>
      </w:r>
      <w:bookmarkEnd w:id="14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zyMiscellaneousBody"/>
        <w:jc w:val="right"/>
        <w:rPr>
          <w:snapToGrid w:val="0"/>
        </w:rPr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32"/>
          <w:headerReference w:type="default" r:id="rId33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" w:name="_Toc382553368"/>
      <w:r>
        <w:t>Notes</w:t>
      </w:r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7 March 2014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" w:name="_Toc382553369"/>
      <w:r>
        <w:rPr>
          <w:snapToGrid w:val="0"/>
        </w:rPr>
        <w:t>Compilation table</w:t>
      </w:r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 p. 4924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Dec 1989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4652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1991 p. 6042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 1992 p. 6137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rFonts w:ascii="Arial" w:hAnsi="Arial"/>
                <w:b/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1 Jul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Construction Industry Portable Paid Long Service Leave Amendment Regulations 2002 </w:t>
            </w:r>
            <w:r>
              <w:rPr>
                <w:sz w:val="19"/>
              </w:rP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2002</w:t>
            </w:r>
            <w:r>
              <w:rPr>
                <w:sz w:val="19"/>
              </w:rP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5 Nov 2002 [Published again in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3 Jan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2004 p. 4753</w:t>
            </w:r>
            <w:r>
              <w:rPr>
                <w:sz w:val="19"/>
              </w:rPr>
              <w:noBreakHyphen/>
              <w:t>4 (as amended in 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Nov 2006 p. 4677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 r. 4: 7 Nov 2006 (see r. 2(1));</w:t>
            </w:r>
            <w:r>
              <w:rPr>
                <w:sz w:val="19"/>
              </w:rP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24 Aug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2008 (see r. 2(a));</w:t>
            </w:r>
            <w:r>
              <w:rPr>
                <w:sz w:val="19"/>
              </w:rPr>
              <w:br/>
              <w:t>Regulations other than r. 1 and 2: 1 Jan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2011 (see r. 2(a));</w:t>
            </w:r>
            <w:r>
              <w:rPr>
                <w:sz w:val="19"/>
              </w:rPr>
              <w:br/>
              <w:t>Regulations other than r. 1 and 2: 31 Dec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2012 p. 3057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10 Jul 2012 (see r. 2(a));</w:t>
            </w:r>
            <w:r>
              <w:rPr>
                <w:sz w:val="19"/>
              </w:rPr>
              <w:br/>
              <w:t>Regulations other than r. 1 and 2: 11 Jul 2012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27 Dec 2013 (see r. 2(a));</w:t>
            </w:r>
            <w:r>
              <w:rPr>
                <w:sz w:val="19"/>
              </w:rPr>
              <w:br/>
              <w:t>Regulations other than r. 1 and 2: 1 Jan 2014 (see r. 2(b))</w:t>
            </w:r>
          </w:p>
        </w:tc>
      </w:tr>
      <w:t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4: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7 Mar 2014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34"/>
          <w:headerReference w:type="default" r:id="rId35"/>
          <w:headerReference w:type="first" r:id="rId3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382553370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8" w:name="DefinedTerms"/>
      <w:bookmarkEnd w:id="18"/>
      <w:r>
        <w:t>temporary employee</w:t>
      </w:r>
      <w:r>
        <w:tab/>
        <w:t>3(3)</w:t>
      </w:r>
    </w:p>
    <w:p/>
    <w:p>
      <w:pPr>
        <w:sectPr>
          <w:headerReference w:type="even" r:id="rId37"/>
          <w:headerReference w:type="default" r:id="rId38"/>
          <w:headerReference w:type="first" r:id="rId3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40"/>
      <w:headerReference w:type="default" r:id="rId41"/>
      <w:headerReference w:type="first" r:id="rId4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07 Mar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Awards given continuing effect under the Fair Work (Transitional Provisions and Consequential Amendments) Act 2009 (Commonwealth)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CharSchText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Prescribed awards and classifications of work</w:t>
          </w:r>
          <w:r>
            <w:rPr>
              <w:noProof/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CharSDivText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Awards given continuing effect under the Fair Work (Transitional Provisions and Consequential Amendments) Act 2009 (Commonwealth)</w:t>
          </w:r>
          <w:r>
            <w:rPr>
              <w:noProof/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Construction Industry Portable Paid Long Service Leave Regulations 1986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5">
    <w:nsid w:val="22FF52EB"/>
    <w:multiLevelType w:val="multilevel"/>
    <w:tmpl w:val="033A45D2"/>
    <w:name w:val="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6">
    <w:nsid w:val="3C2808C0"/>
    <w:multiLevelType w:val="singleLevel"/>
    <w:tmpl w:val="E35251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6FDE73CC"/>
    <w:multiLevelType w:val="multilevel"/>
    <w:tmpl w:val="E1B8D9A4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8">
    <w:nsid w:val="7A0F6C54"/>
    <w:multiLevelType w:val="multilevel"/>
    <w:tmpl w:val="A434F540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2650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1209112650" w:val="RemoveTrackChanges"/>
    <w:docVar w:name="WAFER_20151209112650_GUID" w:val="79827844-12a0-4da9-9c1f-0ec655f9e7b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5.xml"/><Relationship Id="rId42" Type="http://schemas.openxmlformats.org/officeDocument/2006/relationships/header" Target="header2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6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2431</Words>
  <Characters>12569</Characters>
  <Application>Microsoft Office Word</Application>
  <DocSecurity>0</DocSecurity>
  <Lines>628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1986 - 04-a0-01</dc:title>
  <dc:subject/>
  <dc:creator/>
  <cp:keywords/>
  <dc:description/>
  <cp:lastModifiedBy>svcMRProcess</cp:lastModifiedBy>
  <cp:revision>4</cp:revision>
  <cp:lastPrinted>2014-03-12T00:40:00Z</cp:lastPrinted>
  <dcterms:created xsi:type="dcterms:W3CDTF">2018-09-10T07:46:00Z</dcterms:created>
  <dcterms:modified xsi:type="dcterms:W3CDTF">2018-09-10T07:46:00Z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CommencementDate">
    <vt:lpwstr>20140307</vt:lpwstr>
  </property>
  <property fmtid="{D5CDD505-2E9C-101B-9397-08002B2CF9AE}" pid="4" name="DocumentType">
    <vt:lpwstr>Reg</vt:lpwstr>
  </property>
  <property fmtid="{D5CDD505-2E9C-101B-9397-08002B2CF9AE}" pid="5" name="OwlsUID">
    <vt:i4>4365</vt:i4>
  </property>
  <property fmtid="{D5CDD505-2E9C-101B-9397-08002B2CF9AE}" pid="6" name="AsAtDate">
    <vt:lpwstr>07 Mar 2014</vt:lpwstr>
  </property>
  <property fmtid="{D5CDD505-2E9C-101B-9397-08002B2CF9AE}" pid="7" name="Suffix">
    <vt:lpwstr>04-a0-01</vt:lpwstr>
  </property>
  <property fmtid="{D5CDD505-2E9C-101B-9397-08002B2CF9AE}" pid="8" name="ReprintNo">
    <vt:lpwstr>4</vt:lpwstr>
  </property>
  <property fmtid="{D5CDD505-2E9C-101B-9397-08002B2CF9AE}" pid="9" name="ReprintedAsAt">
    <vt:filetime>2014-03-06T16:00:00Z</vt:filetime>
  </property>
</Properties>
</file>