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Misuse of Drugs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_Toc383698487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_Toc383698488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Term used: Form</w:t>
      </w:r>
      <w:r>
        <w:tab/>
      </w:r>
      <w:r>
        <w:fldChar w:fldCharType="begin"/>
      </w:r>
      <w:r>
        <w:instrText xml:space="preserve"> PAGEREF _Toc383698489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_Toc383698490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Classes of person prescribed (Act s. 3(1) </w:t>
      </w:r>
      <w:r>
        <w:rPr>
          <w:i/>
        </w:rPr>
        <w:t>approved analyst</w:t>
      </w:r>
      <w:r>
        <w:t>)</w:t>
      </w:r>
      <w:r>
        <w:tab/>
      </w:r>
      <w:r>
        <w:fldChar w:fldCharType="begin"/>
      </w:r>
      <w:r>
        <w:instrText xml:space="preserve"> PAGEREF _Toc383698491 \h </w:instrText>
      </w:r>
      <w:r>
        <w:fldChar w:fldCharType="separate"/>
      </w:r>
      <w:r>
        <w:t>1</w:t>
      </w:r>
      <w:r>
        <w:fldChar w:fldCharType="end"/>
      </w:r>
    </w:p>
    <w:p>
      <w:pPr>
        <w:pStyle w:val="TOC8"/>
        <w:rPr>
          <w:rFonts w:asciiTheme="minorHAnsi" w:eastAsiaTheme="minorEastAsia" w:hAnsiTheme="minorHAnsi" w:cstheme="minorBidi"/>
          <w:szCs w:val="22"/>
        </w:rPr>
      </w:pPr>
      <w:r>
        <w:t>4A.</w:t>
      </w:r>
      <w:r>
        <w:tab/>
        <w:t>Persons authorised to possess prohibited drugs etc.</w:t>
      </w:r>
      <w:r>
        <w:tab/>
      </w:r>
      <w:r>
        <w:fldChar w:fldCharType="begin"/>
      </w:r>
      <w:r>
        <w:instrText xml:space="preserve"> PAGEREF _Toc383698492 \h </w:instrText>
      </w:r>
      <w:r>
        <w:fldChar w:fldCharType="separate"/>
      </w:r>
      <w:r>
        <w:t>3</w:t>
      </w:r>
      <w:r>
        <w:fldChar w:fldCharType="end"/>
      </w:r>
    </w:p>
    <w:p>
      <w:pPr>
        <w:pStyle w:val="TOC8"/>
        <w:rPr>
          <w:rFonts w:asciiTheme="minorHAnsi" w:eastAsiaTheme="minorEastAsia" w:hAnsiTheme="minorHAnsi" w:cstheme="minorBidi"/>
          <w:szCs w:val="22"/>
        </w:rPr>
      </w:pPr>
      <w:r>
        <w:t>4B.</w:t>
      </w:r>
      <w:r>
        <w:tab/>
        <w:t>Drug paraphernalia: prescribed things and circumstances (Act s. 7B(5))</w:t>
      </w:r>
      <w:r>
        <w:tab/>
      </w:r>
      <w:r>
        <w:fldChar w:fldCharType="begin"/>
      </w:r>
      <w:r>
        <w:instrText xml:space="preserve"> PAGEREF _Toc383698493 \h </w:instrText>
      </w:r>
      <w:r>
        <w:fldChar w:fldCharType="separate"/>
      </w:r>
      <w:r>
        <w:t>3</w:t>
      </w:r>
      <w:r>
        <w:fldChar w:fldCharType="end"/>
      </w:r>
    </w:p>
    <w:p>
      <w:pPr>
        <w:pStyle w:val="TOC8"/>
        <w:rPr>
          <w:rFonts w:asciiTheme="minorHAnsi" w:eastAsiaTheme="minorEastAsia" w:hAnsiTheme="minorHAnsi" w:cstheme="minorBidi"/>
          <w:szCs w:val="22"/>
        </w:rPr>
      </w:pPr>
      <w:r>
        <w:t>5AA.</w:t>
      </w:r>
      <w:r>
        <w:tab/>
        <w:t>Minor cannabis related offences, forms for</w:t>
      </w:r>
      <w:r>
        <w:tab/>
      </w:r>
      <w:r>
        <w:fldChar w:fldCharType="begin"/>
      </w:r>
      <w:r>
        <w:instrText xml:space="preserve"> PAGEREF _Toc383698494 \h </w:instrText>
      </w:r>
      <w:r>
        <w:fldChar w:fldCharType="separate"/>
      </w:r>
      <w:r>
        <w:t>4</w:t>
      </w:r>
      <w:r>
        <w:fldChar w:fldCharType="end"/>
      </w:r>
    </w:p>
    <w:p>
      <w:pPr>
        <w:pStyle w:val="TOC8"/>
        <w:rPr>
          <w:rFonts w:asciiTheme="minorHAnsi" w:eastAsiaTheme="minorEastAsia" w:hAnsiTheme="minorHAnsi" w:cstheme="minorBidi"/>
          <w:szCs w:val="22"/>
        </w:rPr>
      </w:pPr>
      <w:r>
        <w:t>5.</w:t>
      </w:r>
      <w:r>
        <w:tab/>
        <w:t>Category 1 items (Act Part IV)</w:t>
      </w:r>
      <w:r>
        <w:tab/>
      </w:r>
      <w:r>
        <w:fldChar w:fldCharType="begin"/>
      </w:r>
      <w:r>
        <w:instrText xml:space="preserve"> PAGEREF _Toc383698495 \h </w:instrText>
      </w:r>
      <w:r>
        <w:fldChar w:fldCharType="separate"/>
      </w:r>
      <w:r>
        <w:t>4</w:t>
      </w:r>
      <w:r>
        <w:fldChar w:fldCharType="end"/>
      </w:r>
    </w:p>
    <w:p>
      <w:pPr>
        <w:pStyle w:val="TOC8"/>
        <w:rPr>
          <w:rFonts w:asciiTheme="minorHAnsi" w:eastAsiaTheme="minorEastAsia" w:hAnsiTheme="minorHAnsi" w:cstheme="minorBidi"/>
          <w:szCs w:val="22"/>
        </w:rPr>
      </w:pPr>
      <w:r>
        <w:t>5A.</w:t>
      </w:r>
      <w:r>
        <w:tab/>
        <w:t>Category 2 items (Act Part IV)</w:t>
      </w:r>
      <w:r>
        <w:tab/>
      </w:r>
      <w:r>
        <w:fldChar w:fldCharType="begin"/>
      </w:r>
      <w:r>
        <w:instrText xml:space="preserve"> PAGEREF _Toc383698496 \h </w:instrText>
      </w:r>
      <w:r>
        <w:fldChar w:fldCharType="separate"/>
      </w:r>
      <w:r>
        <w:t>5</w:t>
      </w:r>
      <w:r>
        <w:fldChar w:fldCharType="end"/>
      </w:r>
    </w:p>
    <w:p>
      <w:pPr>
        <w:pStyle w:val="TOC8"/>
        <w:rPr>
          <w:rFonts w:asciiTheme="minorHAnsi" w:eastAsiaTheme="minorEastAsia" w:hAnsiTheme="minorHAnsi" w:cstheme="minorBidi"/>
          <w:szCs w:val="22"/>
        </w:rPr>
      </w:pPr>
      <w:r>
        <w:t>5B.</w:t>
      </w:r>
      <w:r>
        <w:tab/>
        <w:t>Classes of person prescribed (Act s. 13(1)(b))</w:t>
      </w:r>
      <w:r>
        <w:tab/>
      </w:r>
      <w:r>
        <w:fldChar w:fldCharType="begin"/>
      </w:r>
      <w:r>
        <w:instrText xml:space="preserve"> PAGEREF _Toc383698497 \h </w:instrText>
      </w:r>
      <w:r>
        <w:fldChar w:fldCharType="separate"/>
      </w:r>
      <w:r>
        <w:t>5</w:t>
      </w:r>
      <w:r>
        <w:fldChar w:fldCharType="end"/>
      </w:r>
    </w:p>
    <w:p>
      <w:pPr>
        <w:pStyle w:val="TOC8"/>
        <w:rPr>
          <w:rFonts w:asciiTheme="minorHAnsi" w:eastAsiaTheme="minorEastAsia" w:hAnsiTheme="minorHAnsi" w:cstheme="minorBidi"/>
          <w:szCs w:val="22"/>
        </w:rPr>
      </w:pPr>
      <w:r>
        <w:t>5C.</w:t>
      </w:r>
      <w:r>
        <w:tab/>
        <w:t>Quantities prescribed (Act s. 14(1))</w:t>
      </w:r>
      <w:r>
        <w:tab/>
      </w:r>
      <w:r>
        <w:fldChar w:fldCharType="begin"/>
      </w:r>
      <w:r>
        <w:instrText xml:space="preserve"> PAGEREF _Toc383698498 \h </w:instrText>
      </w:r>
      <w:r>
        <w:fldChar w:fldCharType="separate"/>
      </w:r>
      <w:r>
        <w:t>6</w:t>
      </w:r>
      <w:r>
        <w:fldChar w:fldCharType="end"/>
      </w:r>
    </w:p>
    <w:p>
      <w:pPr>
        <w:pStyle w:val="TOC8"/>
        <w:rPr>
          <w:rFonts w:asciiTheme="minorHAnsi" w:eastAsiaTheme="minorEastAsia" w:hAnsiTheme="minorHAnsi" w:cstheme="minorBidi"/>
          <w:szCs w:val="22"/>
        </w:rPr>
      </w:pPr>
      <w:r>
        <w:t>5D.</w:t>
      </w:r>
      <w:r>
        <w:tab/>
        <w:t>Declarations, prescribed forms for etc. (Act s. 15 and 17)</w:t>
      </w:r>
      <w:r>
        <w:tab/>
      </w:r>
      <w:r>
        <w:fldChar w:fldCharType="begin"/>
      </w:r>
      <w:r>
        <w:instrText xml:space="preserve"> PAGEREF _Toc383698499 \h </w:instrText>
      </w:r>
      <w:r>
        <w:fldChar w:fldCharType="separate"/>
      </w:r>
      <w:r>
        <w:t>6</w:t>
      </w:r>
      <w:r>
        <w:fldChar w:fldCharType="end"/>
      </w:r>
    </w:p>
    <w:p>
      <w:pPr>
        <w:pStyle w:val="TOC8"/>
        <w:rPr>
          <w:rFonts w:asciiTheme="minorHAnsi" w:eastAsiaTheme="minorEastAsia" w:hAnsiTheme="minorHAnsi" w:cstheme="minorBidi"/>
          <w:szCs w:val="22"/>
        </w:rPr>
      </w:pPr>
      <w:r>
        <w:t>5E.</w:t>
      </w:r>
      <w:r>
        <w:tab/>
        <w:t>Evidence of identity (Act s. 15 and 17)</w:t>
      </w:r>
      <w:r>
        <w:tab/>
      </w:r>
      <w:r>
        <w:fldChar w:fldCharType="begin"/>
      </w:r>
      <w:r>
        <w:instrText xml:space="preserve"> PAGEREF _Toc383698500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Information on oath and search warrants (Act s. 24(1))</w:t>
      </w:r>
      <w:r>
        <w:tab/>
      </w:r>
      <w:r>
        <w:fldChar w:fldCharType="begin"/>
      </w:r>
      <w:r>
        <w:instrText xml:space="preserve"> PAGEREF _Toc383698501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Destruction of prohibited plants etc., manner of (Act s. 27(1) or (4))</w:t>
      </w:r>
      <w:r>
        <w:tab/>
      </w:r>
      <w:r>
        <w:fldChar w:fldCharType="begin"/>
      </w:r>
      <w:r>
        <w:instrText xml:space="preserve"> PAGEREF _Toc383698502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Directions by Commissioner of Police for destruction of seized prohibited drugs etc., form for (Act s. 27(3))</w:t>
      </w:r>
      <w:r>
        <w:tab/>
      </w:r>
      <w:r>
        <w:fldChar w:fldCharType="begin"/>
      </w:r>
      <w:r>
        <w:instrText xml:space="preserve"> PAGEREF _Toc383698503 \h </w:instrText>
      </w:r>
      <w:r>
        <w:fldChar w:fldCharType="separate"/>
      </w:r>
      <w:r>
        <w:t>8</w:t>
      </w:r>
      <w:r>
        <w:fldChar w:fldCharType="end"/>
      </w:r>
    </w:p>
    <w:p>
      <w:pPr>
        <w:pStyle w:val="TOC8"/>
        <w:rPr>
          <w:rFonts w:asciiTheme="minorHAnsi" w:eastAsiaTheme="minorEastAsia" w:hAnsiTheme="minorHAnsi" w:cstheme="minorBidi"/>
          <w:szCs w:val="22"/>
        </w:rPr>
      </w:pPr>
      <w:r>
        <w:t>7B.</w:t>
      </w:r>
      <w:r>
        <w:tab/>
        <w:t>Analysis etc. at request of accused (Act s. 27A)</w:t>
      </w:r>
      <w:r>
        <w:tab/>
      </w:r>
      <w:r>
        <w:fldChar w:fldCharType="begin"/>
      </w:r>
      <w:r>
        <w:instrText xml:space="preserve"> PAGEREF _Toc383698504 \h </w:instrText>
      </w:r>
      <w:r>
        <w:fldChar w:fldCharType="separate"/>
      </w:r>
      <w:r>
        <w:t>8</w:t>
      </w:r>
      <w:r>
        <w:fldChar w:fldCharType="end"/>
      </w:r>
    </w:p>
    <w:p>
      <w:pPr>
        <w:pStyle w:val="TOC8"/>
        <w:rPr>
          <w:rFonts w:asciiTheme="minorHAnsi" w:eastAsiaTheme="minorEastAsia" w:hAnsiTheme="minorHAnsi" w:cstheme="minorBidi"/>
          <w:szCs w:val="22"/>
        </w:rPr>
      </w:pPr>
      <w:r>
        <w:t>10A.</w:t>
      </w:r>
      <w:r>
        <w:tab/>
        <w:t>External serious drug offences (Act s. 32A(3))</w:t>
      </w:r>
      <w:r>
        <w:tab/>
      </w:r>
      <w:r>
        <w:fldChar w:fldCharType="begin"/>
      </w:r>
      <w:r>
        <w:instrText xml:space="preserve"> PAGEREF _Toc383698505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of approved analysts etc., forms for (Act s. 38)</w:t>
      </w:r>
      <w:r>
        <w:tab/>
      </w:r>
      <w:r>
        <w:fldChar w:fldCharType="begin"/>
      </w:r>
      <w:r>
        <w:instrText xml:space="preserve"> PAGEREF _Toc383698506 \h </w:instrText>
      </w:r>
      <w:r>
        <w:fldChar w:fldCharType="separate"/>
      </w:r>
      <w:r>
        <w:t>12</w:t>
      </w:r>
      <w:r>
        <w:fldChar w:fldCharType="end"/>
      </w:r>
    </w:p>
    <w:p>
      <w:pPr>
        <w:pStyle w:val="TOC8"/>
        <w:rPr>
          <w:rFonts w:asciiTheme="minorHAnsi" w:eastAsiaTheme="minorEastAsia" w:hAnsiTheme="minorHAnsi" w:cstheme="minorBidi"/>
          <w:szCs w:val="22"/>
        </w:rPr>
      </w:pPr>
      <w:r>
        <w:t>11A.</w:t>
      </w:r>
      <w:r>
        <w:tab/>
        <w:t>Applications by accused for copies of certificates, form for (Act s. 38A)</w:t>
      </w:r>
      <w:r>
        <w:tab/>
      </w:r>
      <w:r>
        <w:fldChar w:fldCharType="begin"/>
      </w:r>
      <w:r>
        <w:instrText xml:space="preserve"> PAGEREF _Toc383698507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Fees (Act s. 41(1)(a))</w:t>
      </w:r>
      <w:r>
        <w:tab/>
      </w:r>
      <w:r>
        <w:fldChar w:fldCharType="begin"/>
      </w:r>
      <w:r>
        <w:instrText xml:space="preserve"> PAGEREF _Toc383698508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Schedule 2 — Prescribed universities</w:t>
      </w:r>
    </w:p>
    <w:p>
      <w:pPr>
        <w:pStyle w:val="TOC2"/>
        <w:tabs>
          <w:tab w:val="right" w:leader="dot" w:pos="7086"/>
        </w:tabs>
        <w:rPr>
          <w:rFonts w:asciiTheme="minorHAnsi" w:eastAsiaTheme="minorEastAsia" w:hAnsiTheme="minorHAnsi" w:cstheme="minorBidi"/>
          <w:b w:val="0"/>
          <w:sz w:val="22"/>
          <w:szCs w:val="22"/>
        </w:rPr>
      </w:pPr>
      <w:r>
        <w:t>Schedule 3 — Category 1 items</w:t>
      </w:r>
    </w:p>
    <w:p>
      <w:pPr>
        <w:pStyle w:val="TOC4"/>
        <w:tabs>
          <w:tab w:val="right" w:leader="dot" w:pos="7086"/>
        </w:tabs>
        <w:rPr>
          <w:rFonts w:asciiTheme="minorHAnsi" w:eastAsiaTheme="minorEastAsia" w:hAnsiTheme="minorHAnsi" w:cstheme="minorBidi"/>
          <w:b w:val="0"/>
          <w:szCs w:val="22"/>
        </w:rPr>
      </w:pPr>
      <w:r>
        <w:t>Division 1 — Substances</w:t>
      </w:r>
    </w:p>
    <w:p>
      <w:pPr>
        <w:pStyle w:val="TOC4"/>
        <w:tabs>
          <w:tab w:val="right" w:leader="dot" w:pos="7086"/>
        </w:tabs>
        <w:rPr>
          <w:rFonts w:asciiTheme="minorHAnsi" w:eastAsiaTheme="minorEastAsia" w:hAnsiTheme="minorHAnsi" w:cstheme="minorBidi"/>
          <w:b w:val="0"/>
          <w:szCs w:val="22"/>
        </w:rPr>
      </w:pPr>
      <w:r>
        <w:t>Division 2</w:t>
      </w:r>
      <w:r>
        <w:rPr>
          <w:b w:val="0"/>
        </w:rPr>
        <w:t> </w:t>
      </w:r>
      <w:r>
        <w:rPr>
          <w:bCs/>
        </w:rPr>
        <w:t>— </w:t>
      </w:r>
      <w:r>
        <w:t>Things</w:t>
      </w:r>
    </w:p>
    <w:p>
      <w:pPr>
        <w:pStyle w:val="TOC2"/>
        <w:tabs>
          <w:tab w:val="right" w:leader="dot" w:pos="7086"/>
        </w:tabs>
        <w:rPr>
          <w:rFonts w:asciiTheme="minorHAnsi" w:eastAsiaTheme="minorEastAsia" w:hAnsiTheme="minorHAnsi" w:cstheme="minorBidi"/>
          <w:b w:val="0"/>
          <w:sz w:val="22"/>
          <w:szCs w:val="22"/>
        </w:rPr>
      </w:pPr>
      <w:r>
        <w:t>Schedule 4 — Category 2 items</w:t>
      </w:r>
    </w:p>
    <w:p>
      <w:pPr>
        <w:pStyle w:val="TOC4"/>
        <w:tabs>
          <w:tab w:val="right" w:leader="dot" w:pos="7086"/>
        </w:tabs>
        <w:rPr>
          <w:rFonts w:asciiTheme="minorHAnsi" w:eastAsiaTheme="minorEastAsia" w:hAnsiTheme="minorHAnsi" w:cstheme="minorBidi"/>
          <w:b w:val="0"/>
          <w:szCs w:val="22"/>
        </w:rPr>
      </w:pPr>
      <w:r>
        <w:t>Division 1</w:t>
      </w:r>
      <w:r>
        <w:rPr>
          <w:b w:val="0"/>
        </w:rPr>
        <w:t> — </w:t>
      </w:r>
      <w:r>
        <w:t>Substances</w:t>
      </w:r>
    </w:p>
    <w:p>
      <w:pPr>
        <w:pStyle w:val="TOC4"/>
        <w:tabs>
          <w:tab w:val="right" w:leader="dot" w:pos="7086"/>
        </w:tabs>
        <w:rPr>
          <w:rFonts w:asciiTheme="minorHAnsi" w:eastAsiaTheme="minorEastAsia" w:hAnsiTheme="minorHAnsi" w:cstheme="minorBidi"/>
          <w:b w:val="0"/>
          <w:szCs w:val="22"/>
        </w:rPr>
      </w:pPr>
      <w:r>
        <w:t>Division 2</w:t>
      </w:r>
      <w:r>
        <w:rPr>
          <w:b w:val="0"/>
        </w:rPr>
        <w:t> — </w:t>
      </w:r>
      <w:r>
        <w:t>Things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_Toc383698518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1" w:name="_Toc383698487"/>
      <w:r>
        <w:rPr>
          <w:rStyle w:val="CharSectno"/>
        </w:rPr>
        <w:t>1</w:t>
      </w:r>
      <w:r>
        <w:rPr>
          <w:snapToGrid w:val="0"/>
        </w:rPr>
        <w:t xml:space="preserve">. </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2" w:name="_Toc383698488"/>
      <w:r>
        <w:rPr>
          <w:rStyle w:val="CharSectno"/>
        </w:rPr>
        <w:t>2</w:t>
      </w:r>
      <w:r>
        <w:rPr>
          <w:snapToGrid w:val="0"/>
        </w:rPr>
        <w:t xml:space="preserve">. </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3" w:name="_Toc383698489"/>
      <w:r>
        <w:rPr>
          <w:rStyle w:val="CharSectno"/>
        </w:rPr>
        <w:t>3</w:t>
      </w:r>
      <w:r>
        <w:rPr>
          <w:snapToGrid w:val="0"/>
        </w:rPr>
        <w:t xml:space="preserve">. </w:t>
      </w:r>
      <w:r>
        <w:rPr>
          <w:snapToGrid w:val="0"/>
        </w:rPr>
        <w:tab/>
        <w:t>Term used: Form</w:t>
      </w:r>
      <w:bookmarkEnd w:id="3"/>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4" w:name="_Toc383698490"/>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4"/>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5" w:name="_Toc383698491"/>
      <w:r>
        <w:rPr>
          <w:rStyle w:val="CharSectno"/>
        </w:rPr>
        <w:t>4</w:t>
      </w:r>
      <w:r>
        <w:t>.</w:t>
      </w:r>
      <w:r>
        <w:tab/>
        <w:t xml:space="preserve">Classes of person prescribed (Act s. 3(1) </w:t>
      </w:r>
      <w:r>
        <w:rPr>
          <w:i/>
        </w:rPr>
        <w:t>approved analyst</w:t>
      </w:r>
      <w:r>
        <w:t>)</w:t>
      </w:r>
      <w:bookmarkEnd w:id="5"/>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t xml:space="preserve">A person who is an analyst appointed under section 37A of the </w:t>
            </w:r>
            <w:r>
              <w:rPr>
                <w:i/>
                <w:iC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6" w:name="_Toc383698492"/>
      <w:r>
        <w:rPr>
          <w:rStyle w:val="CharSectno"/>
        </w:rPr>
        <w:t>4A</w:t>
      </w:r>
      <w:r>
        <w:t>.</w:t>
      </w:r>
      <w:r>
        <w:tab/>
        <w:t>Persons authorised to possess prohibited drugs etc.</w:t>
      </w:r>
      <w:bookmarkEnd w:id="6"/>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7" w:name="_Toc383698493"/>
      <w:r>
        <w:rPr>
          <w:rStyle w:val="CharSectno"/>
        </w:rPr>
        <w:t>4B</w:t>
      </w:r>
      <w:r>
        <w:t>.</w:t>
      </w:r>
      <w:r>
        <w:tab/>
        <w:t>Drug paraphernalia: prescribed things and circumstances (Act s. 7B(5))</w:t>
      </w:r>
      <w:bookmarkEnd w:id="7"/>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Poisons Act 1964</w:t>
      </w:r>
      <w:r>
        <w:t xml:space="preserve"> section 5(1).</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4142.]</w:t>
      </w:r>
    </w:p>
    <w:p>
      <w:pPr>
        <w:pStyle w:val="Heading5"/>
      </w:pPr>
      <w:bookmarkStart w:id="8" w:name="_Toc383698494"/>
      <w:r>
        <w:rPr>
          <w:rStyle w:val="CharSectno"/>
        </w:rPr>
        <w:t>5AA</w:t>
      </w:r>
      <w:r>
        <w:t>.</w:t>
      </w:r>
      <w:r>
        <w:tab/>
        <w:t>Minor cannabis related offences, forms for</w:t>
      </w:r>
      <w:bookmarkEnd w:id="8"/>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9" w:name="_Toc383698495"/>
      <w:r>
        <w:rPr>
          <w:rStyle w:val="CharSectno"/>
        </w:rPr>
        <w:t>5</w:t>
      </w:r>
      <w:r>
        <w:t>.</w:t>
      </w:r>
      <w:r>
        <w:tab/>
        <w:t>Category 1 items (Act Part IV)</w:t>
      </w:r>
      <w:bookmarkEnd w:id="9"/>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10" w:name="_Toc383698496"/>
      <w:r>
        <w:rPr>
          <w:rStyle w:val="CharSectno"/>
        </w:rPr>
        <w:t>5A</w:t>
      </w:r>
      <w:r>
        <w:t>.</w:t>
      </w:r>
      <w:r>
        <w:tab/>
        <w:t>Category 2 items (Act Part IV)</w:t>
      </w:r>
      <w:bookmarkEnd w:id="10"/>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1" w:name="_Toc383698497"/>
      <w:r>
        <w:rPr>
          <w:rStyle w:val="CharSectno"/>
        </w:rPr>
        <w:t>5B</w:t>
      </w:r>
      <w:r>
        <w:t>.</w:t>
      </w:r>
      <w:r>
        <w:tab/>
        <w:t>Classes of person prescribed (Act s. 13(1)(b))</w:t>
      </w:r>
      <w:bookmarkEnd w:id="11"/>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12" w:name="_Toc383698498"/>
      <w:r>
        <w:rPr>
          <w:rStyle w:val="CharSectno"/>
        </w:rPr>
        <w:t>5C</w:t>
      </w:r>
      <w:r>
        <w:t>.</w:t>
      </w:r>
      <w:r>
        <w:tab/>
        <w:t>Quantities prescribed (Act s. 14(1))</w:t>
      </w:r>
      <w:bookmarkEnd w:id="12"/>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13" w:name="_Toc383698499"/>
      <w:r>
        <w:rPr>
          <w:rStyle w:val="CharSectno"/>
        </w:rPr>
        <w:t>5D</w:t>
      </w:r>
      <w:r>
        <w:t>.</w:t>
      </w:r>
      <w:r>
        <w:tab/>
        <w:t>Declarations, prescribed forms for etc. (Act s. 15 and 17)</w:t>
      </w:r>
      <w:bookmarkEnd w:id="13"/>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14" w:name="_Toc383698500"/>
      <w:r>
        <w:rPr>
          <w:rStyle w:val="CharSectno"/>
        </w:rPr>
        <w:t>5E</w:t>
      </w:r>
      <w:r>
        <w:t>.</w:t>
      </w:r>
      <w:r>
        <w:tab/>
        <w:t>Evidence of identity (Act s. 15 and 17)</w:t>
      </w:r>
      <w:bookmarkEnd w:id="14"/>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p>
    <w:p>
      <w:pPr>
        <w:pStyle w:val="Ednotesection"/>
        <w:rPr>
          <w:rStyle w:val="CharSectno"/>
        </w:rPr>
      </w:pPr>
      <w:r>
        <w:t>[</w:t>
      </w:r>
      <w:r>
        <w:rPr>
          <w:b/>
        </w:rPr>
        <w:t>6A.</w:t>
      </w:r>
      <w:r>
        <w:rPr>
          <w:b/>
        </w:rPr>
        <w:tab/>
      </w:r>
      <w:r>
        <w:t>Deleted in Gazette 28 Aug 2012 p. 4142.]</w:t>
      </w:r>
    </w:p>
    <w:p>
      <w:pPr>
        <w:pStyle w:val="Heading5"/>
        <w:rPr>
          <w:snapToGrid w:val="0"/>
        </w:rPr>
      </w:pPr>
      <w:bookmarkStart w:id="15" w:name="_Toc383698501"/>
      <w:r>
        <w:rPr>
          <w:rStyle w:val="CharSectno"/>
        </w:rPr>
        <w:t>6</w:t>
      </w:r>
      <w:r>
        <w:rPr>
          <w:snapToGrid w:val="0"/>
        </w:rPr>
        <w:t>.</w:t>
      </w:r>
      <w:r>
        <w:rPr>
          <w:snapToGrid w:val="0"/>
        </w:rPr>
        <w:tab/>
        <w:t>Information on oath and search warrants (Act s. 24(1))</w:t>
      </w:r>
      <w:bookmarkEnd w:id="15"/>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6" w:name="_Toc383698502"/>
      <w:r>
        <w:rPr>
          <w:rStyle w:val="CharSectno"/>
        </w:rPr>
        <w:t>7</w:t>
      </w:r>
      <w:r>
        <w:rPr>
          <w:snapToGrid w:val="0"/>
        </w:rPr>
        <w:t>.</w:t>
      </w:r>
      <w:r>
        <w:rPr>
          <w:snapToGrid w:val="0"/>
        </w:rPr>
        <w:tab/>
        <w:t>Destruction of prohibited plants etc., manner of (Act s. 27(1) or (4))</w:t>
      </w:r>
      <w:bookmarkEnd w:id="16"/>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17" w:name="_Toc383698503"/>
      <w:r>
        <w:rPr>
          <w:rStyle w:val="CharSectno"/>
        </w:rPr>
        <w:t>7A</w:t>
      </w:r>
      <w:r>
        <w:rPr>
          <w:snapToGrid w:val="0"/>
        </w:rPr>
        <w:t>.</w:t>
      </w:r>
      <w:r>
        <w:rPr>
          <w:snapToGrid w:val="0"/>
        </w:rPr>
        <w:tab/>
        <w:t>Directions by Commissioner of Police for destruction of seized prohibited drugs etc., form for (Act s. 27(3))</w:t>
      </w:r>
      <w:bookmarkEnd w:id="17"/>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18" w:name="_Toc383698504"/>
      <w:r>
        <w:rPr>
          <w:rStyle w:val="CharSectno"/>
        </w:rPr>
        <w:t>7B</w:t>
      </w:r>
      <w:r>
        <w:t>.</w:t>
      </w:r>
      <w:r>
        <w:tab/>
        <w:t>Analysis etc. at request of accused (Act s. 27A)</w:t>
      </w:r>
      <w:bookmarkEnd w:id="18"/>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Ednotesection"/>
      </w:pPr>
      <w:r>
        <w:t>[</w:t>
      </w:r>
      <w:r>
        <w:rPr>
          <w:b/>
          <w:bCs/>
        </w:rPr>
        <w:t>10.</w:t>
      </w:r>
      <w:r>
        <w:tab/>
        <w:t>Deleted in Gazette 25 Jan 2013 p. 282.]</w:t>
      </w:r>
    </w:p>
    <w:p>
      <w:pPr>
        <w:pStyle w:val="Heading5"/>
      </w:pPr>
      <w:bookmarkStart w:id="19" w:name="_Toc383698505"/>
      <w:r>
        <w:rPr>
          <w:rStyle w:val="CharSectno"/>
        </w:rPr>
        <w:t>10A</w:t>
      </w:r>
      <w:r>
        <w:t>.</w:t>
      </w:r>
      <w:r>
        <w:tab/>
        <w:t>External serious drug offences (Act s. 32A(3))</w:t>
      </w:r>
      <w:bookmarkEnd w:id="19"/>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0" w:name="_Toc383698506"/>
      <w:r>
        <w:rPr>
          <w:rStyle w:val="CharSectno"/>
        </w:rPr>
        <w:t>11</w:t>
      </w:r>
      <w:r>
        <w:rPr>
          <w:snapToGrid w:val="0"/>
        </w:rPr>
        <w:t>.</w:t>
      </w:r>
      <w:r>
        <w:rPr>
          <w:snapToGrid w:val="0"/>
        </w:rPr>
        <w:tab/>
        <w:t>Certificates of approved analysts etc., forms for (Act s. 38)</w:t>
      </w:r>
      <w:bookmarkEnd w:id="20"/>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21" w:name="_Toc383698507"/>
      <w:r>
        <w:rPr>
          <w:rStyle w:val="CharSectno"/>
        </w:rPr>
        <w:t>11A</w:t>
      </w:r>
      <w:r>
        <w:t>.</w:t>
      </w:r>
      <w:r>
        <w:tab/>
        <w:t>Applications by accused for copies of certificates, form for (Act s. 38A)</w:t>
      </w:r>
      <w:bookmarkEnd w:id="21"/>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2" w:name="_Toc383698508"/>
      <w:r>
        <w:rPr>
          <w:rStyle w:val="CharSectno"/>
        </w:rPr>
        <w:t>12</w:t>
      </w:r>
      <w:r>
        <w:rPr>
          <w:snapToGrid w:val="0"/>
        </w:rPr>
        <w:t xml:space="preserve">. </w:t>
      </w:r>
      <w:r>
        <w:rPr>
          <w:snapToGrid w:val="0"/>
        </w:rPr>
        <w:tab/>
        <w:t>Fees (Act s. 41(1)(a))</w:t>
      </w:r>
      <w:bookmarkEnd w:id="22"/>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3" w:name="_Toc383698509"/>
      <w:r>
        <w:rPr>
          <w:rStyle w:val="CharSchNo"/>
        </w:rPr>
        <w:t>Schedule 1</w:t>
      </w:r>
      <w:r>
        <w:t> — </w:t>
      </w:r>
      <w:r>
        <w:rPr>
          <w:rStyle w:val="CharSchText"/>
        </w:rPr>
        <w:t>Forms</w:t>
      </w:r>
      <w:bookmarkEnd w:id="23"/>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Ednotesection"/>
      </w:pPr>
      <w:r>
        <w:t>[Forms M.D. 11 and M.D. 12 deleted in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3005"/>
        <w:gridCol w:w="114"/>
        <w:gridCol w:w="3949"/>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rPr>
              <w:t>ALLEGED OFFENCE/S</w:t>
            </w:r>
          </w:p>
        </w:tc>
      </w:tr>
      <w:tr>
        <w:trPr>
          <w:gridAfter w:val="1"/>
          <w:wAfter w:w="12" w:type="dxa"/>
          <w:cantSplit/>
        </w:trPr>
        <w:tc>
          <w:tcPr>
            <w:tcW w:w="7068" w:type="dxa"/>
            <w:gridSpan w:val="3"/>
          </w:tcPr>
          <w:p>
            <w:pPr>
              <w:pStyle w:val="yTableNAm"/>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pPr>
            <w:r>
              <w:t xml:space="preserve">Date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Time </w:t>
            </w:r>
            <w:r>
              <w:rPr>
                <w:i/>
              </w:rPr>
              <w:t>AM/PM</w:t>
            </w:r>
          </w:p>
        </w:tc>
        <w:tc>
          <w:tcPr>
            <w:tcW w:w="3949" w:type="dxa"/>
          </w:tcPr>
          <w:p>
            <w:pPr>
              <w:pStyle w:val="yTableNAm"/>
            </w:pPr>
          </w:p>
        </w:tc>
      </w:tr>
      <w:tr>
        <w:trPr>
          <w:gridAfter w:val="1"/>
          <w:wAfter w:w="12" w:type="dxa"/>
          <w:cantSplit/>
          <w:trHeight w:val="780"/>
        </w:trPr>
        <w:tc>
          <w:tcPr>
            <w:tcW w:w="3119" w:type="dxa"/>
            <w:gridSpan w:val="2"/>
          </w:tcPr>
          <w:p>
            <w:pPr>
              <w:pStyle w:val="yTableNAm"/>
            </w:pPr>
            <w:r>
              <w:t>Place (location or address)</w:t>
            </w:r>
          </w:p>
        </w:tc>
        <w:tc>
          <w:tcPr>
            <w:tcW w:w="3949" w:type="dxa"/>
          </w:tcPr>
          <w:p>
            <w:pPr>
              <w:pStyle w:val="yTableNAm"/>
            </w:pPr>
          </w:p>
        </w:tc>
      </w:tr>
      <w:tr>
        <w:trPr>
          <w:gridAfter w:val="1"/>
          <w:wAfter w:w="12" w:type="dxa"/>
          <w:cantSplit/>
        </w:trPr>
        <w:tc>
          <w:tcPr>
            <w:tcW w:w="7068" w:type="dxa"/>
            <w:gridSpan w:val="3"/>
          </w:tcPr>
          <w:p>
            <w:pPr>
              <w:pStyle w:val="yTableNAm"/>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jc w:val="center"/>
              <w:rPr>
                <w:i/>
              </w:rPr>
            </w:pPr>
            <w:r>
              <w:rPr>
                <w:b/>
                <w:i/>
              </w:rPr>
              <w:t>Misuse of Drugs Act 1981</w:t>
            </w:r>
          </w:p>
        </w:tc>
        <w:tc>
          <w:tcPr>
            <w:tcW w:w="3949" w:type="dxa"/>
            <w:tcBorders>
              <w:left w:val="nil"/>
            </w:tcBorders>
          </w:tcPr>
          <w:p>
            <w:pPr>
              <w:pStyle w:val="yTableNAm"/>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w:t>
            </w:r>
            <w:r>
              <w:rPr>
                <w:u w:val="single"/>
              </w:rPr>
              <w:t>www.police.wa.gov.au</w:t>
            </w:r>
            <w:r>
              <w:t xml:space="preserve">,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rPr>
                <w:b/>
              </w:rPr>
            </w:pPr>
            <w:r>
              <w:rPr>
                <w:b/>
              </w:rPr>
              <w:t xml:space="preserve">Alternatively, you may also send the completed application form by email to </w:t>
            </w:r>
            <w:r>
              <w:rPr>
                <w:b/>
                <w:u w:val="single"/>
              </w:rPr>
              <w:t>led.cir.smail@police.wa.gov.au</w:t>
            </w:r>
          </w:p>
          <w:p>
            <w:pPr>
              <w:pStyle w:val="yTableNAm"/>
            </w:pP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Appointment Address:</w:t>
            </w:r>
          </w:p>
          <w:p>
            <w:pPr>
              <w:pStyle w:val="yTableNAm"/>
            </w:pPr>
          </w:p>
        </w:tc>
      </w:tr>
    </w:tbl>
    <w:p>
      <w:pPr>
        <w:pStyle w:val="yFootnotesection"/>
      </w:pPr>
      <w:r>
        <w:tab/>
        <w:t>[Form M.D. 16 inserted in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24" w:name="_Toc383698510"/>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24"/>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25" w:name="_Toc383698511"/>
      <w:r>
        <w:rPr>
          <w:rStyle w:val="CharSchNo"/>
        </w:rPr>
        <w:t>Schedule 3</w:t>
      </w:r>
      <w:r>
        <w:t> — </w:t>
      </w:r>
      <w:r>
        <w:rPr>
          <w:rStyle w:val="CharSchText"/>
        </w:rPr>
        <w:t>Category 1 items</w:t>
      </w:r>
      <w:bookmarkEnd w:id="25"/>
    </w:p>
    <w:p>
      <w:pPr>
        <w:pStyle w:val="yFootnoteheading"/>
      </w:pPr>
      <w:r>
        <w:tab/>
        <w:t>[Heading inserted in Gazette 10 Dec 2004 p. 5974.]</w:t>
      </w:r>
    </w:p>
    <w:p>
      <w:pPr>
        <w:pStyle w:val="yShoulderClause"/>
      </w:pPr>
      <w:r>
        <w:t>[r. 5, 5C]</w:t>
      </w:r>
    </w:p>
    <w:p>
      <w:pPr>
        <w:pStyle w:val="yHeading3"/>
      </w:pPr>
      <w:bookmarkStart w:id="26" w:name="_Toc383698512"/>
      <w:r>
        <w:rPr>
          <w:rStyle w:val="CharSDivNo"/>
        </w:rPr>
        <w:t>Division 1</w:t>
      </w:r>
      <w:r>
        <w:t> — </w:t>
      </w:r>
      <w:r>
        <w:rPr>
          <w:rStyle w:val="CharSDivText"/>
        </w:rPr>
        <w:t>Substances</w:t>
      </w:r>
      <w:bookmarkEnd w:id="26"/>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27" w:name="_Toc383698513"/>
      <w:r>
        <w:rPr>
          <w:rStyle w:val="CharSDivNo"/>
        </w:rPr>
        <w:t>Division 2</w:t>
      </w:r>
      <w:r>
        <w:rPr>
          <w:b w:val="0"/>
        </w:rPr>
        <w:t> </w:t>
      </w:r>
      <w:r>
        <w:rPr>
          <w:bCs/>
        </w:rPr>
        <w:t>— </w:t>
      </w:r>
      <w:r>
        <w:rPr>
          <w:rStyle w:val="CharSDivText"/>
        </w:rPr>
        <w:t>Things</w:t>
      </w:r>
      <w:bookmarkEnd w:id="27"/>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28" w:name="_Toc383698514"/>
      <w:r>
        <w:rPr>
          <w:rStyle w:val="CharSchNo"/>
        </w:rPr>
        <w:t>Schedule 4</w:t>
      </w:r>
      <w:r>
        <w:t> — </w:t>
      </w:r>
      <w:r>
        <w:rPr>
          <w:rStyle w:val="CharSchText"/>
        </w:rPr>
        <w:t>Category 2 items</w:t>
      </w:r>
      <w:bookmarkEnd w:id="28"/>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29" w:name="_Toc383698515"/>
      <w:r>
        <w:rPr>
          <w:rStyle w:val="CharSDivNo"/>
        </w:rPr>
        <w:t>Division 1</w:t>
      </w:r>
      <w:r>
        <w:rPr>
          <w:b w:val="0"/>
        </w:rPr>
        <w:t> — </w:t>
      </w:r>
      <w:r>
        <w:rPr>
          <w:rStyle w:val="CharSDivText"/>
        </w:rPr>
        <w:t>Substances</w:t>
      </w:r>
      <w:bookmarkEnd w:id="29"/>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in Gazette 10 Dec 2004 p. 5977-9.]</w:t>
      </w:r>
    </w:p>
    <w:p>
      <w:pPr>
        <w:pStyle w:val="yHeading3"/>
        <w:keepLines/>
      </w:pPr>
      <w:bookmarkStart w:id="30" w:name="_Toc383698516"/>
      <w:r>
        <w:rPr>
          <w:rStyle w:val="CharSDivNo"/>
        </w:rPr>
        <w:t>Division 2</w:t>
      </w:r>
      <w:r>
        <w:rPr>
          <w:b w:val="0"/>
        </w:rPr>
        <w:t> — </w:t>
      </w:r>
      <w:r>
        <w:rPr>
          <w:rStyle w:val="CharSDivText"/>
        </w:rPr>
        <w:t>Things</w:t>
      </w:r>
      <w:bookmarkEnd w:id="30"/>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31" w:name="_Toc383698517"/>
      <w:r>
        <w:t>Notes</w:t>
      </w:r>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383698518"/>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rPr>
            </w:pPr>
            <w:r>
              <w:rPr>
                <w:snapToGrid w:val="0"/>
                <w:sz w:val="19"/>
              </w:rPr>
              <w:t>r. 1 and 2: 30 Mar 2010 (see r. 2(a));</w:t>
            </w:r>
            <w:r>
              <w:rPr>
                <w:snapToGrid w:val="0"/>
                <w:sz w:val="19"/>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rPr>
            </w:pPr>
            <w:r>
              <w:rPr>
                <w:snapToGrid w:val="0"/>
                <w:sz w:val="19"/>
              </w:rPr>
              <w:t>r. 1 and 2: 12 Nov 2010 (see r. 2(a));</w:t>
            </w:r>
            <w:r>
              <w:rPr>
                <w:snapToGrid w:val="0"/>
                <w:sz w:val="19"/>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rPr>
            </w:pPr>
            <w:r>
              <w:rPr>
                <w:snapToGrid w:val="0"/>
                <w:sz w:val="19"/>
              </w:rPr>
              <w:t>r. 1 and 2: 22 Mar 2011 (see r. 2(a));</w:t>
            </w:r>
            <w:r>
              <w:rPr>
                <w:snapToGrid w:val="0"/>
                <w:sz w:val="19"/>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rPr>
            </w:pPr>
            <w:r>
              <w:rPr>
                <w:snapToGrid w:val="0"/>
                <w:sz w:val="19"/>
              </w:rPr>
              <w:t>r. 1 and 2: 6 May 2011 (see r. 2(a));</w:t>
            </w:r>
            <w:r>
              <w:rPr>
                <w:snapToGrid w:val="0"/>
                <w:sz w:val="19"/>
              </w:rPr>
              <w:br/>
              <w:t xml:space="preserve">Regulations other than r. 1 and 2: 9 Jul 2011 (see r. 2(b) and </w:t>
            </w:r>
            <w:r>
              <w:rPr>
                <w:i/>
                <w:snapToGrid w:val="0"/>
                <w:sz w:val="19"/>
              </w:rPr>
              <w:t xml:space="preserve">Gazette </w:t>
            </w:r>
            <w:r>
              <w:rPr>
                <w:snapToGrid w:val="0"/>
                <w:sz w:val="19"/>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rPr>
            </w:pPr>
            <w:r>
              <w:rPr>
                <w:snapToGrid w:val="0"/>
                <w:sz w:val="19"/>
              </w:rPr>
              <w:t>r. 1 and 2: 1 Jul 2011 (see r. 2(a));</w:t>
            </w:r>
            <w:r>
              <w:rPr>
                <w:snapToGrid w:val="0"/>
                <w:sz w:val="19"/>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rPr>
            </w:pPr>
            <w:r>
              <w:rPr>
                <w:snapToGrid w:val="0"/>
                <w:sz w:val="19"/>
              </w:rPr>
              <w:t>r. 1 and 2: 29 Jul 2011 (see r. 2(a));</w:t>
            </w:r>
            <w:r>
              <w:rPr>
                <w:snapToGrid w:val="0"/>
                <w:sz w:val="19"/>
              </w:rPr>
              <w:br/>
              <w:t xml:space="preserve">Regulations other than r. 1 and 2: 1 Aug 2011 (see r. 2(b) and </w:t>
            </w:r>
            <w:r>
              <w:rPr>
                <w:i/>
                <w:snapToGrid w:val="0"/>
                <w:sz w:val="19"/>
              </w:rPr>
              <w:t>Gazette</w:t>
            </w:r>
            <w:r>
              <w:rPr>
                <w:snapToGrid w:val="0"/>
                <w:sz w:val="19"/>
              </w:rPr>
              <w:t xml:space="preserve"> 29 Jul 2011 p. 3127)</w:t>
            </w:r>
          </w:p>
        </w:tc>
      </w:tr>
      <w:tr>
        <w:trPr>
          <w:cantSplit/>
        </w:trPr>
        <w:tc>
          <w:tcPr>
            <w:tcW w:w="7092" w:type="dxa"/>
            <w:gridSpan w:val="3"/>
            <w:shd w:val="clear" w:color="auto" w:fill="auto"/>
          </w:tcPr>
          <w:p>
            <w:pPr>
              <w:pStyle w:val="nTable"/>
              <w:spacing w:after="40"/>
              <w:rPr>
                <w:snapToGrid w:val="0"/>
                <w:sz w:val="19"/>
              </w:rPr>
            </w:pPr>
            <w:r>
              <w:rPr>
                <w:b/>
                <w:sz w:val="19"/>
              </w:rPr>
              <w:t xml:space="preserve">Reprint 3:  The </w:t>
            </w:r>
            <w:r>
              <w:rPr>
                <w:b/>
                <w:i/>
                <w:sz w:val="19"/>
              </w:rPr>
              <w:t>Misuse of Drugs Regulations 1982</w:t>
            </w:r>
            <w:r>
              <w:rPr>
                <w:b/>
                <w:sz w:val="19"/>
              </w:rPr>
              <w:t xml:space="preserve"> as at 6 Jan 2012 </w:t>
            </w:r>
            <w:r>
              <w:rPr>
                <w:sz w:val="19"/>
              </w:rPr>
              <w:t>(includes amendments listed above)</w:t>
            </w:r>
          </w:p>
        </w:tc>
      </w:tr>
      <w:tr>
        <w:trPr>
          <w:cantSplit/>
        </w:trPr>
        <w:tc>
          <w:tcPr>
            <w:tcW w:w="3118" w:type="dxa"/>
          </w:tcPr>
          <w:p>
            <w:pPr>
              <w:pStyle w:val="nTable"/>
              <w:spacing w:after="40"/>
              <w:ind w:right="113"/>
              <w:rPr>
                <w:sz w:val="19"/>
              </w:rPr>
            </w:pPr>
            <w:r>
              <w:rPr>
                <w:i/>
                <w:sz w:val="19"/>
              </w:rPr>
              <w:t>Misuse of Drugs Amendment Regulations 2012</w:t>
            </w:r>
            <w:r>
              <w:rPr>
                <w:sz w:val="19"/>
              </w:rPr>
              <w:t xml:space="preserve"> </w:t>
            </w:r>
          </w:p>
        </w:tc>
        <w:tc>
          <w:tcPr>
            <w:tcW w:w="1276" w:type="dxa"/>
          </w:tcPr>
          <w:p>
            <w:pPr>
              <w:pStyle w:val="nTable"/>
              <w:spacing w:after="40"/>
              <w:rPr>
                <w:sz w:val="19"/>
              </w:rPr>
            </w:pPr>
            <w:r>
              <w:rPr>
                <w:sz w:val="19"/>
              </w:rPr>
              <w:t>28 Aug 2012 p. 4141-2</w:t>
            </w:r>
          </w:p>
        </w:tc>
        <w:tc>
          <w:tcPr>
            <w:tcW w:w="2698" w:type="dxa"/>
          </w:tcPr>
          <w:p>
            <w:pPr>
              <w:pStyle w:val="nTable"/>
              <w:spacing w:after="40"/>
              <w:rPr>
                <w:sz w:val="19"/>
              </w:rPr>
            </w:pPr>
            <w:r>
              <w:rPr>
                <w:rFonts w:ascii="Times" w:hAnsi="Times"/>
                <w:snapToGrid w:val="0"/>
                <w:sz w:val="19"/>
              </w:rPr>
              <w:t>r. 1 and 2: 28 Aug 2012 (see r. 2(a));</w:t>
            </w:r>
            <w:r>
              <w:rPr>
                <w:rFonts w:ascii="Times" w:hAnsi="Times"/>
                <w:snapToGrid w:val="0"/>
                <w:sz w:val="19"/>
              </w:rPr>
              <w:br/>
              <w:t xml:space="preserve">Regulations other than r. 1 and 2: 30 Jan 2013 (see r. 2(b) and </w:t>
            </w:r>
            <w:r>
              <w:rPr>
                <w:rFonts w:ascii="Times" w:hAnsi="Times"/>
                <w:i/>
                <w:snapToGrid w:val="0"/>
                <w:sz w:val="19"/>
              </w:rPr>
              <w:t xml:space="preserve">Gazette </w:t>
            </w:r>
            <w:r>
              <w:rPr>
                <w:rFonts w:ascii="Times" w:hAnsi="Times"/>
                <w:snapToGrid w:val="0"/>
                <w:sz w:val="19"/>
              </w:rPr>
              <w:t>29 Jan 2013 p. 324</w:t>
            </w:r>
            <w:r>
              <w:rPr>
                <w:rFonts w:ascii="Times" w:hAnsi="Times"/>
                <w:snapToGrid w:val="0"/>
                <w:sz w:val="19"/>
              </w:rPr>
              <w:noBreakHyphen/>
              <w:t>5)</w:t>
            </w:r>
          </w:p>
        </w:tc>
      </w:tr>
      <w:tr>
        <w:trPr>
          <w:cantSplit/>
        </w:trPr>
        <w:tc>
          <w:tcPr>
            <w:tcW w:w="3118" w:type="dxa"/>
          </w:tcPr>
          <w:p>
            <w:pPr>
              <w:pStyle w:val="nTable"/>
              <w:spacing w:after="40"/>
              <w:ind w:right="113"/>
              <w:rPr>
                <w:i/>
                <w:sz w:val="19"/>
              </w:rPr>
            </w:pPr>
            <w:r>
              <w:rPr>
                <w:i/>
                <w:sz w:val="19"/>
              </w:rPr>
              <w:t>Misuse of Drugs Amendment Regulations 2013</w:t>
            </w:r>
          </w:p>
        </w:tc>
        <w:tc>
          <w:tcPr>
            <w:tcW w:w="1276" w:type="dxa"/>
          </w:tcPr>
          <w:p>
            <w:pPr>
              <w:pStyle w:val="nTable"/>
              <w:spacing w:after="40"/>
              <w:rPr>
                <w:sz w:val="19"/>
              </w:rPr>
            </w:pPr>
            <w:r>
              <w:rPr>
                <w:sz w:val="19"/>
              </w:rPr>
              <w:t>25 Jan 2013 p. 281-2</w:t>
            </w:r>
          </w:p>
        </w:tc>
        <w:tc>
          <w:tcPr>
            <w:tcW w:w="2698" w:type="dxa"/>
          </w:tcPr>
          <w:p>
            <w:pPr>
              <w:pStyle w:val="nTable"/>
              <w:spacing w:after="40"/>
              <w:rPr>
                <w:rFonts w:ascii="Times" w:hAnsi="Times"/>
                <w:b/>
                <w:snapToGrid w:val="0"/>
                <w:sz w:val="19"/>
              </w:rPr>
            </w:pPr>
            <w:r>
              <w:rPr>
                <w:rFonts w:ascii="Times" w:hAnsi="Times"/>
                <w:snapToGrid w:val="0"/>
                <w:sz w:val="19"/>
              </w:rPr>
              <w:t>r. 1 and 2: 25 Jan 2013 (see r. 2(a));</w:t>
            </w:r>
            <w:r>
              <w:rPr>
                <w:rFonts w:ascii="Times" w:hAnsi="Times"/>
                <w:snapToGrid w:val="0"/>
                <w:sz w:val="19"/>
              </w:rPr>
              <w:br/>
              <w:t>Regulations other than r. 1 and 2: 1 Mar 2013 (see r. 2(b))</w:t>
            </w:r>
          </w:p>
        </w:tc>
      </w:tr>
      <w:tr>
        <w:trPr>
          <w:cantSplit/>
        </w:trPr>
        <w:tc>
          <w:tcPr>
            <w:tcW w:w="3118" w:type="dxa"/>
            <w:tcBorders>
              <w:bottom w:val="single" w:sz="4" w:space="0" w:color="auto"/>
            </w:tcBorders>
          </w:tcPr>
          <w:p>
            <w:pPr>
              <w:pStyle w:val="nTable"/>
              <w:spacing w:after="40"/>
              <w:ind w:right="113"/>
              <w:rPr>
                <w:i/>
                <w:sz w:val="19"/>
              </w:rPr>
            </w:pPr>
            <w:r>
              <w:rPr>
                <w:i/>
                <w:sz w:val="19"/>
              </w:rPr>
              <w:t>Misuse of Drugs Amendment Regulations 2014</w:t>
            </w:r>
          </w:p>
        </w:tc>
        <w:tc>
          <w:tcPr>
            <w:tcW w:w="1276" w:type="dxa"/>
            <w:tcBorders>
              <w:bottom w:val="single" w:sz="4" w:space="0" w:color="auto"/>
            </w:tcBorders>
          </w:tcPr>
          <w:p>
            <w:pPr>
              <w:pStyle w:val="nTable"/>
              <w:spacing w:after="40"/>
              <w:rPr>
                <w:sz w:val="19"/>
              </w:rPr>
            </w:pPr>
            <w:r>
              <w:rPr>
                <w:sz w:val="19"/>
              </w:rPr>
              <w:t>21 Mar 2014 p. 737</w:t>
            </w:r>
            <w:r>
              <w:rPr>
                <w:sz w:val="19"/>
              </w:rPr>
              <w:noBreakHyphen/>
              <w:t>41</w:t>
            </w:r>
          </w:p>
        </w:tc>
        <w:tc>
          <w:tcPr>
            <w:tcW w:w="2698" w:type="dxa"/>
            <w:tcBorders>
              <w:bottom w:val="single" w:sz="4" w:space="0" w:color="auto"/>
            </w:tcBorders>
          </w:tcPr>
          <w:p>
            <w:pPr>
              <w:pStyle w:val="nTable"/>
              <w:spacing w:after="40"/>
              <w:rPr>
                <w:rFonts w:ascii="Times" w:hAnsi="Times"/>
                <w:i/>
                <w:snapToGrid w:val="0"/>
                <w:sz w:val="19"/>
              </w:rPr>
            </w:pPr>
            <w:r>
              <w:rPr>
                <w:rFonts w:ascii="Times" w:hAnsi="Times"/>
                <w:snapToGrid w:val="0"/>
                <w:sz w:val="19"/>
              </w:rPr>
              <w:t>r. 1 and 2: 21 Mar 2014 (see r. 2(a));</w:t>
            </w:r>
            <w:r>
              <w:rPr>
                <w:rFonts w:ascii="Times" w:hAnsi="Times"/>
                <w:snapToGrid w:val="0"/>
                <w:sz w:val="19"/>
              </w:rPr>
              <w:br/>
              <w:t>Regulations other than r. 1 and 2: 22 Mar 2014 (see r. 2(b))</w:t>
            </w:r>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33" w:name="_Toc383698519"/>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 w:name="DefinedTerms"/>
      <w:bookmarkEnd w:id="34"/>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sufficient samples</w:t>
      </w:r>
      <w:r>
        <w:tab/>
        <w:t>7B(1)</w:t>
      </w:r>
    </w:p>
    <w:p/>
    <w:p>
      <w:pPr>
        <w:sectPr>
          <w:headerReference w:type="even" r:id="rId35"/>
          <w:headerReference w:type="default" r:id="rId36"/>
          <w:pgSz w:w="11906" w:h="16838" w:code="9"/>
          <w:pgMar w:top="2381" w:right="2410" w:bottom="3544" w:left="2410"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7153112"/>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9119-65D1-4ECA-B95C-02AF4220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7390</Words>
  <Characters>41684</Characters>
  <Application>Microsoft Office Word</Application>
  <DocSecurity>0</DocSecurity>
  <Lines>1736</Lines>
  <Paragraphs>1022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1982 - 03-f0-01</dc:title>
  <dc:subject/>
  <dc:creator/>
  <cp:keywords/>
  <dc:description/>
  <cp:lastModifiedBy>svcMRProcess</cp:lastModifiedBy>
  <cp:revision>4</cp:revision>
  <cp:lastPrinted>2012-01-16T23:36:00Z</cp:lastPrinted>
  <dcterms:created xsi:type="dcterms:W3CDTF">2018-09-12T18:47:00Z</dcterms:created>
  <dcterms:modified xsi:type="dcterms:W3CDTF">2018-09-12T18:47:00Z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20140322</vt:lpwstr>
  </property>
  <property fmtid="{D5CDD505-2E9C-101B-9397-08002B2CF9AE}" pid="4" name="DocumentType">
    <vt:lpwstr>Reg</vt:lpwstr>
  </property>
  <property fmtid="{D5CDD505-2E9C-101B-9397-08002B2CF9AE}" pid="5" name="OwlsUID">
    <vt:i4>4644</vt:i4>
  </property>
  <property fmtid="{D5CDD505-2E9C-101B-9397-08002B2CF9AE}" pid="6" name="AsAtDate">
    <vt:lpwstr>22 Mar 2014</vt:lpwstr>
  </property>
  <property fmtid="{D5CDD505-2E9C-101B-9397-08002B2CF9AE}" pid="7" name="Suffix">
    <vt:lpwstr>03-f0-01</vt:lpwstr>
  </property>
  <property fmtid="{D5CDD505-2E9C-101B-9397-08002B2CF9AE}" pid="8" name="ReprintNo">
    <vt:lpwstr>3</vt:lpwstr>
  </property>
  <property fmtid="{D5CDD505-2E9C-101B-9397-08002B2CF9AE}" pid="9" name="ReprintedAsAt">
    <vt:filetime>2012-01-05T16:00:00Z</vt:filetime>
  </property>
</Properties>
</file>