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000" w:after="0"/>
      </w:pPr>
      <w:r>
        <w:t>Energy Operators (Powers) Act 1979</w:t>
      </w:r>
    </w:p>
    <w:p>
      <w:pPr>
        <w:pStyle w:val="NameofActRegPage1"/>
        <w:spacing w:before="1200" w:after="4200"/>
        <w:ind w:left="284" w:right="284"/>
        <w:outlineLvl w:val="0"/>
        <w:rPr>
          <w:sz w:val="48"/>
        </w:rPr>
      </w:pPr>
      <w:r>
        <w:rPr>
          <w:noProof/>
          <w:sz w:val="48"/>
        </w:rPr>
        <w:t>Energy Operators (Electricity Generation and Retail Corporation) (Charges) By</w:t>
      </w:r>
      <w:r>
        <w:rPr>
          <w:noProof/>
          <w:sz w:val="48"/>
        </w:rPr>
        <w:noBreakHyphen/>
        <w:t>laws 2006</w:t>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by-laws as at </w:t>
      </w:r>
      <w:r>
        <w:fldChar w:fldCharType="begin"/>
      </w:r>
      <w:r>
        <w:instrText xml:space="preserve"> DOCPROPERTY "ReprintedAsAt" \@ "d MMMM yyyy" </w:instrText>
      </w:r>
      <w:r>
        <w:fldChar w:fldCharType="separate"/>
      </w:r>
      <w:r>
        <w:t>14 March 2014</w:t>
      </w:r>
      <w:r>
        <w:fldChar w:fldCharType="end"/>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140964"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w:t>
      </w:r>
      <w:r>
        <w:rPr>
          <w:sz w:val="20"/>
        </w:rPr>
        <w:noBreakHyphen/>
        <w:t>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w:t>
      </w:r>
      <w:r>
        <w:rPr>
          <w:sz w:val="20"/>
        </w:rPr>
        <w:noBreakHyphen/>
        <w:t>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w:t>
      </w:r>
      <w:r>
        <w:rPr>
          <w:sz w:val="20"/>
        </w:rPr>
        <w:noBreakHyphen/>
        <w:t>law that was inserted, or has been amended, since the by</w:t>
      </w:r>
      <w:r>
        <w:rPr>
          <w:sz w:val="20"/>
        </w:rPr>
        <w:noBreakHyphen/>
        <w:t>laws being reprinted were made, editorial notes at the foot of the by</w:t>
      </w:r>
      <w:r>
        <w:rPr>
          <w:sz w:val="20"/>
        </w:rPr>
        <w:noBreakHyphen/>
        <w:t>law give some history of how the by</w:t>
      </w:r>
      <w:r>
        <w:rPr>
          <w:sz w:val="20"/>
        </w:rPr>
        <w:noBreakHyphen/>
        <w:t>law came to be as it is.  If the by</w:t>
      </w:r>
      <w:r>
        <w:rPr>
          <w:sz w:val="20"/>
        </w:rPr>
        <w:noBreakHyphen/>
        <w:t>law replaced an earlier by</w:t>
      </w:r>
      <w:r>
        <w:rPr>
          <w:sz w:val="20"/>
        </w:rPr>
        <w:noBreakHyphen/>
        <w:t>law, no history of the earlier by</w:t>
      </w:r>
      <w:r>
        <w:rPr>
          <w:sz w:val="20"/>
        </w:rPr>
        <w:noBreakHyphen/>
        <w:t>law is given (the full history of the by</w:t>
      </w:r>
      <w:r>
        <w:rPr>
          <w:sz w:val="20"/>
        </w:rPr>
        <w:noBreakHyphen/>
        <w:t>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ind w:left="1135"/>
        <w:rPr>
          <w:sz w:val="20"/>
        </w:rPr>
      </w:pPr>
      <w:r>
        <w:rPr>
          <w:rFonts w:ascii="Times" w:hAnsi="Times"/>
          <w:sz w:val="20"/>
        </w:rPr>
        <w:t>removed (because it was repealed or deleted from the law); or</w:t>
      </w:r>
    </w:p>
    <w:p>
      <w:pPr>
        <w:numPr>
          <w:ilvl w:val="0"/>
          <w:numId w:val="13"/>
        </w:numPr>
        <w:ind w:left="1135"/>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 xml:space="preserve">The reprint number (in the footer of each page of the document) shows how many times the </w:t>
      </w:r>
      <w:r>
        <w:rPr>
          <w:sz w:val="20"/>
        </w:rPr>
        <w:t>by</w:t>
      </w:r>
      <w:r>
        <w:rPr>
          <w:sz w:val="20"/>
        </w:rPr>
        <w:noBreakHyphen/>
        <w:t>law</w:t>
      </w:r>
      <w:r>
        <w:rPr>
          <w:spacing w:val="-3"/>
          <w:sz w:val="20"/>
        </w:rPr>
        <w:t>s have been reprinted.  For example, numbering a reprint as “Reprint 3” would mean that the reprint was the 3</w:t>
      </w:r>
      <w:r>
        <w:rPr>
          <w:spacing w:val="-3"/>
          <w:sz w:val="20"/>
          <w:vertAlign w:val="superscript"/>
        </w:rPr>
        <w:t>rd</w:t>
      </w:r>
      <w:r>
        <w:rPr>
          <w:spacing w:val="-3"/>
          <w:sz w:val="20"/>
        </w:rPr>
        <w:t xml:space="preserve"> reprint since the </w:t>
      </w:r>
      <w:r>
        <w:rPr>
          <w:sz w:val="20"/>
        </w:rPr>
        <w:t>by</w:t>
      </w:r>
      <w:r>
        <w:rPr>
          <w:sz w:val="20"/>
        </w:rPr>
        <w:noBreakHyphen/>
        <w:t>law</w:t>
      </w:r>
      <w:r>
        <w:rPr>
          <w:spacing w:val="-3"/>
          <w:sz w:val="20"/>
        </w:rPr>
        <w:t>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 xml:space="preserve">The information in the reprint is current on the date shown as the date as at which the </w:t>
      </w:r>
      <w:r>
        <w:rPr>
          <w:sz w:val="20"/>
        </w:rPr>
        <w:t>by</w:t>
      </w:r>
      <w:r>
        <w:rPr>
          <w:sz w:val="20"/>
        </w:rPr>
        <w:noBreakHyphen/>
        <w:t>law</w:t>
      </w:r>
      <w:r>
        <w:rPr>
          <w:spacing w:val="-3"/>
          <w:sz w:val="20"/>
        </w:rPr>
        <w:t>s are reprinted.  That date is not the date when the reprint was published by the State Law Publisher and it is probably not the date when the most recent amendment had effect.</w:t>
      </w:r>
    </w:p>
    <w:p>
      <w:pPr>
        <w:tabs>
          <w:tab w:val="left" w:pos="567"/>
          <w:tab w:val="left" w:pos="851"/>
        </w:tabs>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14 March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_Toc381691666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_Toc381691667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_Toc381691668 \h </w:instrText>
      </w:r>
      <w:r>
        <w:fldChar w:fldCharType="separate"/>
      </w:r>
      <w:r>
        <w:t>1</w:t>
      </w:r>
      <w:r>
        <w:fldChar w:fldCharType="end"/>
      </w:r>
    </w:p>
    <w:p>
      <w:pPr>
        <w:pStyle w:val="TOC8"/>
        <w:rPr>
          <w:rFonts w:asciiTheme="minorHAnsi" w:eastAsiaTheme="minorEastAsia" w:hAnsiTheme="minorHAnsi" w:cstheme="minorBidi"/>
          <w:szCs w:val="22"/>
        </w:rPr>
      </w:pPr>
      <w:r>
        <w:t>4A.</w:t>
      </w:r>
      <w:r>
        <w:tab/>
        <w:t>Carbon component</w:t>
      </w:r>
      <w:r>
        <w:tab/>
      </w:r>
      <w:r>
        <w:fldChar w:fldCharType="begin"/>
      </w:r>
      <w:r>
        <w:instrText xml:space="preserve"> PAGEREF _Toc381691669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_Toc381691670 \h </w:instrText>
      </w:r>
      <w:r>
        <w:fldChar w:fldCharType="separate"/>
      </w:r>
      <w:r>
        <w:t>4</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_Toc381691671 \h </w:instrText>
      </w:r>
      <w:r>
        <w:fldChar w:fldCharType="separate"/>
      </w:r>
      <w:r>
        <w:t>4</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_Toc381691672 \h </w:instrText>
      </w:r>
      <w:r>
        <w:fldChar w:fldCharType="separate"/>
      </w:r>
      <w:r>
        <w:t>4</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_Toc381691673 \h </w:instrText>
      </w:r>
      <w:r>
        <w:fldChar w:fldCharType="separate"/>
      </w:r>
      <w:r>
        <w:t>5</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_Toc381691674 \h </w:instrText>
      </w:r>
      <w:r>
        <w:fldChar w:fldCharType="separate"/>
      </w:r>
      <w:r>
        <w:t>5</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_Toc381691675 \h </w:instrText>
      </w:r>
      <w:r>
        <w:fldChar w:fldCharType="separate"/>
      </w:r>
      <w:r>
        <w:t>6</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_Toc381691676 \h </w:instrText>
      </w:r>
      <w:r>
        <w:fldChar w:fldCharType="separate"/>
      </w:r>
      <w:r>
        <w:t>6</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_Toc381691677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_Toc381691679 \h </w:instrText>
      </w:r>
      <w:r>
        <w:fldChar w:fldCharType="separate"/>
      </w:r>
      <w:r>
        <w:t>7</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_Toc381691680 \h </w:instrText>
      </w:r>
      <w:r>
        <w:fldChar w:fldCharType="separate"/>
      </w:r>
      <w:r>
        <w:t>7</w:t>
      </w:r>
      <w:r>
        <w:fldChar w:fldCharType="end"/>
      </w:r>
    </w:p>
    <w:p>
      <w:pPr>
        <w:pStyle w:val="TOC8"/>
        <w:rPr>
          <w:rFonts w:asciiTheme="minorHAnsi" w:eastAsiaTheme="minorEastAsia" w:hAnsiTheme="minorHAnsi" w:cstheme="minorBidi"/>
          <w:szCs w:val="22"/>
        </w:rPr>
      </w:pPr>
      <w:r>
        <w:t>3.</w:t>
      </w:r>
      <w:r>
        <w:tab/>
        <w:t>Tariff M1 (general supply — high voltage tariff)</w:t>
      </w:r>
      <w:r>
        <w:tab/>
      </w:r>
      <w:r>
        <w:fldChar w:fldCharType="begin"/>
      </w:r>
      <w:r>
        <w:instrText xml:space="preserve"> PAGEREF _Toc381691681 \h </w:instrText>
      </w:r>
      <w:r>
        <w:fldChar w:fldCharType="separate"/>
      </w:r>
      <w:r>
        <w:t>8</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_Toc381691682 \h </w:instrText>
      </w:r>
      <w:r>
        <w:fldChar w:fldCharType="separate"/>
      </w:r>
      <w:r>
        <w:t>8</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_Toc381691683 \h </w:instrText>
      </w:r>
      <w:r>
        <w:fldChar w:fldCharType="separate"/>
      </w:r>
      <w:r>
        <w:t>9</w:t>
      </w:r>
      <w:r>
        <w:fldChar w:fldCharType="end"/>
      </w:r>
    </w:p>
    <w:p>
      <w:pPr>
        <w:pStyle w:val="TOC8"/>
        <w:rPr>
          <w:rFonts w:asciiTheme="minorHAnsi" w:eastAsiaTheme="minorEastAsia" w:hAnsiTheme="minorHAnsi" w:cstheme="minorBidi"/>
          <w:szCs w:val="22"/>
        </w:rPr>
      </w:pPr>
      <w:r>
        <w:t>6.</w:t>
      </w:r>
      <w:r>
        <w:tab/>
      </w:r>
      <w:r>
        <w:rPr>
          <w:snapToGrid w:val="0"/>
        </w:rPr>
        <w:t>Tariff S1 (low/medium voltage time based demand and energy tariff)</w:t>
      </w:r>
      <w:r>
        <w:tab/>
      </w:r>
      <w:r>
        <w:fldChar w:fldCharType="begin"/>
      </w:r>
      <w:r>
        <w:instrText xml:space="preserve"> PAGEREF _Toc381691684 \h </w:instrText>
      </w:r>
      <w:r>
        <w:fldChar w:fldCharType="separate"/>
      </w:r>
      <w:r>
        <w:t>9</w:t>
      </w:r>
      <w:r>
        <w:fldChar w:fldCharType="end"/>
      </w:r>
    </w:p>
    <w:p>
      <w:pPr>
        <w:pStyle w:val="TOC8"/>
        <w:rPr>
          <w:rFonts w:asciiTheme="minorHAnsi" w:eastAsiaTheme="minorEastAsia" w:hAnsiTheme="minorHAnsi" w:cstheme="minorBidi"/>
          <w:szCs w:val="22"/>
        </w:rPr>
      </w:pPr>
      <w:r>
        <w:t>7.</w:t>
      </w:r>
      <w:r>
        <w:tab/>
        <w:t xml:space="preserve">Tariff T1 </w:t>
      </w:r>
      <w:r>
        <w:rPr>
          <w:snapToGrid w:val="0"/>
        </w:rPr>
        <w:t>(high voltage time based demand and energy tariff)</w:t>
      </w:r>
      <w:r>
        <w:tab/>
      </w:r>
      <w:r>
        <w:fldChar w:fldCharType="begin"/>
      </w:r>
      <w:r>
        <w:instrText xml:space="preserve"> PAGEREF _Toc381691685 \h </w:instrText>
      </w:r>
      <w:r>
        <w:fldChar w:fldCharType="separate"/>
      </w:r>
      <w:r>
        <w:t>10</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_Toc381691686 \h </w:instrText>
      </w:r>
      <w:r>
        <w:fldChar w:fldCharType="separate"/>
      </w:r>
      <w:r>
        <w:t>11</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_Toc381691687 \h </w:instrText>
      </w:r>
      <w:r>
        <w:fldChar w:fldCharType="separate"/>
      </w:r>
      <w:r>
        <w:t>13</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_Toc381691688 \h </w:instrText>
      </w:r>
      <w:r>
        <w:fldChar w:fldCharType="separate"/>
      </w:r>
      <w:r>
        <w:t>13</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_Toc381691689 \h </w:instrText>
      </w:r>
      <w:r>
        <w:fldChar w:fldCharType="separate"/>
      </w:r>
      <w:r>
        <w:t>14</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_Toc381691690 \h </w:instrText>
      </w:r>
      <w:r>
        <w:fldChar w:fldCharType="separate"/>
      </w:r>
      <w:r>
        <w:t>15</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_Toc381691691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2A — Carbon components</w:t>
      </w:r>
    </w:p>
    <w:p>
      <w:pPr>
        <w:pStyle w:val="TOC4"/>
        <w:tabs>
          <w:tab w:val="right" w:leader="dot" w:pos="7086"/>
        </w:tabs>
        <w:rPr>
          <w:rFonts w:asciiTheme="minorHAnsi" w:eastAsiaTheme="minorEastAsia" w:hAnsiTheme="minorHAnsi" w:cstheme="minorBidi"/>
          <w:b w:val="0"/>
          <w:szCs w:val="22"/>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rPr>
      </w:pPr>
      <w:r>
        <w:t>Schedule 2 — Unmetered supply</w:t>
      </w:r>
    </w:p>
    <w:p>
      <w:pPr>
        <w:pStyle w:val="TOC4"/>
        <w:tabs>
          <w:tab w:val="right" w:leader="dot" w:pos="7086"/>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86"/>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_Toc381691698 \h </w:instrText>
      </w:r>
      <w:r>
        <w:fldChar w:fldCharType="separate"/>
      </w:r>
      <w:r>
        <w:t>22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_Toc381691699 \h </w:instrText>
      </w:r>
      <w:r>
        <w:fldChar w:fldCharType="separate"/>
      </w:r>
      <w:r>
        <w:t>22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_Toc381691700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3 — Meter rental</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_Toc381691704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14</w:t>
            </w:r>
            <w:r>
              <w:rPr>
                <w:b/>
                <w:snapToGrid w:val="0"/>
                <w:sz w:val="22"/>
              </w:rPr>
              <w:t xml:space="preserve"> March 2014</w:t>
            </w:r>
            <w:r>
              <w:rPr>
                <w:b/>
                <w:sz w:val="22"/>
              </w:rPr>
              <w:fldChar w:fldCharType="end"/>
            </w:r>
          </w:p>
        </w:tc>
      </w:tr>
    </w:tbl>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81691666"/>
      <w:r>
        <w:rPr>
          <w:rStyle w:val="CharSectno"/>
        </w:rPr>
        <w:t>1</w:t>
      </w:r>
      <w:r>
        <w:t>.</w:t>
      </w:r>
      <w:r>
        <w:tab/>
        <w:t>Citation</w:t>
      </w:r>
      <w:bookmarkEnd w:id="1"/>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2" w:name="_Toc381691667"/>
      <w:r>
        <w:rPr>
          <w:rStyle w:val="CharSectno"/>
        </w:rPr>
        <w:t>2</w:t>
      </w:r>
      <w:r>
        <w:t>.</w:t>
      </w:r>
      <w:r>
        <w:tab/>
        <w:t>Commencement</w:t>
      </w:r>
      <w:bookmarkEnd w:id="2"/>
    </w:p>
    <w:p>
      <w:pPr>
        <w:pStyle w:val="Subsection"/>
      </w:pPr>
      <w:r>
        <w:tab/>
      </w:r>
      <w:r>
        <w:tab/>
        <w:t>These by</w:t>
      </w:r>
      <w:r>
        <w:noBreakHyphen/>
        <w:t>laws come into operation on 1 April 2006.</w:t>
      </w:r>
    </w:p>
    <w:p>
      <w:pPr>
        <w:pStyle w:val="Heading5"/>
        <w:rPr>
          <w:snapToGrid w:val="0"/>
        </w:rPr>
      </w:pPr>
      <w:bookmarkStart w:id="3" w:name="_Toc381691668"/>
      <w:r>
        <w:rPr>
          <w:rStyle w:val="CharSectno"/>
        </w:rPr>
        <w:t>3</w:t>
      </w:r>
      <w:r>
        <w:t>.</w:t>
      </w:r>
      <w:r>
        <w:tab/>
      </w:r>
      <w:r>
        <w:rPr>
          <w:snapToGrid w:val="0"/>
        </w:rPr>
        <w:t>Terms used</w:t>
      </w:r>
      <w:bookmarkEnd w:id="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w:t>
      </w:r>
    </w:p>
    <w:p>
      <w:pPr>
        <w:pStyle w:val="Ednotesection"/>
      </w:pPr>
      <w:r>
        <w:t>[</w:t>
      </w:r>
      <w:r>
        <w:rPr>
          <w:b/>
          <w:bCs/>
        </w:rPr>
        <w:t>3A.</w:t>
      </w:r>
      <w:r>
        <w:tab/>
        <w:t>Deleted in Gazette 26 Mar 2010 p. 1136.]</w:t>
      </w:r>
    </w:p>
    <w:p>
      <w:pPr>
        <w:pStyle w:val="Heading5"/>
      </w:pPr>
      <w:bookmarkStart w:id="4" w:name="_Toc381691669"/>
      <w:r>
        <w:rPr>
          <w:rStyle w:val="CharSectno"/>
        </w:rPr>
        <w:t>4A</w:t>
      </w:r>
      <w:r>
        <w:t>.</w:t>
      </w:r>
      <w:r>
        <w:tab/>
        <w:t>Carbon component</w:t>
      </w:r>
      <w:bookmarkEnd w:id="4"/>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Look w:val="0000" w:firstRow="0" w:lastRow="0" w:firstColumn="0" w:lastColumn="0" w:noHBand="0" w:noVBand="0"/>
      </w:tblPr>
      <w:tblGrid>
        <w:gridCol w:w="6176"/>
      </w:tblGrid>
      <w:tr>
        <w:trPr>
          <w:cantSplit/>
        </w:trPr>
        <w:tc>
          <w:tcPr>
            <w:tcW w:w="6176" w:type="dxa"/>
          </w:tcPr>
          <w:p>
            <w:pPr>
              <w:pStyle w:val="TableNAm"/>
              <w:spacing w:before="80"/>
              <w:ind w:right="-108"/>
            </w:pPr>
            <w:r>
              <w:rPr>
                <w:i/>
              </w:rPr>
              <w:t>Australian National Registry of Emissions Units Act 2011</w:t>
            </w:r>
          </w:p>
        </w:tc>
      </w:tr>
      <w:tr>
        <w:trPr>
          <w:cantSplit/>
        </w:trPr>
        <w:tc>
          <w:tcPr>
            <w:tcW w:w="6176" w:type="dxa"/>
          </w:tcPr>
          <w:p>
            <w:pPr>
              <w:pStyle w:val="TableNAm"/>
              <w:spacing w:before="80"/>
              <w:ind w:right="-108"/>
            </w:pPr>
            <w:r>
              <w:rPr>
                <w:i/>
              </w:rPr>
              <w:t>Carbon Credits (Carbon Farming Initiative) Act 2011</w:t>
            </w:r>
          </w:p>
        </w:tc>
      </w:tr>
      <w:tr>
        <w:trPr>
          <w:cantSplit/>
        </w:trPr>
        <w:tc>
          <w:tcPr>
            <w:tcW w:w="6176" w:type="dxa"/>
          </w:tcPr>
          <w:p>
            <w:pPr>
              <w:pStyle w:val="TableNAm"/>
              <w:spacing w:before="80"/>
              <w:ind w:right="-108"/>
            </w:pPr>
            <w:r>
              <w:rPr>
                <w:i/>
              </w:rPr>
              <w:t>Clean Energy (Charges—Customs) Act 2011</w:t>
            </w:r>
          </w:p>
        </w:tc>
      </w:tr>
      <w:tr>
        <w:trPr>
          <w:cantSplit/>
        </w:trPr>
        <w:tc>
          <w:tcPr>
            <w:tcW w:w="6176" w:type="dxa"/>
          </w:tcPr>
          <w:p>
            <w:pPr>
              <w:pStyle w:val="TableNAm"/>
              <w:spacing w:before="80"/>
              <w:ind w:right="-108"/>
            </w:pPr>
            <w:r>
              <w:rPr>
                <w:i/>
              </w:rPr>
              <w:t>Clean Energy (Charges—Excise) Act 2011</w:t>
            </w:r>
          </w:p>
        </w:tc>
      </w:tr>
      <w:tr>
        <w:trPr>
          <w:cantSplit/>
        </w:trPr>
        <w:tc>
          <w:tcPr>
            <w:tcW w:w="6176" w:type="dxa"/>
          </w:tcPr>
          <w:p>
            <w:pPr>
              <w:pStyle w:val="TableNAm"/>
              <w:spacing w:before="80"/>
              <w:ind w:right="-108"/>
            </w:pPr>
            <w:r>
              <w:rPr>
                <w:i/>
              </w:rPr>
              <w:t>Clean Energy (Consequential Amendments) Act 2011</w:t>
            </w:r>
          </w:p>
        </w:tc>
      </w:tr>
      <w:tr>
        <w:trPr>
          <w:cantSplit/>
        </w:trPr>
        <w:tc>
          <w:tcPr>
            <w:tcW w:w="6176" w:type="dxa"/>
          </w:tcPr>
          <w:p>
            <w:pPr>
              <w:pStyle w:val="TableNAm"/>
              <w:spacing w:before="80"/>
              <w:ind w:right="-108"/>
            </w:pPr>
            <w:r>
              <w:rPr>
                <w:i/>
              </w:rPr>
              <w:t>Clean Energy (Customs Tariff Amendment) Act 2011</w:t>
            </w:r>
          </w:p>
        </w:tc>
      </w:tr>
      <w:tr>
        <w:trPr>
          <w:cantSplit/>
        </w:trPr>
        <w:tc>
          <w:tcPr>
            <w:tcW w:w="6176" w:type="dxa"/>
          </w:tcPr>
          <w:p>
            <w:pPr>
              <w:pStyle w:val="TableNAm"/>
              <w:spacing w:before="80"/>
              <w:ind w:right="-108"/>
            </w:pPr>
            <w:r>
              <w:rPr>
                <w:i/>
              </w:rPr>
              <w:t>Clean Energy (Excise Tariff Legislation Amendment) Act 2011</w:t>
            </w:r>
          </w:p>
        </w:tc>
      </w:tr>
      <w:tr>
        <w:trPr>
          <w:cantSplit/>
        </w:trPr>
        <w:tc>
          <w:tcPr>
            <w:tcW w:w="6176" w:type="dxa"/>
          </w:tcPr>
          <w:p>
            <w:pPr>
              <w:pStyle w:val="TableNAm"/>
              <w:spacing w:before="80"/>
              <w:ind w:right="-108"/>
            </w:pPr>
            <w:r>
              <w:rPr>
                <w:i/>
              </w:rPr>
              <w:t>Clean Energy (Fuel Tax Legislation Amendment) Act 2011</w:t>
            </w:r>
          </w:p>
        </w:tc>
      </w:tr>
      <w:tr>
        <w:trPr>
          <w:cantSplit/>
        </w:trPr>
        <w:tc>
          <w:tcPr>
            <w:tcW w:w="6176" w:type="dxa"/>
          </w:tcPr>
          <w:p>
            <w:pPr>
              <w:pStyle w:val="TableNAm"/>
              <w:spacing w:before="80"/>
              <w:ind w:right="-108"/>
            </w:pPr>
            <w:r>
              <w:rPr>
                <w:i/>
              </w:rPr>
              <w:t>Clean Energy (Household Assistance Amendments) Act 2011</w:t>
            </w:r>
          </w:p>
        </w:tc>
      </w:tr>
      <w:tr>
        <w:trPr>
          <w:cantSplit/>
        </w:trPr>
        <w:tc>
          <w:tcPr>
            <w:tcW w:w="6176" w:type="dxa"/>
          </w:tcPr>
          <w:p>
            <w:pPr>
              <w:pStyle w:val="TableNAm"/>
              <w:spacing w:before="80"/>
              <w:ind w:right="-108"/>
            </w:pPr>
            <w:r>
              <w:rPr>
                <w:i/>
              </w:rPr>
              <w:t>Clean Energy (Income Tax Rates Amendments) Act 2011</w:t>
            </w:r>
          </w:p>
        </w:tc>
      </w:tr>
      <w:tr>
        <w:trPr>
          <w:cantSplit/>
        </w:trPr>
        <w:tc>
          <w:tcPr>
            <w:tcW w:w="6176" w:type="dxa"/>
          </w:tcPr>
          <w:p>
            <w:pPr>
              <w:pStyle w:val="TableNAm"/>
              <w:spacing w:before="80"/>
              <w:ind w:right="-108"/>
            </w:pPr>
            <w:r>
              <w:rPr>
                <w:i/>
              </w:rPr>
              <w:t>Clean Energy (International Unit Surrender Charge) Act 2011</w:t>
            </w:r>
          </w:p>
        </w:tc>
      </w:tr>
      <w:tr>
        <w:trPr>
          <w:cantSplit/>
        </w:trPr>
        <w:tc>
          <w:tcPr>
            <w:tcW w:w="6176" w:type="dxa"/>
          </w:tcPr>
          <w:p>
            <w:pPr>
              <w:pStyle w:val="TableNAm"/>
              <w:spacing w:before="80"/>
              <w:ind w:right="-108"/>
            </w:pPr>
            <w:r>
              <w:rPr>
                <w:i/>
              </w:rPr>
              <w:t>Clean Energy Regulator Act 2011</w:t>
            </w:r>
          </w:p>
        </w:tc>
      </w:tr>
      <w:tr>
        <w:trPr>
          <w:cantSplit/>
        </w:trPr>
        <w:tc>
          <w:tcPr>
            <w:tcW w:w="6176" w:type="dxa"/>
          </w:tcPr>
          <w:p>
            <w:pPr>
              <w:pStyle w:val="TableNAm"/>
              <w:spacing w:before="80"/>
              <w:ind w:right="-108"/>
            </w:pPr>
            <w:r>
              <w:rPr>
                <w:i/>
              </w:rPr>
              <w:t>Clean Energy (Tax Laws Amendments) Act 2011</w:t>
            </w:r>
          </w:p>
        </w:tc>
      </w:tr>
      <w:tr>
        <w:trPr>
          <w:cantSplit/>
        </w:trPr>
        <w:tc>
          <w:tcPr>
            <w:tcW w:w="6176" w:type="dxa"/>
          </w:tcPr>
          <w:p>
            <w:pPr>
              <w:pStyle w:val="TableNAm"/>
              <w:spacing w:before="80"/>
              <w:ind w:right="-108"/>
            </w:pPr>
            <w:r>
              <w:rPr>
                <w:i/>
              </w:rPr>
              <w:t>Clean Energy (Unit Issue Charge—Auctions) Act 2011</w:t>
            </w:r>
          </w:p>
        </w:tc>
      </w:tr>
      <w:tr>
        <w:trPr>
          <w:cantSplit/>
        </w:trPr>
        <w:tc>
          <w:tcPr>
            <w:tcW w:w="6176" w:type="dxa"/>
          </w:tcPr>
          <w:p>
            <w:pPr>
              <w:pStyle w:val="TableNAm"/>
              <w:spacing w:before="80"/>
              <w:ind w:right="-108"/>
            </w:pPr>
            <w:r>
              <w:rPr>
                <w:i/>
              </w:rPr>
              <w:t>Clean Energy (Unit Issue Charge—Fixed Charge) Act 2011</w:t>
            </w:r>
          </w:p>
        </w:tc>
      </w:tr>
      <w:tr>
        <w:trPr>
          <w:cantSplit/>
        </w:trPr>
        <w:tc>
          <w:tcPr>
            <w:tcW w:w="6176" w:type="dxa"/>
          </w:tcPr>
          <w:p>
            <w:pPr>
              <w:pStyle w:val="TableNAm"/>
              <w:spacing w:before="80"/>
              <w:ind w:right="-108"/>
            </w:pPr>
            <w:r>
              <w:rPr>
                <w:i/>
              </w:rPr>
              <w:t>Clean Energy (Unit Shortfall Charge—General) Act 2011</w:t>
            </w:r>
          </w:p>
        </w:tc>
      </w:tr>
      <w:tr>
        <w:trPr>
          <w:cantSplit/>
        </w:trPr>
        <w:tc>
          <w:tcPr>
            <w:tcW w:w="6176" w:type="dxa"/>
          </w:tcPr>
          <w:p>
            <w:pPr>
              <w:pStyle w:val="TableNAm"/>
              <w:spacing w:before="80"/>
              <w:ind w:right="-108"/>
            </w:pPr>
            <w:r>
              <w:rPr>
                <w:i/>
              </w:rPr>
              <w:t>Climate Change Authority Act 2011</w:t>
            </w:r>
          </w:p>
        </w:tc>
      </w:tr>
      <w:tr>
        <w:trPr>
          <w:cantSplit/>
        </w:trPr>
        <w:tc>
          <w:tcPr>
            <w:tcW w:w="6176" w:type="dxa"/>
          </w:tcPr>
          <w:p>
            <w:pPr>
              <w:pStyle w:val="TableNAm"/>
              <w:spacing w:before="80"/>
              <w:ind w:right="-108"/>
            </w:pPr>
            <w:r>
              <w:rPr>
                <w:i/>
              </w:rPr>
              <w:t>Customs Tariff Act 1995</w:t>
            </w:r>
          </w:p>
        </w:tc>
      </w:tr>
      <w:tr>
        <w:trPr>
          <w:cantSplit/>
        </w:trPr>
        <w:tc>
          <w:tcPr>
            <w:tcW w:w="6176" w:type="dxa"/>
          </w:tcPr>
          <w:p>
            <w:pPr>
              <w:pStyle w:val="TableNAm"/>
              <w:spacing w:before="80"/>
              <w:ind w:right="-108"/>
            </w:pPr>
            <w:r>
              <w:rPr>
                <w:i/>
              </w:rPr>
              <w:t>Excise Act 1901</w:t>
            </w:r>
          </w:p>
        </w:tc>
      </w:tr>
      <w:tr>
        <w:trPr>
          <w:cantSplit/>
        </w:trPr>
        <w:tc>
          <w:tcPr>
            <w:tcW w:w="6176" w:type="dxa"/>
          </w:tcPr>
          <w:p>
            <w:pPr>
              <w:pStyle w:val="TableNAm"/>
              <w:spacing w:before="80"/>
              <w:ind w:right="-108"/>
            </w:pPr>
            <w:r>
              <w:rPr>
                <w:i/>
              </w:rPr>
              <w:t>Excise Tariff Act 1921</w:t>
            </w:r>
          </w:p>
        </w:tc>
      </w:tr>
      <w:tr>
        <w:trPr>
          <w:cantSplit/>
        </w:trPr>
        <w:tc>
          <w:tcPr>
            <w:tcW w:w="6176" w:type="dxa"/>
          </w:tcPr>
          <w:p>
            <w:pPr>
              <w:pStyle w:val="TableNAm"/>
              <w:spacing w:before="80"/>
              <w:ind w:right="-108"/>
            </w:pPr>
            <w:r>
              <w:rPr>
                <w:i/>
              </w:rPr>
              <w:t>Excise Tariff Amendment (Taxation of Alternative Fuels) Act 2011</w:t>
            </w:r>
          </w:p>
        </w:tc>
      </w:tr>
      <w:tr>
        <w:trPr>
          <w:cantSplit/>
        </w:trPr>
        <w:tc>
          <w:tcPr>
            <w:tcW w:w="6176" w:type="dxa"/>
          </w:tcPr>
          <w:p>
            <w:pPr>
              <w:pStyle w:val="TableNAm"/>
              <w:spacing w:before="80"/>
              <w:ind w:right="-108"/>
            </w:pPr>
            <w:r>
              <w:rPr>
                <w:i/>
              </w:rPr>
              <w:t>Fuel Tax Act 2006</w:t>
            </w:r>
          </w:p>
        </w:tc>
      </w:tr>
      <w:tr>
        <w:trPr>
          <w:cantSplit/>
        </w:trPr>
        <w:tc>
          <w:tcPr>
            <w:tcW w:w="6176" w:type="dxa"/>
          </w:tcPr>
          <w:p>
            <w:pPr>
              <w:pStyle w:val="TableNAm"/>
              <w:spacing w:before="80"/>
              <w:ind w:right="-108"/>
            </w:pPr>
            <w:r>
              <w:rPr>
                <w:i/>
              </w:rPr>
              <w:t>Fuel Tax (Consequential and Transitional Provisions) Act 2006</w:t>
            </w:r>
          </w:p>
        </w:tc>
      </w:tr>
      <w:tr>
        <w:trPr>
          <w:cantSplit/>
        </w:trPr>
        <w:tc>
          <w:tcPr>
            <w:tcW w:w="6176" w:type="dxa"/>
          </w:tcPr>
          <w:p>
            <w:pPr>
              <w:pStyle w:val="TableNAm"/>
              <w:spacing w:before="80"/>
              <w:ind w:right="-108"/>
            </w:pPr>
            <w:r>
              <w:rPr>
                <w:i/>
              </w:rPr>
              <w:t>National Greenhouse and Energy Reporting Act 2007</w:t>
            </w:r>
          </w:p>
        </w:tc>
      </w:tr>
      <w:tr>
        <w:trPr>
          <w:cantSplit/>
        </w:trPr>
        <w:tc>
          <w:tcPr>
            <w:tcW w:w="6176" w:type="dxa"/>
          </w:tcPr>
          <w:p>
            <w:pPr>
              <w:pStyle w:val="TableNAm"/>
              <w:spacing w:before="80"/>
              <w:ind w:right="-108"/>
            </w:pPr>
            <w:r>
              <w:rPr>
                <w:i/>
              </w:rPr>
              <w:t>Ozone Protection and Synthetic Greenhouse Gas (Import Levy) Act 1995</w:t>
            </w:r>
          </w:p>
        </w:tc>
      </w:tr>
      <w:tr>
        <w:trPr>
          <w:cantSplit/>
        </w:trPr>
        <w:tc>
          <w:tcPr>
            <w:tcW w:w="6176" w:type="dxa"/>
          </w:tcPr>
          <w:p>
            <w:pPr>
              <w:pStyle w:val="TableNAm"/>
              <w:spacing w:before="80"/>
              <w:ind w:right="-108"/>
            </w:pPr>
            <w:r>
              <w:rPr>
                <w:i/>
              </w:rPr>
              <w:t>Ozone Protection and Synthetic Greenhouse Gas (Import Levy) Amendment Act 2011</w:t>
            </w:r>
          </w:p>
        </w:tc>
      </w:tr>
      <w:tr>
        <w:trPr>
          <w:cantSplit/>
        </w:trPr>
        <w:tc>
          <w:tcPr>
            <w:tcW w:w="6176" w:type="dxa"/>
          </w:tcPr>
          <w:p>
            <w:pPr>
              <w:pStyle w:val="TableNAm"/>
              <w:spacing w:before="80"/>
              <w:ind w:right="-108"/>
            </w:pPr>
            <w:r>
              <w:rPr>
                <w:i/>
              </w:rPr>
              <w:t>Ozone Protection and Synthetic Greenhouse Gas Management Act 1989</w:t>
            </w:r>
          </w:p>
        </w:tc>
      </w:tr>
      <w:tr>
        <w:trPr>
          <w:cantSplit/>
        </w:trPr>
        <w:tc>
          <w:tcPr>
            <w:tcW w:w="6176" w:type="dxa"/>
          </w:tcPr>
          <w:p>
            <w:pPr>
              <w:pStyle w:val="TableNAm"/>
              <w:spacing w:before="80"/>
              <w:ind w:right="-108"/>
            </w:pPr>
            <w:r>
              <w:rPr>
                <w:i/>
              </w:rPr>
              <w:t>Ozone Protection and Synthetic Greenhouse Gas (Manufacture Levy) Act 1995</w:t>
            </w:r>
          </w:p>
        </w:tc>
      </w:tr>
      <w:tr>
        <w:trPr>
          <w:cantSplit/>
        </w:trPr>
        <w:tc>
          <w:tcPr>
            <w:tcW w:w="6176" w:type="dxa"/>
          </w:tcPr>
          <w:p>
            <w:pPr>
              <w:pStyle w:val="TableNAm"/>
              <w:spacing w:before="80"/>
              <w:ind w:right="-108"/>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in Gazette 29 Jun 2012 p. 2914-16; amended in Gazette 30 Aug 2013 p. 4097.]</w:t>
      </w:r>
    </w:p>
    <w:p>
      <w:pPr>
        <w:pStyle w:val="Heading5"/>
        <w:rPr>
          <w:snapToGrid w:val="0"/>
        </w:rPr>
      </w:pPr>
      <w:bookmarkStart w:id="5" w:name="_Toc381691670"/>
      <w:r>
        <w:rPr>
          <w:rStyle w:val="CharSectno"/>
        </w:rPr>
        <w:t>4</w:t>
      </w:r>
      <w:r>
        <w:t>.</w:t>
      </w:r>
      <w:r>
        <w:tab/>
      </w:r>
      <w:r>
        <w:rPr>
          <w:snapToGrid w:val="0"/>
        </w:rPr>
        <w:t>Electricity charges payable by consumers (Sch. 1, Sch. 2)</w:t>
      </w:r>
      <w:bookmarkEnd w:id="5"/>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6" w:name="_Toc381691671"/>
      <w:r>
        <w:rPr>
          <w:rStyle w:val="CharSectno"/>
        </w:rPr>
        <w:t>5</w:t>
      </w:r>
      <w:r>
        <w:t>.</w:t>
      </w:r>
      <w:r>
        <w:tab/>
        <w:t>Residential tariffs, when applicable</w:t>
      </w:r>
      <w:bookmarkEnd w:id="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7" w:name="_Toc381691672"/>
      <w:r>
        <w:rPr>
          <w:rStyle w:val="CharSectno"/>
        </w:rPr>
        <w:t>6</w:t>
      </w:r>
      <w:r>
        <w:t>.</w:t>
      </w:r>
      <w:r>
        <w:tab/>
        <w:t>Subsidiary meters, rental for (Sch. 3)</w:t>
      </w:r>
      <w:bookmarkEnd w:id="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8" w:name="_Toc381691673"/>
      <w:r>
        <w:rPr>
          <w:rStyle w:val="CharSectno"/>
        </w:rPr>
        <w:t>7</w:t>
      </w:r>
      <w:r>
        <w:t>.</w:t>
      </w:r>
      <w:r>
        <w:tab/>
        <w:t>Fees (Sch. 4)</w:t>
      </w:r>
      <w:bookmarkEnd w:id="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9" w:name="_Toc381691674"/>
      <w:r>
        <w:rPr>
          <w:rStyle w:val="CharSectno"/>
        </w:rPr>
        <w:t>8</w:t>
      </w:r>
      <w:r>
        <w:t>.</w:t>
      </w:r>
      <w:r>
        <w:tab/>
        <w:t>When charges payable; interest on unpaid charges</w:t>
      </w:r>
      <w:bookmarkEnd w:id="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0" w:name="_Toc381691675"/>
      <w:r>
        <w:rPr>
          <w:rStyle w:val="CharSectno"/>
        </w:rPr>
        <w:t>10</w:t>
      </w:r>
      <w:r>
        <w:t>.</w:t>
      </w:r>
      <w:r>
        <w:tab/>
        <w:t>Calculation of charges</w:t>
      </w:r>
      <w:bookmarkEnd w:id="1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1" w:name="_Toc381691676"/>
      <w:r>
        <w:rPr>
          <w:rStyle w:val="CharSectno"/>
        </w:rPr>
        <w:t>11</w:t>
      </w:r>
      <w:r>
        <w:t>.</w:t>
      </w:r>
      <w:r>
        <w:tab/>
        <w:t>Changes to rate of charges, adjustment for</w:t>
      </w:r>
      <w:bookmarkEnd w:id="1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 w:name="_Toc381691677"/>
      <w:r>
        <w:rPr>
          <w:rStyle w:val="CharSectno"/>
        </w:rPr>
        <w:t>12</w:t>
      </w:r>
      <w:r>
        <w:t>.</w:t>
      </w:r>
      <w:r>
        <w:tab/>
        <w:t>Interest rate prescribed (Act s. 62(16))</w:t>
      </w:r>
      <w:bookmarkEnd w:id="1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 w:name="_Toc381691678"/>
      <w:r>
        <w:rPr>
          <w:rStyle w:val="CharSchNo"/>
        </w:rPr>
        <w:t>Schedule 1</w:t>
      </w:r>
      <w:r>
        <w:rPr>
          <w:rStyle w:val="CharSDivNo"/>
        </w:rPr>
        <w:t> </w:t>
      </w:r>
      <w:r>
        <w:t>—</w:t>
      </w:r>
      <w:r>
        <w:rPr>
          <w:rStyle w:val="CharSDivText"/>
        </w:rPr>
        <w:t> </w:t>
      </w:r>
      <w:r>
        <w:rPr>
          <w:rStyle w:val="CharSchText"/>
        </w:rPr>
        <w:t>Supply charges</w:t>
      </w:r>
      <w:bookmarkEnd w:id="13"/>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14" w:name="_Toc381691679"/>
      <w:r>
        <w:rPr>
          <w:rStyle w:val="CharSClsNo"/>
        </w:rPr>
        <w:t>1</w:t>
      </w:r>
      <w:r>
        <w:t>.</w:t>
      </w:r>
      <w:r>
        <w:tab/>
        <w:t>Tariff L1 (general supply — low/medium voltage tariff)</w:t>
      </w:r>
      <w:bookmarkEnd w:id="1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 14 Jun 2013 p. 2217-18.]</w:t>
      </w:r>
    </w:p>
    <w:p>
      <w:pPr>
        <w:pStyle w:val="yHeading5"/>
        <w:spacing w:before="180"/>
      </w:pPr>
      <w:bookmarkStart w:id="15" w:name="_Toc381691680"/>
      <w:r>
        <w:rPr>
          <w:rStyle w:val="CharSClsNo"/>
        </w:rPr>
        <w:t>2</w:t>
      </w:r>
      <w:r>
        <w:t>.</w:t>
      </w:r>
      <w:r>
        <w:tab/>
        <w:t>Tariff L3 (general supply — low/medium voltage tariff)</w:t>
      </w:r>
      <w:bookmarkEnd w:id="1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 14 Jun 2013 p. 2218.]</w:t>
      </w:r>
    </w:p>
    <w:p>
      <w:pPr>
        <w:pStyle w:val="yHeading5"/>
      </w:pPr>
      <w:bookmarkStart w:id="16" w:name="_Toc381691681"/>
      <w:r>
        <w:rPr>
          <w:rStyle w:val="CharSClsNo"/>
        </w:rPr>
        <w:t>3</w:t>
      </w:r>
      <w:r>
        <w:t>.</w:t>
      </w:r>
      <w:r>
        <w:rPr>
          <w:b w:val="0"/>
        </w:rPr>
        <w:tab/>
      </w:r>
      <w:r>
        <w:t>Tariff M1 (general supply — high voltage tariff)</w:t>
      </w:r>
      <w:bookmarkEnd w:id="16"/>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35.6623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32.0290 cents</w:t>
      </w:r>
      <w:r>
        <w:t xml:space="preserve">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 14 Jun 2013 p. 2218; 30 Aug 2013 p. 4098.]</w:t>
      </w:r>
    </w:p>
    <w:p>
      <w:pPr>
        <w:pStyle w:val="yHeading5"/>
      </w:pPr>
      <w:bookmarkStart w:id="17" w:name="_Toc381691682"/>
      <w:r>
        <w:rPr>
          <w:rStyle w:val="CharSClsNo"/>
        </w:rPr>
        <w:t>4</w:t>
      </w:r>
      <w:r>
        <w:t>.</w:t>
      </w:r>
      <w:r>
        <w:tab/>
        <w:t>Tariff R1 (time of use tariff)</w:t>
      </w:r>
      <w:bookmarkEnd w:id="17"/>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keepNext/>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 14 Jun 2013 p. 2218.]</w:t>
      </w:r>
    </w:p>
    <w:p>
      <w:pPr>
        <w:pStyle w:val="yHeading5"/>
      </w:pPr>
      <w:bookmarkStart w:id="18" w:name="_Toc381691683"/>
      <w:r>
        <w:rPr>
          <w:rStyle w:val="CharSClsNo"/>
        </w:rPr>
        <w:t>5</w:t>
      </w:r>
      <w:r>
        <w:t>.</w:t>
      </w:r>
      <w:r>
        <w:tab/>
        <w:t>Tariff R3 (time of use tariff)</w:t>
      </w:r>
      <w:bookmarkEnd w:id="18"/>
    </w:p>
    <w:p>
      <w:pPr>
        <w:pStyle w:val="ySubsection"/>
      </w:pPr>
      <w:r>
        <w:tab/>
        <w:t>(1)</w:t>
      </w:r>
      <w:r>
        <w:tab/>
        <w:t>Tariff R3 comprises —</w:t>
      </w:r>
    </w:p>
    <w:p>
      <w:pPr>
        <w:pStyle w:val="yIndenta"/>
      </w:pPr>
      <w:r>
        <w:tab/>
        <w:t>(a)</w:t>
      </w:r>
      <w:r>
        <w:tab/>
        <w:t xml:space="preserve">a fixed charge at the rate of </w:t>
      </w:r>
      <w:r>
        <w:rPr>
          <w:szCs w:val="22"/>
        </w:rPr>
        <w:t>$2.3890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44.1956 cents</w:t>
      </w:r>
      <w:r>
        <w:t xml:space="preserve"> (being </w:t>
      </w:r>
      <w:r>
        <w:rPr>
          <w:szCs w:val="22"/>
        </w:rPr>
        <w:t>41.8273 cents</w:t>
      </w:r>
      <w:r>
        <w:t xml:space="preserve"> plus the carbon component) per unit; and</w:t>
      </w:r>
    </w:p>
    <w:p>
      <w:pPr>
        <w:pStyle w:val="yIndenti0"/>
      </w:pPr>
      <w:r>
        <w:tab/>
        <w:t>(ii)</w:t>
      </w:r>
      <w:r>
        <w:tab/>
        <w:t xml:space="preserve">an off peak energy charge at the rate of </w:t>
      </w:r>
      <w:r>
        <w:rPr>
          <w:szCs w:val="22"/>
        </w:rPr>
        <w:t>15.2450 cents</w:t>
      </w:r>
      <w:r>
        <w:t xml:space="preserve"> (being </w:t>
      </w:r>
      <w:r>
        <w:rPr>
          <w:szCs w:val="22"/>
        </w:rPr>
        <w:t>12.8767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 14 Jun 2013 p. 2218; 30 Aug 2013 p. 4098.]</w:t>
      </w:r>
    </w:p>
    <w:p>
      <w:pPr>
        <w:pStyle w:val="yHeading5"/>
        <w:rPr>
          <w:snapToGrid w:val="0"/>
        </w:rPr>
      </w:pPr>
      <w:bookmarkStart w:id="19" w:name="_Toc381691684"/>
      <w:r>
        <w:rPr>
          <w:rStyle w:val="CharSClsNo"/>
        </w:rPr>
        <w:t>6</w:t>
      </w:r>
      <w:r>
        <w:t>.</w:t>
      </w:r>
      <w:r>
        <w:rPr>
          <w:b w:val="0"/>
        </w:rPr>
        <w:tab/>
      </w:r>
      <w:r>
        <w:rPr>
          <w:snapToGrid w:val="0"/>
        </w:rPr>
        <w:t>Tariff S1 (low/medium voltage time based demand and energy tariff)</w:t>
      </w:r>
      <w:bookmarkEnd w:id="19"/>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$433.0245</w:t>
      </w:r>
      <w:r>
        <w:t xml:space="preserve"> per day; and</w:t>
      </w:r>
    </w:p>
    <w:p>
      <w:pPr>
        <w:pStyle w:val="yIndenta"/>
      </w:pPr>
      <w:r>
        <w:tab/>
        <w:t>(b)</w:t>
      </w:r>
      <w:r>
        <w:tab/>
        <w:t xml:space="preserve">a demand charge at the rate of </w:t>
      </w:r>
      <w:r>
        <w:rPr>
          <w:szCs w:val="22"/>
        </w:rPr>
        <w:t>109.9903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18.1057 cents</w:t>
      </w:r>
      <w:r>
        <w:t xml:space="preserve"> (being </w:t>
      </w:r>
      <w:r>
        <w:rPr>
          <w:szCs w:val="22"/>
        </w:rPr>
        <w:t>15.7374 cents</w:t>
      </w:r>
      <w:r>
        <w:t xml:space="preserve"> plus the carbon component) per unit; and</w:t>
      </w:r>
    </w:p>
    <w:p>
      <w:pPr>
        <w:pStyle w:val="yIndenti0"/>
      </w:pPr>
      <w:r>
        <w:tab/>
        <w:t>(ii)</w:t>
      </w:r>
      <w:r>
        <w:tab/>
        <w:t xml:space="preserve">an off peak energy charge at the rate of </w:t>
      </w:r>
      <w:r>
        <w:rPr>
          <w:szCs w:val="22"/>
        </w:rPr>
        <w:t>12.3247 cents</w:t>
      </w:r>
      <w:r>
        <w:t xml:space="preserve"> (being </w:t>
      </w:r>
      <w:r>
        <w:rPr>
          <w:szCs w:val="22"/>
        </w:rPr>
        <w:t>9.9564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 14 Jun 2013 p. 2218; 30 Aug 2013 p. 4098.]</w:t>
      </w:r>
    </w:p>
    <w:p>
      <w:pPr>
        <w:pStyle w:val="yHeading5"/>
        <w:rPr>
          <w:snapToGrid w:val="0"/>
        </w:rPr>
      </w:pPr>
      <w:bookmarkStart w:id="20" w:name="_Toc381691685"/>
      <w:r>
        <w:rPr>
          <w:rStyle w:val="CharSClsNo"/>
        </w:rPr>
        <w:t>7</w:t>
      </w:r>
      <w:r>
        <w:t>.</w:t>
      </w:r>
      <w:r>
        <w:rPr>
          <w:b w:val="0"/>
        </w:rPr>
        <w:tab/>
      </w:r>
      <w:r>
        <w:t xml:space="preserve">Tariff T1 </w:t>
      </w:r>
      <w:r>
        <w:rPr>
          <w:snapToGrid w:val="0"/>
        </w:rPr>
        <w:t>(high voltage time based demand and energy tariff)</w:t>
      </w:r>
      <w:bookmarkEnd w:id="20"/>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$638.5653</w:t>
      </w:r>
      <w:r>
        <w:t xml:space="preserve"> per day; and</w:t>
      </w:r>
    </w:p>
    <w:p>
      <w:pPr>
        <w:pStyle w:val="yIndenta"/>
        <w:keepNext/>
      </w:pPr>
      <w:r>
        <w:tab/>
        <w:t>(b)</w:t>
      </w:r>
      <w:r>
        <w:tab/>
        <w:t xml:space="preserve">a demand charge at the rate of </w:t>
      </w:r>
      <w:r>
        <w:rPr>
          <w:szCs w:val="22"/>
        </w:rPr>
        <w:t>112.5020 cents</w:t>
      </w:r>
      <w:r>
        <w:t xml:space="preserve"> per day multiplied by — </w:t>
      </w:r>
    </w:p>
    <w:p>
      <w:pPr>
        <w:pStyle w:val="yIndenti0"/>
        <w:spacing w:before="60"/>
      </w:pPr>
      <w:r>
        <w:tab/>
        <w:t>(i)</w:t>
      </w:r>
      <w:r>
        <w:tab/>
        <w:t>the on peak half</w:t>
      </w:r>
      <w:r>
        <w:noBreakHyphen/>
        <w:t>hourly maximum demand; or</w:t>
      </w:r>
    </w:p>
    <w:p>
      <w:pPr>
        <w:pStyle w:val="yIndenti0"/>
        <w:spacing w:before="60"/>
      </w:pPr>
      <w:r>
        <w:tab/>
        <w:t>(ii)</w:t>
      </w:r>
      <w:r>
        <w:tab/>
        <w:t>30% of the off peak half</w:t>
      </w:r>
      <w:r>
        <w:noBreakHyphen/>
        <w:t>hourly maximum demand,</w:t>
      </w:r>
    </w:p>
    <w:p>
      <w:pPr>
        <w:pStyle w:val="yIndenta"/>
        <w:spacing w:before="60"/>
      </w:pPr>
      <w:r>
        <w:tab/>
      </w:r>
      <w:r>
        <w:tab/>
        <w:t>whichever is the greater; and</w:t>
      </w:r>
    </w:p>
    <w:p>
      <w:pPr>
        <w:pStyle w:val="yIndenta"/>
        <w:spacing w:before="60"/>
      </w:pPr>
      <w:r>
        <w:tab/>
        <w:t>(c)</w:t>
      </w:r>
      <w:r>
        <w:tab/>
        <w:t xml:space="preserve">an energy charge consisting of — </w:t>
      </w:r>
    </w:p>
    <w:p>
      <w:pPr>
        <w:pStyle w:val="yIndenti0"/>
        <w:spacing w:before="60"/>
      </w:pPr>
      <w:r>
        <w:tab/>
        <w:t>(i)</w:t>
      </w:r>
      <w:r>
        <w:tab/>
        <w:t xml:space="preserve">an on peak energy charge at the rate of </w:t>
      </w:r>
      <w:r>
        <w:rPr>
          <w:szCs w:val="22"/>
        </w:rPr>
        <w:t>18.8166 cents</w:t>
      </w:r>
      <w:r>
        <w:t xml:space="preserve"> (being </w:t>
      </w:r>
      <w:r>
        <w:rPr>
          <w:szCs w:val="22"/>
        </w:rPr>
        <w:t>16.4483 cents</w:t>
      </w:r>
      <w:r>
        <w:t xml:space="preserve"> plus the carbon component) per unit; and</w:t>
      </w:r>
    </w:p>
    <w:p>
      <w:pPr>
        <w:pStyle w:val="yIndenti0"/>
        <w:spacing w:before="60"/>
      </w:pPr>
      <w:r>
        <w:tab/>
        <w:t>(ii)</w:t>
      </w:r>
      <w:r>
        <w:tab/>
        <w:t xml:space="preserve">an off peak energy charge at the rate of </w:t>
      </w:r>
      <w:r>
        <w:rPr>
          <w:szCs w:val="22"/>
        </w:rPr>
        <w:t>13.3075 cents</w:t>
      </w:r>
      <w:r>
        <w:t xml:space="preserve"> (being </w:t>
      </w:r>
      <w:r>
        <w:rPr>
          <w:szCs w:val="22"/>
        </w:rPr>
        <w:t>10.9392 cents</w:t>
      </w:r>
      <w:r>
        <w:t xml:space="preserve"> plus the carbon component) per unit.</w:t>
      </w:r>
    </w:p>
    <w:p>
      <w:pPr>
        <w:pStyle w:val="ySubsection"/>
      </w:pPr>
      <w:r>
        <w:tab/>
        <w:t>(3)</w:t>
      </w:r>
      <w:r>
        <w:tab/>
        <w:t xml:space="preserve">Tariff T1 is available subject to the following conditions — </w:t>
      </w:r>
    </w:p>
    <w:p>
      <w:pPr>
        <w:pStyle w:val="yIndenta"/>
        <w:spacing w:before="60"/>
        <w:rPr>
          <w:snapToGrid w:val="0"/>
        </w:rPr>
      </w:pPr>
      <w:r>
        <w:tab/>
        <w:t>(a)</w:t>
      </w:r>
      <w:r>
        <w:tab/>
        <w:t xml:space="preserve">the consumer must </w:t>
      </w:r>
      <w:r>
        <w:rPr>
          <w:snapToGrid w:val="0"/>
        </w:rPr>
        <w:t>agree to take the tariff for a minimum period of 12 months;</w:t>
      </w:r>
    </w:p>
    <w:p>
      <w:pPr>
        <w:pStyle w:val="yIndenta"/>
        <w:spacing w:before="60"/>
      </w:pPr>
      <w:r>
        <w:tab/>
        <w:t>(b)</w:t>
      </w:r>
      <w:r>
        <w:tab/>
        <w:t xml:space="preserve">it applies to a </w:t>
      </w:r>
      <w:r>
        <w:rPr>
          <w:snapToGrid w:val="0"/>
        </w:rPr>
        <w:t>consumer who owns all equipment except tariff metering equipment on the load side of the consumer’s high voltage terminals;</w:t>
      </w:r>
    </w:p>
    <w:p>
      <w:pPr>
        <w:pStyle w:val="yIndenta"/>
        <w:spacing w:before="60"/>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spacing w:before="100"/>
      </w:pPr>
      <w:r>
        <w:tab/>
        <w:t>[Clause 7 inserted in Gazette 30 Mar 2009 p. 986</w:t>
      </w:r>
      <w:r>
        <w:noBreakHyphen/>
        <w:t>7; amended in Gazette 26 Mar 2010 p. 1136</w:t>
      </w:r>
      <w:r>
        <w:noBreakHyphen/>
        <w:t>7 and 1139; 24 Jun 2011 p. 2499</w:t>
      </w:r>
      <w:r>
        <w:noBreakHyphen/>
        <w:t>500; 29 Jun 2012 p. 2919; 14 Jun 2013 p. 2218; 30 Aug 2013 p. 4098-9.]</w:t>
      </w:r>
    </w:p>
    <w:p>
      <w:pPr>
        <w:pStyle w:val="yHeading5"/>
      </w:pPr>
      <w:bookmarkStart w:id="21" w:name="_Toc381691686"/>
      <w:r>
        <w:rPr>
          <w:rStyle w:val="CharSClsNo"/>
        </w:rPr>
        <w:t>8</w:t>
      </w:r>
      <w:r>
        <w:t>.</w:t>
      </w:r>
      <w:r>
        <w:rPr>
          <w:b w:val="0"/>
        </w:rPr>
        <w:tab/>
      </w:r>
      <w:r>
        <w:t>Standby charges</w:t>
      </w:r>
      <w:bookmarkEnd w:id="21"/>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spacing w:before="70"/>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spacing w:before="70"/>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spacing w:before="70"/>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spacing w:before="70"/>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spacing w:before="70"/>
        <w:rPr>
          <w:snapToGrid w:val="0"/>
        </w:rPr>
      </w:pPr>
      <w:r>
        <w:rPr>
          <w:snapToGrid w:val="0"/>
        </w:rPr>
        <w:tab/>
        <w:t>(a)</w:t>
      </w:r>
      <w:r>
        <w:rPr>
          <w:snapToGrid w:val="0"/>
        </w:rPr>
        <w:tab/>
        <w:t>the capacity of the consumer’s generation equipment; or</w:t>
      </w:r>
    </w:p>
    <w:p>
      <w:pPr>
        <w:pStyle w:val="yIndenta"/>
        <w:spacing w:before="70"/>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22" w:name="_Toc381691687"/>
      <w:r>
        <w:rPr>
          <w:rStyle w:val="CharSClsNo"/>
        </w:rPr>
        <w:t>9</w:t>
      </w:r>
      <w:r>
        <w:t>.</w:t>
      </w:r>
      <w:r>
        <w:rPr>
          <w:b w:val="0"/>
        </w:rPr>
        <w:tab/>
      </w:r>
      <w:r>
        <w:t>Tariff A1 (residential tariff)</w:t>
      </w:r>
      <w:bookmarkEnd w:id="22"/>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 14 Jun 2013 p. 2218-19.]</w:t>
      </w:r>
    </w:p>
    <w:p>
      <w:pPr>
        <w:pStyle w:val="yHeading5"/>
      </w:pPr>
      <w:bookmarkStart w:id="23" w:name="_Toc381691688"/>
      <w:r>
        <w:rPr>
          <w:rStyle w:val="CharSClsNo"/>
        </w:rPr>
        <w:t>10</w:t>
      </w:r>
      <w:r>
        <w:t>.</w:t>
      </w:r>
      <w:r>
        <w:rPr>
          <w:b w:val="0"/>
        </w:rPr>
        <w:tab/>
      </w:r>
      <w:r>
        <w:t>Tariff B1 (residential water heating tariff)</w:t>
      </w:r>
      <w:bookmarkEnd w:id="23"/>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in Gazette 30 Mar 2009 p. 990; amended in Gazette 26 Mar 2010 p. 1140; 24 Jun 2011 p. 2499</w:t>
      </w:r>
      <w:r>
        <w:noBreakHyphen/>
        <w:t>500; 29 Jun 2012 p. 2920; 14 Jun 2013 p. 2219.]</w:t>
      </w:r>
    </w:p>
    <w:p>
      <w:pPr>
        <w:pStyle w:val="yHeading5"/>
      </w:pPr>
      <w:bookmarkStart w:id="24" w:name="_Toc381691689"/>
      <w:r>
        <w:rPr>
          <w:rStyle w:val="CharSClsNo"/>
        </w:rPr>
        <w:t>11</w:t>
      </w:r>
      <w:r>
        <w:t>.</w:t>
      </w:r>
      <w:r>
        <w:rPr>
          <w:b w:val="0"/>
        </w:rPr>
        <w:tab/>
      </w:r>
      <w:r>
        <w:t>Tariff C1 (special community service tariff)</w:t>
      </w:r>
      <w:bookmarkEnd w:id="24"/>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spacing w:before="70"/>
      </w:pPr>
      <w:r>
        <w:tab/>
        <w:t>(a)</w:t>
      </w:r>
      <w:r>
        <w:tab/>
        <w:t xml:space="preserve">a fixed charge at the rate of </w:t>
      </w:r>
      <w:r>
        <w:rPr>
          <w:szCs w:val="22"/>
        </w:rPr>
        <w:t>39.0017</w:t>
      </w:r>
      <w:r>
        <w:t xml:space="preserve"> cents per day; and</w:t>
      </w:r>
    </w:p>
    <w:p>
      <w:pPr>
        <w:pStyle w:val="yIndenta"/>
        <w:spacing w:before="70"/>
      </w:pPr>
      <w:r>
        <w:tab/>
        <w:t>(b)</w:t>
      </w:r>
      <w:r>
        <w:tab/>
        <w:t>a charge for metered consumption at the rate of — </w:t>
      </w:r>
    </w:p>
    <w:p>
      <w:pPr>
        <w:pStyle w:val="yIndenti0"/>
        <w:spacing w:before="70"/>
      </w:pPr>
      <w:r>
        <w:tab/>
        <w:t>(i)</w:t>
      </w:r>
      <w:r>
        <w:tab/>
      </w:r>
      <w:r>
        <w:rPr>
          <w:szCs w:val="22"/>
        </w:rPr>
        <w:t>23.6276</w:t>
      </w:r>
      <w:r>
        <w:t xml:space="preserve"> cents (being </w:t>
      </w:r>
      <w:r>
        <w:rPr>
          <w:szCs w:val="22"/>
        </w:rPr>
        <w:t>21.2593</w:t>
      </w:r>
      <w:r>
        <w:t> cents plus the carbon component) per unit for the first 20 units per day; and</w:t>
      </w:r>
    </w:p>
    <w:p>
      <w:pPr>
        <w:pStyle w:val="yIndenti0"/>
        <w:spacing w:before="7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spacing w:before="7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 14 Jun 2013 p. 2219.]</w:t>
      </w:r>
    </w:p>
    <w:p>
      <w:pPr>
        <w:pStyle w:val="yHeading5"/>
      </w:pPr>
      <w:bookmarkStart w:id="25" w:name="_Toc381691690"/>
      <w:r>
        <w:rPr>
          <w:rStyle w:val="CharSClsNo"/>
        </w:rPr>
        <w:t>12</w:t>
      </w:r>
      <w:r>
        <w:t>.</w:t>
      </w:r>
      <w:r>
        <w:rPr>
          <w:b w:val="0"/>
        </w:rPr>
        <w:tab/>
      </w:r>
      <w:r>
        <w:t>Tariff D1 (special tariff for certain premises)</w:t>
      </w:r>
      <w:bookmarkEnd w:id="25"/>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 14 Jun 2013 p. 2219.]</w:t>
      </w:r>
    </w:p>
    <w:p>
      <w:pPr>
        <w:pStyle w:val="yHeading5"/>
      </w:pPr>
      <w:bookmarkStart w:id="26" w:name="_Toc381691691"/>
      <w:r>
        <w:rPr>
          <w:rStyle w:val="CharSClsNo"/>
        </w:rPr>
        <w:t>13</w:t>
      </w:r>
      <w:r>
        <w:t>.</w:t>
      </w:r>
      <w:r>
        <w:rPr>
          <w:b w:val="0"/>
        </w:rPr>
        <w:tab/>
      </w:r>
      <w:r>
        <w:t>Tariff K1 (general supply with residential tariff)</w:t>
      </w:r>
      <w:bookmarkEnd w:id="2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 14 Jun 2013 p. 2219.]</w:t>
      </w:r>
    </w:p>
    <w:p>
      <w:pPr>
        <w:pStyle w:val="yEdnotesection"/>
      </w:pPr>
      <w:r>
        <w:t>[</w:t>
      </w:r>
      <w:r>
        <w:rPr>
          <w:b/>
        </w:rPr>
        <w:t>14.</w:t>
      </w:r>
      <w:r>
        <w:tab/>
        <w:t>Deleted in Gazette 30 Aug 2013 p. 4099.]</w:t>
      </w:r>
    </w:p>
    <w:p>
      <w:pPr>
        <w:rPr>
          <w:u w:val="words"/>
        </w:r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yScheduleHeading"/>
      </w:pPr>
      <w:bookmarkStart w:id="27" w:name="_Toc381691692"/>
      <w:r>
        <w:rPr>
          <w:rStyle w:val="CharSchNo"/>
        </w:rPr>
        <w:t>Schedule 2A</w:t>
      </w:r>
      <w:r>
        <w:t> — </w:t>
      </w:r>
      <w:r>
        <w:rPr>
          <w:rStyle w:val="CharSchText"/>
        </w:rPr>
        <w:t>Carbon components</w:t>
      </w:r>
      <w:bookmarkEnd w:id="27"/>
    </w:p>
    <w:p>
      <w:pPr>
        <w:pStyle w:val="yShoulderClause"/>
      </w:pPr>
      <w:r>
        <w:t>[bl. 4A(2)]</w:t>
      </w:r>
    </w:p>
    <w:p>
      <w:pPr>
        <w:pStyle w:val="yFootnoteheading"/>
        <w:spacing w:after="120"/>
      </w:pPr>
      <w:r>
        <w:tab/>
        <w:t>[Heading inserted in Gazette 14 Jun 2013 p. 2220.]</w:t>
      </w:r>
    </w:p>
    <w:p>
      <w:pPr>
        <w:pStyle w:val="yHeading3"/>
      </w:pPr>
      <w:bookmarkStart w:id="28" w:name="_Toc381691693"/>
      <w:r>
        <w:rPr>
          <w:rStyle w:val="CharSDivNo"/>
        </w:rPr>
        <w:t>Division 1</w:t>
      </w:r>
      <w:r>
        <w:rPr>
          <w:b w:val="0"/>
        </w:rPr>
        <w:t> — </w:t>
      </w:r>
      <w:r>
        <w:rPr>
          <w:rStyle w:val="CharSDivText"/>
        </w:rPr>
        <w:t>Schedule 1 provisions</w:t>
      </w:r>
      <w:bookmarkEnd w:id="28"/>
    </w:p>
    <w:p>
      <w:pPr>
        <w:pStyle w:val="yFootnoteheading"/>
        <w:spacing w:after="120"/>
      </w:pPr>
      <w:r>
        <w:tab/>
        <w:t>[Heading inserted in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pPr>
      <w:r>
        <w:tab/>
        <w:t>[Division 1 inserted in Gazette 14 Jun 2013 p. 2220; amended in Gazette 30 Aug 2013 p. 4099.]</w:t>
      </w:r>
    </w:p>
    <w:p>
      <w:pPr>
        <w:pStyle w:val="yHeading3"/>
      </w:pPr>
      <w:bookmarkStart w:id="29" w:name="_Toc381691694"/>
      <w:r>
        <w:rPr>
          <w:rStyle w:val="CharSDivNo"/>
        </w:rPr>
        <w:t>Division 2</w:t>
      </w:r>
      <w:r>
        <w:rPr>
          <w:b w:val="0"/>
        </w:rPr>
        <w:t> — </w:t>
      </w:r>
      <w:r>
        <w:rPr>
          <w:rStyle w:val="CharSDivText"/>
        </w:rPr>
        <w:t>Schedule 2 provisions</w:t>
      </w:r>
      <w:bookmarkEnd w:id="29"/>
    </w:p>
    <w:p>
      <w:pPr>
        <w:pStyle w:val="yFootnoteheading"/>
        <w:keepNext/>
        <w:spacing w:after="120"/>
      </w:pPr>
      <w:r>
        <w:tab/>
        <w:t>[Heading inserted in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$0.5684</w:t>
            </w:r>
          </w:p>
        </w:tc>
      </w:tr>
      <w:tr>
        <w:tc>
          <w:tcPr>
            <w:tcW w:w="3118" w:type="dxa"/>
          </w:tcPr>
          <w:p>
            <w:pPr>
              <w:pStyle w:val="yTableNAm"/>
            </w:pPr>
            <w:r>
              <w:t>Sch. 2 Div. 2 cl. 2</w:t>
            </w:r>
          </w:p>
        </w:tc>
        <w:tc>
          <w:tcPr>
            <w:tcW w:w="3119" w:type="dxa"/>
          </w:tcPr>
          <w:p>
            <w:pPr>
              <w:pStyle w:val="yTableNAm"/>
            </w:pPr>
            <w:r>
              <w:t>2.9580 cents</w:t>
            </w:r>
          </w:p>
        </w:tc>
      </w:tr>
      <w:tr>
        <w:tc>
          <w:tcPr>
            <w:tcW w:w="3118" w:type="dxa"/>
          </w:tcPr>
          <w:p>
            <w:pPr>
              <w:pStyle w:val="yTableNAm"/>
            </w:pPr>
            <w:r>
              <w:t>Sch. 2 Div. 2 cl. 3</w:t>
            </w:r>
          </w:p>
        </w:tc>
        <w:tc>
          <w:tcPr>
            <w:tcW w:w="3119" w:type="dxa"/>
          </w:tcPr>
          <w:p>
            <w:pPr>
              <w:pStyle w:val="yTableNAm"/>
            </w:pPr>
            <w:r>
              <w:t>1.3121 cents</w:t>
            </w:r>
          </w:p>
        </w:tc>
      </w:tr>
    </w:tbl>
    <w:p>
      <w:pPr>
        <w:pStyle w:val="yFootnotesection"/>
      </w:pPr>
      <w:r>
        <w:tab/>
        <w:t>[Division 2 inserted in Gazette 30 Aug 2013 p. 4099.]</w:t>
      </w:r>
    </w:p>
    <w:p>
      <w:pPr>
        <w:pStyle w:val="yScheduleHeading"/>
      </w:pPr>
      <w:bookmarkStart w:id="30" w:name="_Toc381691695"/>
      <w:r>
        <w:rPr>
          <w:rStyle w:val="CharSchNo"/>
        </w:rPr>
        <w:t>Schedule 2</w:t>
      </w:r>
      <w:r>
        <w:t> — </w:t>
      </w:r>
      <w:r>
        <w:rPr>
          <w:rStyle w:val="CharSchText"/>
        </w:rPr>
        <w:t>Unmetered supply</w:t>
      </w:r>
      <w:bookmarkEnd w:id="30"/>
    </w:p>
    <w:p>
      <w:pPr>
        <w:pStyle w:val="yShoulderClause"/>
      </w:pPr>
      <w:r>
        <w:rPr>
          <w:szCs w:val="22"/>
        </w:rPr>
        <w:t>[bl. 4(2) and (3)]</w:t>
      </w:r>
    </w:p>
    <w:p>
      <w:pPr>
        <w:pStyle w:val="yFootnoteheading"/>
        <w:spacing w:after="120"/>
      </w:pPr>
      <w:r>
        <w:tab/>
        <w:t>[Heading inserted in Gazette 30 Aug 2013 p. 4099-100.]</w:t>
      </w:r>
    </w:p>
    <w:p>
      <w:pPr>
        <w:pStyle w:val="yHeading3"/>
      </w:pPr>
      <w:bookmarkStart w:id="31" w:name="_Toc381691696"/>
      <w:r>
        <w:rPr>
          <w:rStyle w:val="CharSDivNo"/>
        </w:rPr>
        <w:t>Division 1</w:t>
      </w:r>
      <w:r>
        <w:rPr>
          <w:b w:val="0"/>
        </w:rPr>
        <w:t> — </w:t>
      </w:r>
      <w:r>
        <w:rPr>
          <w:rStyle w:val="CharSDivText"/>
        </w:rPr>
        <w:t>Street lighting</w:t>
      </w:r>
      <w:bookmarkEnd w:id="31"/>
    </w:p>
    <w:p>
      <w:pPr>
        <w:pStyle w:val="yFootnoteheading"/>
        <w:spacing w:after="120"/>
      </w:pPr>
      <w:r>
        <w:tab/>
        <w:t>[Heading inserted in Gazette 30 Aug 2013 p. 4099.]</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z w:val="16"/>
                <w:szCs w:val="16"/>
              </w:rPr>
              <w:t>Midnight switch</w:t>
            </w:r>
            <w:r>
              <w:rPr>
                <w:b/>
                <w:bCs/>
                <w:sz w:val="16"/>
                <w:szCs w:val="16"/>
              </w:rPr>
              <w:noBreakHyphen/>
              <w:t xml:space="preserve">off (obsolescent) </w:t>
            </w:r>
            <w:r>
              <w:rPr>
                <w:b/>
                <w:bCs/>
                <w:sz w:val="16"/>
                <w:szCs w:val="16"/>
              </w:rPr>
              <w:br/>
              <w:t>Cents per day</w:t>
            </w:r>
          </w:p>
        </w:tc>
        <w:tc>
          <w:tcPr>
            <w:tcW w:w="1512" w:type="dxa"/>
            <w:tcBorders>
              <w:top w:val="single" w:sz="4" w:space="0" w:color="auto"/>
              <w:bottom w:val="single" w:sz="4" w:space="0" w:color="auto"/>
            </w:tcBorders>
          </w:tcPr>
          <w:p>
            <w:pPr>
              <w:pStyle w:val="yTableNAm"/>
            </w:pPr>
            <w:r>
              <w:rPr>
                <w:b/>
                <w:bCs/>
                <w:sz w:val="16"/>
                <w:szCs w:val="16"/>
              </w:rPr>
              <w:t>1.15 a.m. switch</w:t>
            </w:r>
            <w:r>
              <w:rPr>
                <w:b/>
                <w:bCs/>
                <w:sz w:val="16"/>
                <w:szCs w:val="16"/>
              </w:rPr>
              <w:noBreakHyphen/>
              <w:t>off Cents per day</w:t>
            </w:r>
          </w:p>
        </w:tc>
        <w:tc>
          <w:tcPr>
            <w:tcW w:w="1512" w:type="dxa"/>
            <w:tcBorders>
              <w:top w:val="single" w:sz="4" w:space="0" w:color="auto"/>
              <w:bottom w:val="single" w:sz="4" w:space="0" w:color="auto"/>
            </w:tcBorders>
          </w:tcPr>
          <w:p>
            <w:pPr>
              <w:pStyle w:val="yTableNAm"/>
            </w:pPr>
            <w:r>
              <w:rPr>
                <w:b/>
                <w:bCs/>
                <w:sz w:val="16"/>
                <w:szCs w:val="16"/>
              </w:rPr>
              <w:t>Dawn switch</w:t>
            </w:r>
            <w:r>
              <w:rPr>
                <w:b/>
                <w:bCs/>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7088" w:type="dxa"/>
            <w:gridSpan w:val="6"/>
          </w:tcPr>
          <w:p>
            <w:pPr>
              <w:pStyle w:val="yTableNAm"/>
            </w:pPr>
            <w:r>
              <w:rPr>
                <w:b/>
                <w:i/>
                <w:iCs/>
                <w:sz w:val="16"/>
                <w:szCs w:val="16"/>
              </w:rPr>
              <w:t>Street lighting for existing services only</w:t>
            </w:r>
          </w:p>
        </w:tc>
      </w:tr>
      <w:tr>
        <w:trPr>
          <w:cantSplit/>
        </w:trPr>
        <w:tc>
          <w:tcPr>
            <w:tcW w:w="709"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[Division 1 inserted in Gazette 14 Jun 2013 p. 2220-2.]</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yHeading3"/>
        <w:spacing w:before="0"/>
      </w:pPr>
      <w:bookmarkStart w:id="32" w:name="_Toc381691697"/>
      <w:r>
        <w:rPr>
          <w:rStyle w:val="CharSDivNo"/>
        </w:rPr>
        <w:t>Division 2</w:t>
      </w:r>
      <w:r>
        <w:rPr>
          <w:b w:val="0"/>
        </w:rPr>
        <w:t> — </w:t>
      </w:r>
      <w:r>
        <w:rPr>
          <w:rStyle w:val="CharSDivText"/>
        </w:rPr>
        <w:t>Miscellaneous</w:t>
      </w:r>
      <w:bookmarkEnd w:id="32"/>
    </w:p>
    <w:p>
      <w:pPr>
        <w:pStyle w:val="yFootnoteheading"/>
        <w:spacing w:after="120"/>
      </w:pPr>
      <w:r>
        <w:tab/>
        <w:t>[Heading inserted in Gazette 30 Aug 2013 p. 4099.]</w:t>
      </w:r>
    </w:p>
    <w:p>
      <w:pPr>
        <w:pStyle w:val="yHeading5"/>
      </w:pPr>
      <w:bookmarkStart w:id="33" w:name="_Toc381691698"/>
      <w:r>
        <w:rPr>
          <w:rStyle w:val="CharSClsNo"/>
        </w:rPr>
        <w:t>1</w:t>
      </w:r>
      <w:r>
        <w:t>.</w:t>
      </w:r>
      <w:r>
        <w:tab/>
        <w:t>Traffic light installation</w:t>
      </w:r>
      <w:bookmarkEnd w:id="33"/>
    </w:p>
    <w:p>
      <w:pPr>
        <w:pStyle w:val="ySubsection"/>
      </w:pPr>
      <w:r>
        <w:tab/>
      </w:r>
      <w:r>
        <w:tab/>
        <w:t>Supply of electricity to traffic light installations comprises a charge of $6.0804 (being $5.5120 plus the carbon component) per day per KW of installed wattage.</w:t>
      </w:r>
    </w:p>
    <w:p>
      <w:pPr>
        <w:pStyle w:val="yFootnotesection"/>
      </w:pPr>
      <w:r>
        <w:tab/>
        <w:t>[Clause 1 inserted in Gazette 30 Aug 2013 p. 4099.]</w:t>
      </w:r>
    </w:p>
    <w:p>
      <w:pPr>
        <w:pStyle w:val="yHeading5"/>
      </w:pPr>
      <w:bookmarkStart w:id="34" w:name="_Toc381691699"/>
      <w:r>
        <w:rPr>
          <w:rStyle w:val="CharSClsNo"/>
        </w:rPr>
        <w:t>2</w:t>
      </w:r>
      <w:r>
        <w:t>.</w:t>
      </w:r>
      <w:r>
        <w:tab/>
        <w:t>Public telephone facility</w:t>
      </w:r>
      <w:bookmarkEnd w:id="34"/>
    </w:p>
    <w:p>
      <w:pPr>
        <w:pStyle w:val="ySubsection"/>
      </w:pPr>
      <w:r>
        <w:tab/>
      </w:r>
      <w:r>
        <w:tab/>
        <w:t>Supply of electricity to a standard public telephone facility where supply is not independently metered comprises a charge of 50.9297 cents (being 47.9717 cents plus the carbon component) per day.</w:t>
      </w:r>
    </w:p>
    <w:p>
      <w:pPr>
        <w:pStyle w:val="yFootnotesection"/>
      </w:pPr>
      <w:r>
        <w:tab/>
        <w:t>[Clause 2 inserted in Gazette 30 Aug 2013 p. 4100.]</w:t>
      </w:r>
    </w:p>
    <w:p>
      <w:pPr>
        <w:pStyle w:val="yHeading5"/>
      </w:pPr>
      <w:bookmarkStart w:id="35" w:name="_Toc381691700"/>
      <w:r>
        <w:rPr>
          <w:rStyle w:val="CharSClsNo"/>
        </w:rPr>
        <w:t>3</w:t>
      </w:r>
      <w:r>
        <w:t>.</w:t>
      </w:r>
      <w:r>
        <w:tab/>
        <w:t>Railway crossing</w:t>
      </w:r>
      <w:bookmarkEnd w:id="35"/>
    </w:p>
    <w:p>
      <w:pPr>
        <w:pStyle w:val="ySubsection"/>
      </w:pPr>
      <w:r>
        <w:tab/>
      </w:r>
      <w:r>
        <w:tab/>
        <w:t>Supply of electricity to standard railway crossing lights comprises a charge of 62.6165 cents (being 61.3044 cents plus the carbon component) per day.</w:t>
      </w:r>
    </w:p>
    <w:p>
      <w:pPr>
        <w:pStyle w:val="yFootnotesection"/>
      </w:pPr>
      <w:r>
        <w:tab/>
        <w:t>[Clause 3 inserted in Gazette 30 Aug 2013 p. 4100.]</w:t>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6" w:name="_Toc381691701"/>
      <w:r>
        <w:rPr>
          <w:rStyle w:val="CharSchNo"/>
        </w:rPr>
        <w:t>Schedule 3</w:t>
      </w:r>
      <w:r>
        <w:rPr>
          <w:rStyle w:val="CharSDivNo"/>
        </w:rPr>
        <w:t> </w:t>
      </w:r>
      <w:r>
        <w:t>—</w:t>
      </w:r>
      <w:r>
        <w:rPr>
          <w:rStyle w:val="CharSDivText"/>
        </w:rPr>
        <w:t> </w:t>
      </w:r>
      <w:r>
        <w:rPr>
          <w:rStyle w:val="CharSchText"/>
        </w:rPr>
        <w:t>Meter rental</w:t>
      </w:r>
      <w:bookmarkEnd w:id="36"/>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7" w:name="_Toc381691702"/>
      <w:r>
        <w:rPr>
          <w:rStyle w:val="CharSchNo"/>
        </w:rPr>
        <w:t>Schedule 4</w:t>
      </w:r>
      <w:r>
        <w:rPr>
          <w:rStyle w:val="CharSDivNo"/>
        </w:rPr>
        <w:t> </w:t>
      </w:r>
      <w:r>
        <w:t>—</w:t>
      </w:r>
      <w:r>
        <w:rPr>
          <w:rStyle w:val="CharSDivText"/>
        </w:rPr>
        <w:t> </w:t>
      </w:r>
      <w:r>
        <w:rPr>
          <w:rStyle w:val="CharSchText"/>
        </w:rPr>
        <w:t>Fees</w:t>
      </w:r>
      <w:bookmarkEnd w:id="37"/>
    </w:p>
    <w:p>
      <w:pPr>
        <w:pStyle w:val="yShoulderClause"/>
        <w:spacing w:before="60"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 30 Aug 2013 p. 4100.]</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9"/>
          <w:headerReference w:type="default" r:id="rId40"/>
          <w:endnotePr>
            <w:numFmt w:val="decimal"/>
          </w:endnotePr>
          <w:pgSz w:w="11906" w:h="16838" w:code="9"/>
          <w:pgMar w:top="2376" w:right="2405" w:bottom="3542" w:left="2405" w:header="706" w:footer="3380" w:gutter="0"/>
          <w:cols w:space="720"/>
          <w:noEndnote/>
          <w:docGrid w:linePitch="326"/>
        </w:sectPr>
      </w:pPr>
    </w:p>
    <w:p>
      <w:pPr>
        <w:pStyle w:val="nHeading2"/>
      </w:pPr>
      <w:bookmarkStart w:id="38" w:name="_Toc381691703"/>
      <w:r>
        <w:t>Notes</w:t>
      </w:r>
      <w:bookmarkEnd w:id="3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14 March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Energy Operators (Electricity Generation and Retail Corporation) (Charges) By-laws 2006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39" w:name="_Toc381691704"/>
      <w:r>
        <w:t>Compilation table</w:t>
      </w:r>
      <w:bookmarkEnd w:id="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r>
              <w:rPr>
                <w:i/>
                <w:sz w:val="19"/>
                <w:vertAlign w:val="superscript"/>
              </w:rPr>
              <w:t> </w:t>
            </w:r>
            <w:r>
              <w:rPr>
                <w:sz w:val="19"/>
                <w:vertAlign w:val="superscript"/>
              </w:rPr>
              <w:t>2</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4"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4"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4"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4"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8"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4"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4" w:type="dxa"/>
          </w:tcPr>
          <w:p>
            <w:pPr>
              <w:pStyle w:val="nTable"/>
              <w:spacing w:after="40"/>
              <w:rPr>
                <w:sz w:val="19"/>
              </w:rPr>
            </w:pPr>
            <w:r>
              <w:rPr>
                <w:sz w:val="19"/>
              </w:rPr>
              <w:t>bl. 1 and 2: 24 Jun 2011 (see bl. 2(a));</w:t>
            </w:r>
            <w:r>
              <w:rPr>
                <w:sz w:val="19"/>
              </w:rPr>
              <w:br/>
              <w:t>By-laws other than bl. 1 and 2: 1 Jul 2011 (see bl. 2(b))</w:t>
            </w:r>
          </w:p>
        </w:tc>
      </w:tr>
      <w:tr>
        <w:tc>
          <w:tcPr>
            <w:tcW w:w="7088"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4" w:type="dxa"/>
          </w:tcPr>
          <w:p>
            <w:pPr>
              <w:pStyle w:val="nTable"/>
              <w:spacing w:after="40"/>
              <w:rPr>
                <w:sz w:val="19"/>
              </w:rPr>
            </w:pPr>
            <w:r>
              <w:rPr>
                <w:sz w:val="19"/>
              </w:rPr>
              <w:t>bl. 1 and 2: 29 Jun 2012 (see bl. 2(a));</w:t>
            </w:r>
            <w:r>
              <w:rPr>
                <w:sz w:val="19"/>
              </w:rPr>
              <w:br/>
              <w:t>By-laws other than bl. 1 and 2: 1 Jul 2012 (see bl. 2(b))</w:t>
            </w:r>
          </w:p>
        </w:tc>
      </w:tr>
      <w:tr>
        <w:trPr>
          <w:cantSplit/>
        </w:trP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4"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4"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4" w:type="dxa"/>
          </w:tcPr>
          <w:p>
            <w:pPr>
              <w:pStyle w:val="nTable"/>
              <w:spacing w:after="40"/>
              <w:rPr>
                <w:sz w:val="19"/>
              </w:rPr>
            </w:pPr>
            <w:r>
              <w:rPr>
                <w:sz w:val="19"/>
              </w:rPr>
              <w:t>bl. 1 and 2: 30 Aug 2013 (see bl. 2(a));</w:t>
            </w:r>
            <w:r>
              <w:rPr>
                <w:sz w:val="19"/>
              </w:rPr>
              <w:br/>
              <w:t>By-laws other than bl. 1 and 2: 1 Sep 2013 (see bl. 2(b))</w:t>
            </w:r>
          </w:p>
        </w:tc>
      </w:tr>
      <w:tr>
        <w:tc>
          <w:tcPr>
            <w:tcW w:w="3118" w:type="dxa"/>
            <w:shd w:val="clear" w:color="auto" w:fill="auto"/>
          </w:tcPr>
          <w:p>
            <w:pPr>
              <w:pStyle w:val="nTable"/>
              <w:spacing w:after="40"/>
              <w:rPr>
                <w:i/>
                <w:sz w:val="19"/>
              </w:rPr>
            </w:pPr>
            <w:r>
              <w:rPr>
                <w:i/>
                <w:sz w:val="19"/>
              </w:rPr>
              <w:t>Electricity Corporations (Consequential Amendments) Regulations 2013</w:t>
            </w:r>
            <w:r>
              <w:rPr>
                <w:sz w:val="19"/>
              </w:rPr>
              <w:t xml:space="preserve"> r. 12</w:t>
            </w:r>
          </w:p>
        </w:tc>
        <w:tc>
          <w:tcPr>
            <w:tcW w:w="1276" w:type="dxa"/>
            <w:shd w:val="clear" w:color="auto" w:fill="auto"/>
          </w:tcPr>
          <w:p>
            <w:pPr>
              <w:pStyle w:val="nTable"/>
              <w:spacing w:after="40"/>
              <w:rPr>
                <w:sz w:val="19"/>
              </w:rPr>
            </w:pPr>
            <w:r>
              <w:rPr>
                <w:sz w:val="19"/>
              </w:rPr>
              <w:t>27 Dec 2013 p. 6469-79</w:t>
            </w:r>
          </w:p>
        </w:tc>
        <w:tc>
          <w:tcPr>
            <w:tcW w:w="2694" w:type="dxa"/>
            <w:shd w:val="clear" w:color="auto" w:fill="auto"/>
          </w:tcPr>
          <w:p>
            <w:pPr>
              <w:pStyle w:val="nTable"/>
              <w:spacing w:after="40"/>
              <w:rPr>
                <w:sz w:val="19"/>
              </w:rPr>
            </w:pPr>
            <w:r>
              <w:rPr>
                <w:sz w:val="19"/>
              </w:rPr>
              <w:t xml:space="preserve">1 Jan 2014 (see r. 2(c) and </w:t>
            </w:r>
            <w:r>
              <w:rPr>
                <w:i/>
                <w:sz w:val="19"/>
              </w:rPr>
              <w:t>Gazette</w:t>
            </w:r>
            <w:r>
              <w:rPr>
                <w:sz w:val="19"/>
              </w:rPr>
              <w:t xml:space="preserve"> 27 Dec 2013 p. 6465)</w:t>
            </w:r>
          </w:p>
        </w:tc>
      </w:tr>
      <w:tr>
        <w:tc>
          <w:tcPr>
            <w:tcW w:w="7088" w:type="dxa"/>
            <w:gridSpan w:val="3"/>
            <w:tcBorders>
              <w:bottom w:val="single" w:sz="8" w:space="0" w:color="auto"/>
            </w:tcBorders>
            <w:shd w:val="clear" w:color="auto" w:fill="auto"/>
          </w:tcPr>
          <w:p>
            <w:pPr>
              <w:pStyle w:val="nTable"/>
              <w:spacing w:after="40"/>
              <w:rPr>
                <w:sz w:val="19"/>
              </w:rPr>
            </w:pPr>
            <w:r>
              <w:rPr>
                <w:b/>
                <w:bCs/>
                <w:sz w:val="19"/>
              </w:rPr>
              <w:t xml:space="preserve">Reprint 3: </w:t>
            </w:r>
            <w:r>
              <w:rPr>
                <w:b/>
                <w:bCs/>
                <w:sz w:val="19"/>
                <w:szCs w:val="19"/>
              </w:rPr>
              <w:t xml:space="preserve">The </w:t>
            </w:r>
            <w:r>
              <w:rPr>
                <w:b/>
                <w:i/>
                <w:noProof/>
                <w:snapToGrid w:val="0"/>
                <w:sz w:val="19"/>
                <w:szCs w:val="19"/>
              </w:rPr>
              <w:t xml:space="preserve">Energy Operators (Electricity </w:t>
            </w:r>
            <w:r>
              <w:rPr>
                <w:b/>
                <w:i/>
                <w:sz w:val="19"/>
                <w:szCs w:val="19"/>
              </w:rPr>
              <w:t>Generation and</w:t>
            </w:r>
            <w:r>
              <w:rPr>
                <w:b/>
                <w:i/>
                <w:noProof/>
                <w:snapToGrid w:val="0"/>
                <w:sz w:val="19"/>
                <w:szCs w:val="19"/>
              </w:rPr>
              <w:t xml:space="preserve"> Retail Corporation) (Charges) By-laws 2006</w:t>
            </w:r>
            <w:r>
              <w:rPr>
                <w:b/>
                <w:bCs/>
                <w:sz w:val="19"/>
                <w:szCs w:val="19"/>
              </w:rPr>
              <w:t xml:space="preserve"> a</w:t>
            </w:r>
            <w:r>
              <w:rPr>
                <w:b/>
                <w:bCs/>
                <w:sz w:val="19"/>
              </w:rPr>
              <w:t>s at 14 Mar 2014</w:t>
            </w:r>
            <w:r>
              <w:rPr>
                <w:sz w:val="19"/>
              </w:rPr>
              <w:t xml:space="preserve"> (includes amendments listed above)</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0" w:name="_Toc381691705"/>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carbon component</w:t>
      </w:r>
      <w:r>
        <w:tab/>
        <w:t>3</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44"/>
          <w:headerReference w:type="default" r:id="rId45"/>
          <w:footerReference w:type="even" r:id="rId46"/>
          <w:footerReference w:type="default" r:id="rId47"/>
          <w:headerReference w:type="first" r:id="rId48"/>
          <w:footerReference w:type="first" r:id="rId49"/>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27</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4101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11.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image" Target="media/image5.png"/><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6846</Words>
  <Characters>34167</Characters>
  <Application>Microsoft Office Word</Application>
  <DocSecurity>0</DocSecurity>
  <Lines>1366</Lines>
  <Paragraphs>804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2006 - 03-00-00</dc:title>
  <dc:subject/>
  <dc:creator/>
  <cp:keywords/>
  <dc:description/>
  <cp:lastModifiedBy>svcMRProcess</cp:lastModifiedBy>
  <cp:revision>4</cp:revision>
  <cp:lastPrinted>2014-03-19T07:03:00Z</cp:lastPrinted>
  <dcterms:created xsi:type="dcterms:W3CDTF">2020-03-07T18:50:00Z</dcterms:created>
  <dcterms:modified xsi:type="dcterms:W3CDTF">2020-03-07T18:50:00Z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20140314</vt:lpwstr>
  </property>
  <property fmtid="{D5CDD505-2E9C-101B-9397-08002B2CF9AE}" pid="4" name="OwlsUID">
    <vt:i4>38407</vt:i4>
  </property>
  <property fmtid="{D5CDD505-2E9C-101B-9397-08002B2CF9AE}" pid="5" name="AsAtDate">
    <vt:lpwstr>14 Mar 2014</vt:lpwstr>
  </property>
  <property fmtid="{D5CDD505-2E9C-101B-9397-08002B2CF9AE}" pid="6" name="Suffix">
    <vt:lpwstr>03-00-00</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2014-03-13T16:00:00Z</vt:filetime>
  </property>
</Properties>
</file>