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Transfer of Land Act 1893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IA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_Toc383511319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Repeals and savings</w:t>
      </w:r>
      <w:r>
        <w:tab/>
      </w:r>
      <w:r>
        <w:fldChar w:fldCharType="begin"/>
      </w:r>
      <w:r>
        <w:instrText xml:space="preserve"> PAGEREF _Toc383511320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other laws etc. and this Act</w:t>
      </w:r>
      <w:r>
        <w:tab/>
      </w:r>
      <w:r>
        <w:fldChar w:fldCharType="begin"/>
      </w:r>
      <w:r>
        <w:instrText xml:space="preserve"> PAGEREF _Toc383511321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application of Act to Crown land</w:t>
      </w:r>
      <w:r>
        <w:tab/>
      </w:r>
      <w:r>
        <w:fldChar w:fldCharType="begin"/>
      </w:r>
      <w:r>
        <w:instrText xml:space="preserve"> PAGEREF _Toc383511322 \h </w:instrText>
      </w:r>
      <w:r>
        <w:fldChar w:fldCharType="separate"/>
      </w:r>
      <w:r>
        <w:t>3</w:t>
      </w:r>
      <w:r>
        <w:fldChar w:fldCharType="end"/>
      </w:r>
    </w:p>
    <w:p>
      <w:pPr>
        <w:pStyle w:val="TOC8"/>
        <w:rPr>
          <w:rFonts w:asciiTheme="minorHAnsi" w:eastAsiaTheme="minorEastAsia" w:hAnsiTheme="minorHAnsi" w:cstheme="minorBidi"/>
          <w:szCs w:val="22"/>
        </w:rPr>
      </w:pPr>
      <w:r>
        <w:t>4A.</w:t>
      </w:r>
      <w:r>
        <w:tab/>
        <w:t>Sections of this Act that do not apply to Crown land</w:t>
      </w:r>
      <w:r>
        <w:tab/>
      </w:r>
      <w:r>
        <w:fldChar w:fldCharType="begin"/>
      </w:r>
      <w:r>
        <w:instrText xml:space="preserve"> PAGEREF _Toc383511323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I — Officers</w:t>
      </w:r>
    </w:p>
    <w:p>
      <w:pPr>
        <w:pStyle w:val="TOC8"/>
        <w:rPr>
          <w:rFonts w:asciiTheme="minorHAnsi" w:eastAsiaTheme="minorEastAsia" w:hAnsiTheme="minorHAnsi" w:cstheme="minorBidi"/>
          <w:szCs w:val="22"/>
        </w:rPr>
      </w:pPr>
      <w:r>
        <w:t>5.</w:t>
      </w:r>
      <w:r>
        <w:tab/>
        <w:t>Commissioner of Titles</w:t>
      </w:r>
      <w:r>
        <w:tab/>
      </w:r>
      <w:r>
        <w:fldChar w:fldCharType="begin"/>
      </w:r>
      <w:r>
        <w:instrText xml:space="preserve"> PAGEREF _Toc383511325 \h </w:instrText>
      </w:r>
      <w:r>
        <w:fldChar w:fldCharType="separate"/>
      </w:r>
      <w:r>
        <w:t>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Commissioner of Titles</w:t>
      </w:r>
      <w:r>
        <w:tab/>
      </w:r>
      <w:r>
        <w:fldChar w:fldCharType="begin"/>
      </w:r>
      <w:r>
        <w:instrText xml:space="preserve"> PAGEREF _Toc383511326 \h </w:instrText>
      </w:r>
      <w:r>
        <w:fldChar w:fldCharType="separate"/>
      </w:r>
      <w:r>
        <w:t>11</w:t>
      </w:r>
      <w:r>
        <w:fldChar w:fldCharType="end"/>
      </w:r>
    </w:p>
    <w:p>
      <w:pPr>
        <w:pStyle w:val="TOC8"/>
        <w:rPr>
          <w:rFonts w:asciiTheme="minorHAnsi" w:eastAsiaTheme="minorEastAsia" w:hAnsiTheme="minorHAnsi" w:cstheme="minorBidi"/>
          <w:szCs w:val="22"/>
        </w:rPr>
      </w:pPr>
      <w:r>
        <w:t>7.</w:t>
      </w:r>
      <w:r>
        <w:tab/>
        <w:t>Registrar of Titles</w:t>
      </w:r>
      <w:r>
        <w:tab/>
      </w:r>
      <w:r>
        <w:fldChar w:fldCharType="begin"/>
      </w:r>
      <w:r>
        <w:instrText xml:space="preserve"> PAGEREF _Toc383511327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Offices of Commissioner and Registrar may be held by one person</w:t>
      </w:r>
      <w:r>
        <w:tab/>
      </w:r>
      <w:r>
        <w:fldChar w:fldCharType="begin"/>
      </w:r>
      <w:r>
        <w:instrText xml:space="preserve"> PAGEREF _Toc383511328 \h </w:instrText>
      </w:r>
      <w:r>
        <w:fldChar w:fldCharType="separate"/>
      </w:r>
      <w:r>
        <w:t>13</w:t>
      </w:r>
      <w:r>
        <w:fldChar w:fldCharType="end"/>
      </w:r>
    </w:p>
    <w:p>
      <w:pPr>
        <w:pStyle w:val="TOC8"/>
        <w:rPr>
          <w:rFonts w:asciiTheme="minorHAnsi" w:eastAsiaTheme="minorEastAsia" w:hAnsiTheme="minorHAnsi" w:cstheme="minorBidi"/>
          <w:szCs w:val="22"/>
        </w:rPr>
      </w:pPr>
      <w:r>
        <w:t>8.</w:t>
      </w:r>
      <w:r>
        <w:tab/>
        <w:t>Examiner of Titles, Assistant Registrar of Titles</w:t>
      </w:r>
      <w:r>
        <w:tab/>
      </w:r>
      <w:r>
        <w:fldChar w:fldCharType="begin"/>
      </w:r>
      <w:r>
        <w:instrText xml:space="preserve"> PAGEREF _Toc383511329 \h </w:instrText>
      </w:r>
      <w:r>
        <w:fldChar w:fldCharType="separate"/>
      </w:r>
      <w:r>
        <w:t>13</w:t>
      </w:r>
      <w:r>
        <w:fldChar w:fldCharType="end"/>
      </w:r>
    </w:p>
    <w:p>
      <w:pPr>
        <w:pStyle w:val="TOC8"/>
        <w:rPr>
          <w:rFonts w:asciiTheme="minorHAnsi" w:eastAsiaTheme="minorEastAsia" w:hAnsiTheme="minorHAnsi" w:cstheme="minorBidi"/>
          <w:szCs w:val="22"/>
        </w:rPr>
      </w:pPr>
      <w:r>
        <w:t>8A.</w:t>
      </w:r>
      <w:r>
        <w:tab/>
        <w:t>Designating statutory officers, generally</w:t>
      </w:r>
      <w:r>
        <w:tab/>
      </w:r>
      <w:r>
        <w:fldChar w:fldCharType="begin"/>
      </w:r>
      <w:r>
        <w:instrText xml:space="preserve"> PAGEREF _Toc383511330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Certain signatures to be judicially noticed</w:t>
      </w:r>
      <w:r>
        <w:tab/>
      </w:r>
      <w:r>
        <w:fldChar w:fldCharType="begin"/>
      </w:r>
      <w:r>
        <w:instrText xml:space="preserve"> PAGEREF _Toc383511331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Seal</w:t>
      </w:r>
      <w:r>
        <w:tab/>
      </w:r>
      <w:r>
        <w:fldChar w:fldCharType="begin"/>
      </w:r>
      <w:r>
        <w:instrText xml:space="preserve"> PAGEREF _Toc383511332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Assistant Registrar’s powers</w:t>
      </w:r>
      <w:r>
        <w:tab/>
      </w:r>
      <w:r>
        <w:fldChar w:fldCharType="begin"/>
      </w:r>
      <w:r>
        <w:instrText xml:space="preserve"> PAGEREF _Toc383511333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Commissioner and Examiner of Titles not to practise law</w:t>
      </w:r>
      <w:r>
        <w:tab/>
      </w:r>
      <w:r>
        <w:fldChar w:fldCharType="begin"/>
      </w:r>
      <w:r>
        <w:instrText xml:space="preserve"> PAGEREF _Toc383511334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Oaths of office</w:t>
      </w:r>
      <w:r>
        <w:tab/>
      </w:r>
      <w:r>
        <w:fldChar w:fldCharType="begin"/>
      </w:r>
      <w:r>
        <w:instrText xml:space="preserve"> PAGEREF _Toc383511335 \h </w:instrText>
      </w:r>
      <w:r>
        <w:fldChar w:fldCharType="separate"/>
      </w:r>
      <w:r>
        <w:t>16</w:t>
      </w:r>
      <w:r>
        <w:fldChar w:fldCharType="end"/>
      </w:r>
    </w:p>
    <w:p>
      <w:pPr>
        <w:pStyle w:val="TOC8"/>
        <w:rPr>
          <w:rFonts w:asciiTheme="minorHAnsi" w:eastAsiaTheme="minorEastAsia" w:hAnsiTheme="minorHAnsi" w:cstheme="minorBidi"/>
          <w:szCs w:val="22"/>
        </w:rPr>
      </w:pPr>
      <w:r>
        <w:t>14.</w:t>
      </w:r>
      <w:r>
        <w:tab/>
        <w:t>Digital signatures, entries etc. in parts of Register or in graphics that are in digital medium</w:t>
      </w:r>
      <w:r>
        <w:tab/>
      </w:r>
      <w:r>
        <w:fldChar w:fldCharType="begin"/>
      </w:r>
      <w:r>
        <w:instrText xml:space="preserve"> PAGEREF _Toc383511336 \h </w:instrText>
      </w:r>
      <w:r>
        <w:fldChar w:fldCharType="separate"/>
      </w:r>
      <w:r>
        <w:t>16</w:t>
      </w:r>
      <w:r>
        <w:fldChar w:fldCharType="end"/>
      </w:r>
    </w:p>
    <w:p>
      <w:pPr>
        <w:pStyle w:val="TOC8"/>
        <w:rPr>
          <w:rFonts w:asciiTheme="minorHAnsi" w:eastAsiaTheme="minorEastAsia" w:hAnsiTheme="minorHAnsi" w:cstheme="minorBidi"/>
          <w:szCs w:val="22"/>
        </w:rPr>
      </w:pPr>
      <w:r>
        <w:t>15.</w:t>
      </w:r>
      <w:r>
        <w:tab/>
        <w:t>Delegation by Commissioner</w:t>
      </w:r>
      <w:r>
        <w:tab/>
      </w:r>
      <w:r>
        <w:fldChar w:fldCharType="begin"/>
      </w:r>
      <w:r>
        <w:instrText xml:space="preserve"> PAGEREF _Toc383511337 \h </w:instrText>
      </w:r>
      <w:r>
        <w:fldChar w:fldCharType="separate"/>
      </w:r>
      <w:r>
        <w:t>17</w:t>
      </w:r>
      <w:r>
        <w:fldChar w:fldCharType="end"/>
      </w:r>
    </w:p>
    <w:p>
      <w:pPr>
        <w:pStyle w:val="TOC8"/>
        <w:rPr>
          <w:rFonts w:asciiTheme="minorHAnsi" w:eastAsiaTheme="minorEastAsia" w:hAnsiTheme="minorHAnsi" w:cstheme="minorBidi"/>
          <w:szCs w:val="22"/>
        </w:rPr>
      </w:pPr>
      <w:r>
        <w:t>15A.</w:t>
      </w:r>
      <w:r>
        <w:tab/>
        <w:t>Delegation by Registrar</w:t>
      </w:r>
      <w:r>
        <w:tab/>
      </w:r>
      <w:r>
        <w:fldChar w:fldCharType="begin"/>
      </w:r>
      <w:r>
        <w:instrText xml:space="preserve"> PAGEREF _Toc383511338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Rules relating to surveyors</w:t>
      </w:r>
      <w:r>
        <w:tab/>
      </w:r>
      <w:r>
        <w:fldChar w:fldCharType="begin"/>
      </w:r>
      <w:r>
        <w:instrText xml:space="preserve"> PAGEREF _Toc383511339 \h </w:instrText>
      </w:r>
      <w:r>
        <w:fldChar w:fldCharType="separate"/>
      </w:r>
      <w:r>
        <w:t>18</w:t>
      </w:r>
      <w:r>
        <w:fldChar w:fldCharType="end"/>
      </w:r>
    </w:p>
    <w:p>
      <w:pPr>
        <w:pStyle w:val="TOC8"/>
        <w:rPr>
          <w:rFonts w:asciiTheme="minorHAnsi" w:eastAsiaTheme="minorEastAsia" w:hAnsiTheme="minorHAnsi" w:cstheme="minorBidi"/>
          <w:szCs w:val="22"/>
        </w:rPr>
      </w:pPr>
      <w:r>
        <w:t>17.</w:t>
      </w:r>
      <w:r>
        <w:tab/>
        <w:t>Some of Minister for Lands’ functions under this Act may be performed by authorised officer</w:t>
      </w:r>
      <w:r>
        <w:tab/>
      </w:r>
      <w:r>
        <w:fldChar w:fldCharType="begin"/>
      </w:r>
      <w:r>
        <w:instrText xml:space="preserve"> PAGEREF _Toc383511340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II — Bringing land under the Act</w:t>
      </w:r>
    </w:p>
    <w:p>
      <w:pPr>
        <w:pStyle w:val="TOC8"/>
        <w:rPr>
          <w:rFonts w:asciiTheme="minorHAnsi" w:eastAsiaTheme="minorEastAsia" w:hAnsiTheme="minorHAnsi" w:cstheme="minorBidi"/>
          <w:szCs w:val="22"/>
        </w:rPr>
      </w:pPr>
      <w:r>
        <w:t>20</w:t>
      </w:r>
      <w:r>
        <w:rPr>
          <w:snapToGrid w:val="0"/>
        </w:rPr>
        <w:t>.</w:t>
      </w:r>
      <w:r>
        <w:rPr>
          <w:snapToGrid w:val="0"/>
        </w:rPr>
        <w:tab/>
        <w:t>Bringing lands alienated in fee before 1 July 1875 under this Act</w:t>
      </w:r>
      <w:r>
        <w:tab/>
      </w:r>
      <w:r>
        <w:fldChar w:fldCharType="begin"/>
      </w:r>
      <w:r>
        <w:instrText xml:space="preserve"> PAGEREF _Toc383511342 \h </w:instrText>
      </w:r>
      <w:r>
        <w:fldChar w:fldCharType="separate"/>
      </w:r>
      <w:r>
        <w:t>20</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Evidence and restrictions of requisitions</w:t>
      </w:r>
      <w:r>
        <w:tab/>
      </w:r>
      <w:r>
        <w:fldChar w:fldCharType="begin"/>
      </w:r>
      <w:r>
        <w:instrText xml:space="preserve"> PAGEREF _Toc383511343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application to be dealt with when no dealing has been registered</w:t>
      </w:r>
      <w:r>
        <w:tab/>
      </w:r>
      <w:r>
        <w:fldChar w:fldCharType="begin"/>
      </w:r>
      <w:r>
        <w:instrText xml:space="preserve"> PAGEREF _Toc383511344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How application to be dealt with when dealing has been registered</w:t>
      </w:r>
      <w:r>
        <w:tab/>
      </w:r>
      <w:r>
        <w:fldChar w:fldCharType="begin"/>
      </w:r>
      <w:r>
        <w:instrText xml:space="preserve"> PAGEREF _Toc383511345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Notice of application to bring land under this Act and rescission of previous directions on undue delay</w:t>
      </w:r>
      <w:r>
        <w:tab/>
      </w:r>
      <w:r>
        <w:fldChar w:fldCharType="begin"/>
      </w:r>
      <w:r>
        <w:instrText xml:space="preserve"> PAGEREF _Toc383511346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Person claiming title by possession to post notice of application on land</w:t>
      </w:r>
      <w:r>
        <w:tab/>
      </w:r>
      <w:r>
        <w:fldChar w:fldCharType="begin"/>
      </w:r>
      <w:r>
        <w:instrText xml:space="preserve"> PAGEREF _Toc383511347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Land to be brought under this Act unless caveat received</w:t>
      </w:r>
      <w:r>
        <w:tab/>
      </w:r>
      <w:r>
        <w:fldChar w:fldCharType="begin"/>
      </w:r>
      <w:r>
        <w:instrText xml:space="preserve"> PAGEREF _Toc383511348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occupied may be brought under this Act by different description from that in title on special application</w:t>
      </w:r>
      <w:r>
        <w:tab/>
      </w:r>
      <w:r>
        <w:fldChar w:fldCharType="begin"/>
      </w:r>
      <w:r>
        <w:instrText xml:space="preserve"> PAGEREF _Toc383511349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Applications to bring land under this Act or to amend certificate may be granted as to land occupied under but not described in title deeds or certificate</w:t>
      </w:r>
      <w:r>
        <w:tab/>
      </w:r>
      <w:r>
        <w:fldChar w:fldCharType="begin"/>
      </w:r>
      <w:r>
        <w:instrText xml:space="preserve"> PAGEREF _Toc383511350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Title may be given to excess of land occupied under Crown grant over land described in Crown grant</w:t>
      </w:r>
      <w:r>
        <w:tab/>
      </w:r>
      <w:r>
        <w:fldChar w:fldCharType="begin"/>
      </w:r>
      <w:r>
        <w:instrText xml:space="preserve"> PAGEREF _Toc383511351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Excess of land may be apportioned between different owners or proprietors</w:t>
      </w:r>
      <w:r>
        <w:tab/>
      </w:r>
      <w:r>
        <w:fldChar w:fldCharType="begin"/>
      </w:r>
      <w:r>
        <w:instrText xml:space="preserve"> PAGEREF _Toc383511352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Parties interested may lodge caveat</w:t>
      </w:r>
      <w:r>
        <w:tab/>
      </w:r>
      <w:r>
        <w:fldChar w:fldCharType="begin"/>
      </w:r>
      <w:r>
        <w:instrText xml:space="preserve"> PAGEREF _Toc383511353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If caveat received, proceedings suspended</w:t>
      </w:r>
      <w:r>
        <w:tab/>
      </w:r>
      <w:r>
        <w:fldChar w:fldCharType="begin"/>
      </w:r>
      <w:r>
        <w:instrText xml:space="preserve"> PAGEREF _Toc383511354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Caveat to lapse unless proceedings taken within one month</w:t>
      </w:r>
      <w:r>
        <w:tab/>
      </w:r>
      <w:r>
        <w:fldChar w:fldCharType="begin"/>
      </w:r>
      <w:r>
        <w:instrText xml:space="preserve"> PAGEREF _Toc383511355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Judge may require production of title deeds in support of application to bring land under this Act</w:t>
      </w:r>
      <w:r>
        <w:tab/>
      </w:r>
      <w:r>
        <w:fldChar w:fldCharType="begin"/>
      </w:r>
      <w:r>
        <w:instrText xml:space="preserve"> PAGEREF _Toc383511356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Applicant may withdraw application</w:t>
      </w:r>
      <w:r>
        <w:tab/>
      </w:r>
      <w:r>
        <w:fldChar w:fldCharType="begin"/>
      </w:r>
      <w:r>
        <w:instrText xml:space="preserve"> PAGEREF _Toc383511357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Documents of title</w:t>
      </w:r>
      <w:r>
        <w:tab/>
      </w:r>
      <w:r>
        <w:fldChar w:fldCharType="begin"/>
      </w:r>
      <w:r>
        <w:instrText xml:space="preserve"> PAGEREF _Toc383511358 \h </w:instrText>
      </w:r>
      <w:r>
        <w:fldChar w:fldCharType="separate"/>
      </w:r>
      <w:r>
        <w:t>29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Subsisting lease to be endorsed and returned</w:t>
      </w:r>
      <w:r>
        <w:tab/>
      </w:r>
      <w:r>
        <w:fldChar w:fldCharType="begin"/>
      </w:r>
      <w:r>
        <w:instrText xml:space="preserve"> PAGEREF _Toc383511359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Additional evidence to be scheduled</w:t>
      </w:r>
      <w:r>
        <w:tab/>
      </w:r>
      <w:r>
        <w:fldChar w:fldCharType="begin"/>
      </w:r>
      <w:r>
        <w:instrText xml:space="preserve"> PAGEREF _Toc383511360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Some certificates of title to issue in name of deceased person</w:t>
      </w:r>
      <w:r>
        <w:tab/>
      </w:r>
      <w:r>
        <w:fldChar w:fldCharType="begin"/>
      </w:r>
      <w:r>
        <w:instrText xml:space="preserve"> PAGEREF _Toc383511361 \h </w:instrText>
      </w:r>
      <w:r>
        <w:fldChar w:fldCharType="separate"/>
      </w:r>
      <w:r>
        <w:t>30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Registration of leaseholds</w:t>
      </w:r>
      <w:r>
        <w:tab/>
      </w:r>
      <w:r>
        <w:fldChar w:fldCharType="begin"/>
      </w:r>
      <w:r>
        <w:instrText xml:space="preserve"> PAGEREF _Toc383511362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Production of lease may be dispensed with on bringing land under this Act</w:t>
      </w:r>
      <w:r>
        <w:tab/>
      </w:r>
      <w:r>
        <w:fldChar w:fldCharType="begin"/>
      </w:r>
      <w:r>
        <w:instrText xml:space="preserve"> PAGEREF _Toc383511363 \h </w:instrText>
      </w:r>
      <w:r>
        <w:fldChar w:fldCharType="separate"/>
      </w:r>
      <w:r>
        <w:t>31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memorials to be sufficient evidence of conveyances in fee</w:t>
      </w:r>
      <w:r>
        <w:tab/>
      </w:r>
      <w:r>
        <w:fldChar w:fldCharType="begin"/>
      </w:r>
      <w:r>
        <w:instrText xml:space="preserve"> PAGEREF _Toc383511364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Commissioner may direct Registrar to bring land under this Act</w:t>
      </w:r>
      <w:r>
        <w:tab/>
      </w:r>
      <w:r>
        <w:fldChar w:fldCharType="begin"/>
      </w:r>
      <w:r>
        <w:instrText xml:space="preserve"> PAGEREF _Toc383511365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Title to land sold under order or decree may be deemed sufficient</w:t>
      </w:r>
      <w:r>
        <w:tab/>
      </w:r>
      <w:r>
        <w:fldChar w:fldCharType="begin"/>
      </w:r>
      <w:r>
        <w:instrText xml:space="preserve"> PAGEREF _Toc383511366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Formalities of order</w:t>
      </w:r>
      <w:r>
        <w:tab/>
      </w:r>
      <w:r>
        <w:fldChar w:fldCharType="begin"/>
      </w:r>
      <w:r>
        <w:instrText xml:space="preserve"> PAGEREF _Toc383511367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III — Certificates of titles and registration</w:t>
      </w:r>
    </w:p>
    <w:p>
      <w:pPr>
        <w:pStyle w:val="TOC8"/>
        <w:rPr>
          <w:rFonts w:asciiTheme="minorHAnsi" w:eastAsiaTheme="minorEastAsia" w:hAnsiTheme="minorHAnsi" w:cstheme="minorBidi"/>
          <w:szCs w:val="22"/>
        </w:rPr>
      </w:pPr>
      <w:r>
        <w:t>48</w:t>
      </w:r>
      <w:r>
        <w:rPr>
          <w:snapToGrid w:val="0"/>
        </w:rPr>
        <w:t>.</w:t>
      </w:r>
      <w:r>
        <w:rPr>
          <w:snapToGrid w:val="0"/>
        </w:rPr>
        <w:tab/>
        <w:t>Register</w:t>
      </w:r>
      <w:r>
        <w:tab/>
      </w:r>
      <w:r>
        <w:fldChar w:fldCharType="begin"/>
      </w:r>
      <w:r>
        <w:instrText xml:space="preserve"> PAGEREF _Toc383511369 \h </w:instrText>
      </w:r>
      <w:r>
        <w:fldChar w:fldCharType="separate"/>
      </w:r>
      <w:r>
        <w:t>34</w:t>
      </w:r>
      <w:r>
        <w:fldChar w:fldCharType="end"/>
      </w:r>
    </w:p>
    <w:p>
      <w:pPr>
        <w:pStyle w:val="TOC8"/>
        <w:rPr>
          <w:rFonts w:asciiTheme="minorHAnsi" w:eastAsiaTheme="minorEastAsia" w:hAnsiTheme="minorHAnsi" w:cstheme="minorBidi"/>
          <w:szCs w:val="22"/>
        </w:rPr>
      </w:pPr>
      <w:r>
        <w:rPr>
          <w:rFonts w:ascii="Times" w:hAnsi="Times"/>
        </w:rPr>
        <w:t>48A</w:t>
      </w:r>
      <w:r>
        <w:rPr>
          <w:rFonts w:ascii="Times" w:hAnsi="Times"/>
          <w:snapToGrid w:val="0"/>
        </w:rPr>
        <w:t>.</w:t>
      </w:r>
      <w:r>
        <w:rPr>
          <w:rFonts w:ascii="Times" w:hAnsi="Times"/>
          <w:snapToGrid w:val="0"/>
        </w:rPr>
        <w:tab/>
        <w:t>Certificates of title</w:t>
      </w:r>
      <w:r>
        <w:tab/>
      </w:r>
      <w:r>
        <w:fldChar w:fldCharType="begin"/>
      </w:r>
      <w:r>
        <w:instrText xml:space="preserve"> PAGEREF _Toc383511370 \h </w:instrText>
      </w:r>
      <w:r>
        <w:fldChar w:fldCharType="separate"/>
      </w:r>
      <w:r>
        <w:t>35</w:t>
      </w:r>
      <w:r>
        <w:fldChar w:fldCharType="end"/>
      </w:r>
    </w:p>
    <w:p>
      <w:pPr>
        <w:pStyle w:val="TOC8"/>
        <w:rPr>
          <w:rFonts w:asciiTheme="minorHAnsi" w:eastAsiaTheme="minorEastAsia" w:hAnsiTheme="minorHAnsi" w:cstheme="minorBidi"/>
          <w:szCs w:val="22"/>
        </w:rPr>
      </w:pPr>
      <w:r>
        <w:rPr>
          <w:rFonts w:ascii="Times" w:hAnsi="Times"/>
        </w:rPr>
        <w:t>48B</w:t>
      </w:r>
      <w:r>
        <w:rPr>
          <w:rFonts w:ascii="Times" w:hAnsi="Times"/>
          <w:snapToGrid w:val="0"/>
        </w:rPr>
        <w:t>.</w:t>
      </w:r>
      <w:r>
        <w:rPr>
          <w:rFonts w:ascii="Times" w:hAnsi="Times"/>
          <w:snapToGrid w:val="0"/>
        </w:rPr>
        <w:tab/>
        <w:t>Duplicate certificates of title</w:t>
      </w:r>
      <w:r>
        <w:tab/>
      </w:r>
      <w:r>
        <w:fldChar w:fldCharType="begin"/>
      </w:r>
      <w:r>
        <w:instrText xml:space="preserve"> PAGEREF _Toc383511371 \h </w:instrText>
      </w:r>
      <w:r>
        <w:fldChar w:fldCharType="separate"/>
      </w:r>
      <w:r>
        <w:t>36</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Symbols</w:t>
      </w:r>
      <w:r>
        <w:tab/>
      </w:r>
      <w:r>
        <w:fldChar w:fldCharType="begin"/>
      </w:r>
      <w:r>
        <w:instrText xml:space="preserve"> PAGEREF _Toc383511372 \h </w:instrText>
      </w:r>
      <w:r>
        <w:fldChar w:fldCharType="separate"/>
      </w:r>
      <w:r>
        <w:t>37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One certificate may be created for lands not contiguous</w:t>
      </w:r>
      <w:r>
        <w:tab/>
      </w:r>
      <w:r>
        <w:fldChar w:fldCharType="begin"/>
      </w:r>
      <w:r>
        <w:instrText xml:space="preserve"> PAGEREF _Toc383511373 \h </w:instrText>
      </w:r>
      <w:r>
        <w:fldChar w:fldCharType="separate"/>
      </w:r>
      <w:r>
        <w:t>37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Area of land need not be mentioned in certificate</w:t>
      </w:r>
      <w:r>
        <w:tab/>
      </w:r>
      <w:r>
        <w:fldChar w:fldCharType="begin"/>
      </w:r>
      <w:r>
        <w:instrText xml:space="preserve"> PAGEREF _Toc383511374 \h </w:instrText>
      </w:r>
      <w:r>
        <w:fldChar w:fldCharType="separate"/>
      </w:r>
      <w:r>
        <w:t>38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Registration of certificates of title and instruments</w:t>
      </w:r>
      <w:r>
        <w:tab/>
      </w:r>
      <w:r>
        <w:fldChar w:fldCharType="begin"/>
      </w:r>
      <w:r>
        <w:instrText xml:space="preserve"> PAGEREF _Toc383511375 \h </w:instrText>
      </w:r>
      <w:r>
        <w:fldChar w:fldCharType="separate"/>
      </w:r>
      <w:r>
        <w:t>38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Priority of registration of instruments</w:t>
      </w:r>
      <w:r>
        <w:tab/>
      </w:r>
      <w:r>
        <w:fldChar w:fldCharType="begin"/>
      </w:r>
      <w:r>
        <w:instrText xml:space="preserve"> PAGEREF _Toc383511376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Incorporation of terms etc. of certain memoranda</w:t>
      </w:r>
      <w:r>
        <w:tab/>
      </w:r>
      <w:r>
        <w:fldChar w:fldCharType="begin"/>
      </w:r>
      <w:r>
        <w:instrText xml:space="preserve"> PAGEREF _Toc383511377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Trusts</w:t>
      </w:r>
      <w:r>
        <w:tab/>
      </w:r>
      <w:r>
        <w:fldChar w:fldCharType="begin"/>
      </w:r>
      <w:r>
        <w:instrText xml:space="preserve"> PAGEREF _Toc383511378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Memorandum to state certain particulars</w:t>
      </w:r>
      <w:r>
        <w:tab/>
      </w:r>
      <w:r>
        <w:fldChar w:fldCharType="begin"/>
      </w:r>
      <w:r>
        <w:instrText xml:space="preserve"> PAGEREF _Toc383511379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Memoranda of instruments and endorsements</w:t>
      </w:r>
      <w:r>
        <w:tab/>
      </w:r>
      <w:r>
        <w:fldChar w:fldCharType="begin"/>
      </w:r>
      <w:r>
        <w:instrText xml:space="preserve"> PAGEREF _Toc383511380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Instruments not effectual until registered</w:t>
      </w:r>
      <w:r>
        <w:tab/>
      </w:r>
      <w:r>
        <w:fldChar w:fldCharType="begin"/>
      </w:r>
      <w:r>
        <w:instrText xml:space="preserve"> PAGEREF _Toc383511381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Notations as to legal disability of proprietor</w:t>
      </w:r>
      <w:r>
        <w:tab/>
      </w:r>
      <w:r>
        <w:fldChar w:fldCharType="begin"/>
      </w:r>
      <w:r>
        <w:instrText xml:space="preserve"> PAGEREF _Toc383511382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Joint tenants and tenants in common</w:t>
      </w:r>
      <w:r>
        <w:tab/>
      </w:r>
      <w:r>
        <w:fldChar w:fldCharType="begin"/>
      </w:r>
      <w:r>
        <w:instrText xml:space="preserve"> PAGEREF _Toc383511383 \h </w:instrText>
      </w:r>
      <w:r>
        <w:fldChar w:fldCharType="separate"/>
      </w:r>
      <w:r>
        <w:t>42</w:t>
      </w:r>
      <w:r>
        <w:fldChar w:fldCharType="end"/>
      </w:r>
    </w:p>
    <w:p>
      <w:pPr>
        <w:pStyle w:val="TOC8"/>
        <w:rPr>
          <w:rFonts w:asciiTheme="minorHAnsi" w:eastAsiaTheme="minorEastAsia" w:hAnsiTheme="minorHAnsi" w:cstheme="minorBidi"/>
          <w:szCs w:val="22"/>
        </w:rPr>
      </w:pPr>
      <w:r>
        <w:t>61.</w:t>
      </w:r>
      <w:r>
        <w:tab/>
      </w:r>
      <w:r>
        <w:rPr>
          <w:snapToGrid w:val="0"/>
        </w:rPr>
        <w:t>Effect of insertion of the words “no survivorship”</w:t>
      </w:r>
      <w:r>
        <w:tab/>
      </w:r>
      <w:r>
        <w:fldChar w:fldCharType="begin"/>
      </w:r>
      <w:r>
        <w:instrText xml:space="preserve"> PAGEREF _Toc383511384 \h </w:instrText>
      </w:r>
      <w:r>
        <w:fldChar w:fldCharType="separate"/>
      </w:r>
      <w:r>
        <w:t>42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to be published before effect is given to order</w:t>
      </w:r>
      <w:r>
        <w:tab/>
      </w:r>
      <w:r>
        <w:fldChar w:fldCharType="begin"/>
      </w:r>
      <w:r>
        <w:instrText xml:space="preserve"> PAGEREF _Toc383511385 \h </w:instrText>
      </w:r>
      <w:r>
        <w:fldChar w:fldCharType="separate"/>
      </w:r>
      <w:r>
        <w:t>43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Certificate to be conclusive evidence of title</w:t>
      </w:r>
      <w:r>
        <w:tab/>
      </w:r>
      <w:r>
        <w:fldChar w:fldCharType="begin"/>
      </w:r>
      <w:r>
        <w:instrText xml:space="preserve"> PAGEREF _Toc383511386 \h </w:instrText>
      </w:r>
      <w:r>
        <w:fldChar w:fldCharType="separate"/>
      </w:r>
      <w:r>
        <w:t>44</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Certificates may contain statement of easements</w:t>
      </w:r>
      <w:r>
        <w:tab/>
      </w:r>
      <w:r>
        <w:fldChar w:fldCharType="begin"/>
      </w:r>
      <w:r>
        <w:instrText xml:space="preserve"> PAGEREF _Toc383511387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Certificate conclusive evidence as to title to easements</w:t>
      </w:r>
      <w:r>
        <w:tab/>
      </w:r>
      <w:r>
        <w:fldChar w:fldCharType="begin"/>
      </w:r>
      <w:r>
        <w:instrText xml:space="preserve"> PAGEREF _Toc383511388 \h </w:instrText>
      </w:r>
      <w:r>
        <w:fldChar w:fldCharType="separate"/>
      </w:r>
      <w:r>
        <w:t>45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Short forms etc. for easements, effect of</w:t>
      </w:r>
      <w:r>
        <w:tab/>
      </w:r>
      <w:r>
        <w:fldChar w:fldCharType="begin"/>
      </w:r>
      <w:r>
        <w:instrText xml:space="preserve"> PAGEREF _Toc383511389 \h </w:instrText>
      </w:r>
      <w:r>
        <w:fldChar w:fldCharType="separate"/>
      </w:r>
      <w:r>
        <w:t>45</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Memorandum of easement</w:t>
      </w:r>
      <w:r>
        <w:tab/>
      </w:r>
      <w:r>
        <w:fldChar w:fldCharType="begin"/>
      </w:r>
      <w:r>
        <w:instrText xml:space="preserve"> PAGEREF _Toc383511390 \h </w:instrText>
      </w:r>
      <w:r>
        <w:fldChar w:fldCharType="separate"/>
      </w:r>
      <w:r>
        <w:t>46</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No separate certificate for easement</w:t>
      </w:r>
      <w:r>
        <w:tab/>
      </w:r>
      <w:r>
        <w:fldChar w:fldCharType="begin"/>
      </w:r>
      <w:r>
        <w:instrText xml:space="preserve"> PAGEREF _Toc383511391 \h </w:instrText>
      </w:r>
      <w:r>
        <w:fldChar w:fldCharType="separate"/>
      </w:r>
      <w:r>
        <w:t>47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Certificate conclusive evidence in suit for specific performance or action for damages</w:t>
      </w:r>
      <w:r>
        <w:tab/>
      </w:r>
      <w:r>
        <w:fldChar w:fldCharType="begin"/>
      </w:r>
      <w:r>
        <w:instrText xml:space="preserve"> PAGEREF _Toc383511392 \h </w:instrText>
      </w:r>
      <w:r>
        <w:fldChar w:fldCharType="separate"/>
      </w:r>
      <w:r>
        <w:t>47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Estate of registered proprietor paramount</w:t>
      </w:r>
      <w:r>
        <w:tab/>
      </w:r>
      <w:r>
        <w:fldChar w:fldCharType="begin"/>
      </w:r>
      <w:r>
        <w:instrText xml:space="preserve"> PAGEREF _Toc383511393 \h </w:instrText>
      </w:r>
      <w:r>
        <w:fldChar w:fldCharType="separate"/>
      </w:r>
      <w:r>
        <w:t>47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Certain easements and conditions to be noted as encumbrances</w:t>
      </w:r>
      <w:r>
        <w:tab/>
      </w:r>
      <w:r>
        <w:fldChar w:fldCharType="begin"/>
      </w:r>
      <w:r>
        <w:instrText xml:space="preserve"> PAGEREF _Toc383511394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Reversions expectant on leases</w:t>
      </w:r>
      <w:r>
        <w:tab/>
      </w:r>
      <w:r>
        <w:fldChar w:fldCharType="begin"/>
      </w:r>
      <w:r>
        <w:instrText xml:space="preserve"> PAGEREF _Toc383511395 \h </w:instrText>
      </w:r>
      <w:r>
        <w:fldChar w:fldCharType="separate"/>
      </w:r>
      <w:r>
        <w:t>50</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Factors affecting use and enjoyment of land, notification on title</w:t>
      </w:r>
      <w:r>
        <w:tab/>
      </w:r>
      <w:r>
        <w:fldChar w:fldCharType="begin"/>
      </w:r>
      <w:r>
        <w:instrText xml:space="preserve"> PAGEREF _Toc383511396 \h </w:instrText>
      </w:r>
      <w:r>
        <w:fldChar w:fldCharType="separate"/>
      </w:r>
      <w:r>
        <w:t>51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Single certificate may be created instead of separate ones</w:t>
      </w:r>
      <w:r>
        <w:tab/>
      </w:r>
      <w:r>
        <w:fldChar w:fldCharType="begin"/>
      </w:r>
      <w:r>
        <w:instrText xml:space="preserve"> PAGEREF _Toc383511397 \h </w:instrText>
      </w:r>
      <w:r>
        <w:fldChar w:fldCharType="separate"/>
      </w:r>
      <w:r>
        <w:t>52</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Separate certificates may be created instead of single one</w:t>
      </w:r>
      <w:r>
        <w:tab/>
      </w:r>
      <w:r>
        <w:fldChar w:fldCharType="begin"/>
      </w:r>
      <w:r>
        <w:instrText xml:space="preserve"> PAGEREF _Toc383511398 \h </w:instrText>
      </w:r>
      <w:r>
        <w:fldChar w:fldCharType="separate"/>
      </w:r>
      <w:r>
        <w:t>52</w:t>
      </w:r>
      <w:r>
        <w:fldChar w:fldCharType="end"/>
      </w:r>
    </w:p>
    <w:p>
      <w:pPr>
        <w:pStyle w:val="TOC8"/>
        <w:rPr>
          <w:rFonts w:asciiTheme="minorHAnsi" w:eastAsiaTheme="minorEastAsia" w:hAnsiTheme="minorHAnsi" w:cstheme="minorBidi"/>
          <w:szCs w:val="22"/>
        </w:rPr>
      </w:pPr>
      <w:r>
        <w:t>71B</w:t>
      </w:r>
      <w:r>
        <w:rPr>
          <w:snapToGrid w:val="0"/>
        </w:rPr>
        <w:t>.</w:t>
      </w:r>
      <w:r>
        <w:rPr>
          <w:snapToGrid w:val="0"/>
        </w:rPr>
        <w:tab/>
        <w:t>Replacing duplicate certificates of title</w:t>
      </w:r>
      <w:r>
        <w:tab/>
      </w:r>
      <w:r>
        <w:fldChar w:fldCharType="begin"/>
      </w:r>
      <w:r>
        <w:instrText xml:space="preserve"> PAGEREF _Toc383511399 \h </w:instrText>
      </w:r>
      <w:r>
        <w:fldChar w:fldCharType="separate"/>
      </w:r>
      <w:r>
        <w:t>53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History of dealings to be preserved</w:t>
      </w:r>
      <w:r>
        <w:tab/>
      </w:r>
      <w:r>
        <w:fldChar w:fldCharType="begin"/>
      </w:r>
      <w:r>
        <w:instrText xml:space="preserve"> PAGEREF _Toc383511400 \h </w:instrText>
      </w:r>
      <w:r>
        <w:fldChar w:fldCharType="separate"/>
      </w:r>
      <w:r>
        <w:t>53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Duplicate may be dispensed with in certain cases</w:t>
      </w:r>
      <w:r>
        <w:tab/>
      </w:r>
      <w:r>
        <w:fldChar w:fldCharType="begin"/>
      </w:r>
      <w:r>
        <w:instrText xml:space="preserve"> PAGEREF _Toc383511401 \h </w:instrText>
      </w:r>
      <w:r>
        <w:fldChar w:fldCharType="separate"/>
      </w:r>
      <w:r>
        <w:t>54</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Substitute certificates of title</w:t>
      </w:r>
      <w:r>
        <w:tab/>
      </w:r>
      <w:r>
        <w:fldChar w:fldCharType="begin"/>
      </w:r>
      <w:r>
        <w:instrText xml:space="preserve"> PAGEREF _Toc383511402 \h </w:instrText>
      </w:r>
      <w:r>
        <w:fldChar w:fldCharType="separate"/>
      </w:r>
      <w:r>
        <w:t>55</w:t>
      </w:r>
      <w:r>
        <w:fldChar w:fldCharType="end"/>
      </w:r>
    </w:p>
    <w:p>
      <w:pPr>
        <w:pStyle w:val="TOC8"/>
        <w:rPr>
          <w:rFonts w:asciiTheme="minorHAnsi" w:eastAsiaTheme="minorEastAsia" w:hAnsiTheme="minorHAnsi" w:cstheme="minorBidi"/>
          <w:szCs w:val="22"/>
        </w:rPr>
      </w:pPr>
      <w:r>
        <w:t>74B</w:t>
      </w:r>
      <w:r>
        <w:rPr>
          <w:snapToGrid w:val="0"/>
        </w:rPr>
        <w:t>.</w:t>
      </w:r>
      <w:r>
        <w:rPr>
          <w:snapToGrid w:val="0"/>
        </w:rPr>
        <w:tab/>
        <w:t>New duplicate certificates of title</w:t>
      </w:r>
      <w:r>
        <w:tab/>
      </w:r>
      <w:r>
        <w:fldChar w:fldCharType="begin"/>
      </w:r>
      <w:r>
        <w:instrText xml:space="preserve"> PAGEREF _Toc383511403 \h </w:instrText>
      </w:r>
      <w:r>
        <w:fldChar w:fldCharType="separate"/>
      </w:r>
      <w:r>
        <w:t>55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Where duplicate certificate lost, destroyed or obliterated</w:t>
      </w:r>
      <w:r>
        <w:tab/>
      </w:r>
      <w:r>
        <w:fldChar w:fldCharType="begin"/>
      </w:r>
      <w:r>
        <w:instrText xml:space="preserve"> PAGEREF _Toc383511404 \h </w:instrText>
      </w:r>
      <w:r>
        <w:fldChar w:fldCharType="separate"/>
      </w:r>
      <w:r>
        <w:t>56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Duplicate certificates etc. issued in error etc., powers to recover</w:t>
      </w:r>
      <w:r>
        <w:tab/>
      </w:r>
      <w:r>
        <w:fldChar w:fldCharType="begin"/>
      </w:r>
      <w:r>
        <w:instrText xml:space="preserve"> PAGEREF _Toc383511405 \h </w:instrText>
      </w:r>
      <w:r>
        <w:fldChar w:fldCharType="separate"/>
      </w:r>
      <w:r>
        <w:t>57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Procedure when person summoned etc. under s. 76</w:t>
      </w:r>
      <w:r>
        <w:tab/>
      </w:r>
      <w:r>
        <w:fldChar w:fldCharType="begin"/>
      </w:r>
      <w:r>
        <w:instrText xml:space="preserve"> PAGEREF _Toc383511406 \h </w:instrText>
      </w:r>
      <w:r>
        <w:fldChar w:fldCharType="separate"/>
      </w:r>
      <w:r>
        <w:t>58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Registrar may call in duplicate certificate etc.</w:t>
      </w:r>
      <w:r>
        <w:tab/>
      </w:r>
      <w:r>
        <w:fldChar w:fldCharType="begin"/>
      </w:r>
      <w:r>
        <w:instrText xml:space="preserve"> PAGEREF _Toc383511407 \h </w:instrText>
      </w:r>
      <w:r>
        <w:fldChar w:fldCharType="separate"/>
      </w:r>
      <w:r>
        <w:t>59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Person who fails to bring in duplicate certificate etc. may be brought before Supreme Court</w:t>
      </w:r>
      <w:r>
        <w:tab/>
      </w:r>
      <w:r>
        <w:fldChar w:fldCharType="begin"/>
      </w:r>
      <w:r>
        <w:instrText xml:space="preserve"> PAGEREF _Toc383511408 \h </w:instrText>
      </w:r>
      <w:r>
        <w:fldChar w:fldCharType="separate"/>
      </w:r>
      <w:r>
        <w:t>60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Words of inheritance or succession to be implied</w:t>
      </w:r>
      <w:r>
        <w:tab/>
      </w:r>
      <w:r>
        <w:fldChar w:fldCharType="begin"/>
      </w:r>
      <w:r>
        <w:instrText xml:space="preserve"> PAGEREF _Toc383511409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IIIA — Crown leases</w:t>
      </w:r>
    </w:p>
    <w:p>
      <w:pPr>
        <w:pStyle w:val="TOC8"/>
        <w:rPr>
          <w:rFonts w:asciiTheme="minorHAnsi" w:eastAsiaTheme="minorEastAsia" w:hAnsiTheme="minorHAnsi" w:cstheme="minorBidi"/>
          <w:szCs w:val="22"/>
        </w:rPr>
      </w:pPr>
      <w:r>
        <w:t>81A</w:t>
      </w:r>
      <w:r>
        <w:rPr>
          <w:snapToGrid w:val="0"/>
        </w:rPr>
        <w:t>.</w:t>
      </w:r>
      <w:r>
        <w:rPr>
          <w:snapToGrid w:val="0"/>
        </w:rPr>
        <w:tab/>
        <w:t>Registration of Crown leases issued on or after 2 May 1910</w:t>
      </w:r>
      <w:r>
        <w:tab/>
      </w:r>
      <w:r>
        <w:fldChar w:fldCharType="begin"/>
      </w:r>
      <w:r>
        <w:instrText xml:space="preserve"> PAGEREF _Toc383511411 \h </w:instrText>
      </w:r>
      <w:r>
        <w:fldChar w:fldCharType="separate"/>
      </w:r>
      <w:r>
        <w:t>62</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Registration of Crown leases issued before 2 May 1910</w:t>
      </w:r>
      <w:r>
        <w:tab/>
      </w:r>
      <w:r>
        <w:fldChar w:fldCharType="begin"/>
      </w:r>
      <w:r>
        <w:instrText xml:space="preserve"> PAGEREF _Toc383511412 \h </w:instrText>
      </w:r>
      <w:r>
        <w:fldChar w:fldCharType="separate"/>
      </w:r>
      <w:r>
        <w:t>62</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Effect of registration</w:t>
      </w:r>
      <w:r>
        <w:tab/>
      </w:r>
      <w:r>
        <w:fldChar w:fldCharType="begin"/>
      </w:r>
      <w:r>
        <w:instrText xml:space="preserve"> PAGEREF _Toc383511413 \h </w:instrText>
      </w:r>
      <w:r>
        <w:fldChar w:fldCharType="separate"/>
      </w:r>
      <w:r>
        <w:t>64</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Registration of transfer etc.</w:t>
      </w:r>
      <w:r>
        <w:tab/>
      </w:r>
      <w:r>
        <w:fldChar w:fldCharType="begin"/>
      </w:r>
      <w:r>
        <w:instrText xml:space="preserve"> PAGEREF _Toc383511414 \h </w:instrText>
      </w:r>
      <w:r>
        <w:fldChar w:fldCharType="separate"/>
      </w:r>
      <w:r>
        <w:t>64</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No foreclosure without consent of Minister for Lands</w:t>
      </w:r>
      <w:r>
        <w:tab/>
      </w:r>
      <w:r>
        <w:fldChar w:fldCharType="begin"/>
      </w:r>
      <w:r>
        <w:instrText xml:space="preserve"> PAGEREF _Toc383511415 \h </w:instrText>
      </w:r>
      <w:r>
        <w:fldChar w:fldCharType="separate"/>
      </w:r>
      <w:r>
        <w:t>66</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Entry of forfeiture</w:t>
      </w:r>
      <w:r>
        <w:tab/>
      </w:r>
      <w:r>
        <w:fldChar w:fldCharType="begin"/>
      </w:r>
      <w:r>
        <w:instrText xml:space="preserve"> PAGEREF _Toc383511416 \h </w:instrText>
      </w:r>
      <w:r>
        <w:fldChar w:fldCharType="separate"/>
      </w:r>
      <w:r>
        <w:t>66</w:t>
      </w:r>
      <w:r>
        <w:fldChar w:fldCharType="end"/>
      </w:r>
    </w:p>
    <w:p>
      <w:pPr>
        <w:pStyle w:val="TOC8"/>
        <w:rPr>
          <w:rFonts w:asciiTheme="minorHAnsi" w:eastAsiaTheme="minorEastAsia" w:hAnsiTheme="minorHAnsi" w:cstheme="minorBidi"/>
          <w:szCs w:val="22"/>
        </w:rPr>
      </w:pPr>
      <w:r>
        <w:t>81G</w:t>
      </w:r>
      <w:r>
        <w:rPr>
          <w:snapToGrid w:val="0"/>
        </w:rPr>
        <w:t>.</w:t>
      </w:r>
      <w:r>
        <w:rPr>
          <w:snapToGrid w:val="0"/>
        </w:rPr>
        <w:tab/>
        <w:t>Crown lessee to be deemed of full age</w:t>
      </w:r>
      <w:r>
        <w:tab/>
      </w:r>
      <w:r>
        <w:fldChar w:fldCharType="begin"/>
      </w:r>
      <w:r>
        <w:instrText xml:space="preserve"> PAGEREF _Toc383511417 \h </w:instrText>
      </w:r>
      <w:r>
        <w:fldChar w:fldCharType="separate"/>
      </w:r>
      <w:r>
        <w:t>66</w:t>
      </w:r>
      <w:r>
        <w:fldChar w:fldCharType="end"/>
      </w:r>
    </w:p>
    <w:p>
      <w:pPr>
        <w:pStyle w:val="TOC8"/>
        <w:rPr>
          <w:rFonts w:asciiTheme="minorHAnsi" w:eastAsiaTheme="minorEastAsia" w:hAnsiTheme="minorHAnsi" w:cstheme="minorBidi"/>
          <w:szCs w:val="22"/>
        </w:rPr>
      </w:pPr>
      <w: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r>
        <w:tab/>
      </w:r>
      <w:r>
        <w:fldChar w:fldCharType="begin"/>
      </w:r>
      <w:r>
        <w:instrText xml:space="preserve"> PAGEREF _Toc383511418 \h </w:instrText>
      </w:r>
      <w:r>
        <w:fldChar w:fldCharType="separate"/>
      </w:r>
      <w:r>
        <w:t>67</w:t>
      </w:r>
      <w:r>
        <w:fldChar w:fldCharType="end"/>
      </w:r>
    </w:p>
    <w:p>
      <w:pPr>
        <w:pStyle w:val="TOC8"/>
        <w:rPr>
          <w:rFonts w:asciiTheme="minorHAnsi" w:eastAsiaTheme="minorEastAsia" w:hAnsiTheme="minorHAnsi" w:cstheme="minorBidi"/>
          <w:szCs w:val="22"/>
        </w:rPr>
      </w:pPr>
      <w:r>
        <w:t>81I</w:t>
      </w:r>
      <w:r>
        <w:rPr>
          <w:snapToGrid w:val="0"/>
        </w:rPr>
        <w:t>.</w:t>
      </w:r>
      <w:r>
        <w:rPr>
          <w:snapToGrid w:val="0"/>
        </w:rPr>
        <w:tab/>
        <w:t>Mortgage of Crown lease to be transferred to Crown grant</w:t>
      </w:r>
      <w:r>
        <w:tab/>
      </w:r>
      <w:r>
        <w:fldChar w:fldCharType="begin"/>
      </w:r>
      <w:r>
        <w:instrText xml:space="preserve"> PAGEREF _Toc383511419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IIIB — Registration and recording in relation to Crown land</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81J.</w:t>
      </w:r>
      <w:r>
        <w:tab/>
        <w:t>Application of this Part</w:t>
      </w:r>
      <w:r>
        <w:tab/>
      </w:r>
      <w:r>
        <w:fldChar w:fldCharType="begin"/>
      </w:r>
      <w:r>
        <w:instrText xml:space="preserve"> PAGEREF _Toc383511422 \h </w:instrText>
      </w:r>
      <w:r>
        <w:fldChar w:fldCharType="separate"/>
      </w:r>
      <w:r>
        <w:t>69</w:t>
      </w:r>
      <w:r>
        <w:fldChar w:fldCharType="end"/>
      </w:r>
    </w:p>
    <w:p>
      <w:pPr>
        <w:pStyle w:val="TOC8"/>
        <w:rPr>
          <w:rFonts w:asciiTheme="minorHAnsi" w:eastAsiaTheme="minorEastAsia" w:hAnsiTheme="minorHAnsi" w:cstheme="minorBidi"/>
          <w:szCs w:val="22"/>
        </w:rPr>
      </w:pPr>
      <w:r>
        <w:t>81K.</w:t>
      </w:r>
      <w:r>
        <w:tab/>
        <w:t>Terms used</w:t>
      </w:r>
      <w:r>
        <w:tab/>
      </w:r>
      <w:r>
        <w:fldChar w:fldCharType="begin"/>
      </w:r>
      <w:r>
        <w:instrText xml:space="preserve"> PAGEREF _Toc383511423 \h </w:instrText>
      </w:r>
      <w:r>
        <w:fldChar w:fldCharType="separate"/>
      </w:r>
      <w:r>
        <w:t>69</w:t>
      </w:r>
      <w:r>
        <w:fldChar w:fldCharType="end"/>
      </w:r>
    </w:p>
    <w:p>
      <w:pPr>
        <w:pStyle w:val="TOC8"/>
        <w:rPr>
          <w:rFonts w:asciiTheme="minorHAnsi" w:eastAsiaTheme="minorEastAsia" w:hAnsiTheme="minorHAnsi" w:cstheme="minorBidi"/>
          <w:szCs w:val="22"/>
        </w:rPr>
      </w:pPr>
      <w:r>
        <w:t>81L.</w:t>
      </w:r>
      <w:r>
        <w:tab/>
        <w:t>Creation and registration of certificates of Crown land title and qualified certificates of Crown land title</w:t>
      </w:r>
      <w:r>
        <w:tab/>
      </w:r>
      <w:r>
        <w:fldChar w:fldCharType="begin"/>
      </w:r>
      <w:r>
        <w:instrText xml:space="preserve"> PAGEREF _Toc383511424 \h </w:instrText>
      </w:r>
      <w:r>
        <w:fldChar w:fldCharType="separate"/>
      </w:r>
      <w:r>
        <w:t>69</w:t>
      </w:r>
      <w:r>
        <w:fldChar w:fldCharType="end"/>
      </w:r>
    </w:p>
    <w:p>
      <w:pPr>
        <w:pStyle w:val="TOC8"/>
        <w:rPr>
          <w:rFonts w:asciiTheme="minorHAnsi" w:eastAsiaTheme="minorEastAsia" w:hAnsiTheme="minorHAnsi" w:cstheme="minorBidi"/>
          <w:szCs w:val="22"/>
        </w:rPr>
      </w:pPr>
      <w:r>
        <w:t>81M.</w:t>
      </w:r>
      <w:r>
        <w:tab/>
        <w:t>Lodging etc. of management orders</w:t>
      </w:r>
      <w:r>
        <w:tab/>
      </w:r>
      <w:r>
        <w:fldChar w:fldCharType="begin"/>
      </w:r>
      <w:r>
        <w:instrText xml:space="preserve"> PAGEREF _Toc383511425 \h </w:instrText>
      </w:r>
      <w:r>
        <w:fldChar w:fldCharType="separate"/>
      </w:r>
      <w:r>
        <w:t>70</w:t>
      </w:r>
      <w:r>
        <w:fldChar w:fldCharType="end"/>
      </w:r>
    </w:p>
    <w:p>
      <w:pPr>
        <w:pStyle w:val="TOC8"/>
        <w:rPr>
          <w:rFonts w:asciiTheme="minorHAnsi" w:eastAsiaTheme="minorEastAsia" w:hAnsiTheme="minorHAnsi" w:cstheme="minorBidi"/>
          <w:szCs w:val="22"/>
        </w:rPr>
      </w:pPr>
      <w:r>
        <w:t>81N.</w:t>
      </w:r>
      <w:r>
        <w:tab/>
        <w:t>Crown surveys</w:t>
      </w:r>
      <w:r>
        <w:tab/>
      </w:r>
      <w:r>
        <w:fldChar w:fldCharType="begin"/>
      </w:r>
      <w:r>
        <w:instrText xml:space="preserve"> PAGEREF _Toc383511426 \h </w:instrText>
      </w:r>
      <w:r>
        <w:fldChar w:fldCharType="separate"/>
      </w:r>
      <w:r>
        <w:t>70</w:t>
      </w:r>
      <w:r>
        <w:fldChar w:fldCharType="end"/>
      </w:r>
    </w:p>
    <w:p>
      <w:pPr>
        <w:pStyle w:val="TOC8"/>
        <w:rPr>
          <w:rFonts w:asciiTheme="minorHAnsi" w:eastAsiaTheme="minorEastAsia" w:hAnsiTheme="minorHAnsi" w:cstheme="minorBidi"/>
          <w:szCs w:val="22"/>
        </w:rPr>
      </w:pPr>
      <w:r>
        <w:t>81O.</w:t>
      </w:r>
      <w:r>
        <w:tab/>
        <w:t>No duplicate certificates of Crown land title or duplicate qualified certificates of Crown land title to be issued</w:t>
      </w:r>
      <w:r>
        <w:tab/>
      </w:r>
      <w:r>
        <w:fldChar w:fldCharType="begin"/>
      </w:r>
      <w:r>
        <w:instrText xml:space="preserve"> PAGEREF _Toc383511427 \h </w:instrText>
      </w:r>
      <w:r>
        <w:fldChar w:fldCharType="separate"/>
      </w:r>
      <w:r>
        <w:t>70</w:t>
      </w:r>
      <w:r>
        <w:fldChar w:fldCharType="end"/>
      </w:r>
    </w:p>
    <w:p>
      <w:pPr>
        <w:pStyle w:val="TOC8"/>
        <w:rPr>
          <w:rFonts w:asciiTheme="minorHAnsi" w:eastAsiaTheme="minorEastAsia" w:hAnsiTheme="minorHAnsi" w:cstheme="minorBidi"/>
          <w:szCs w:val="22"/>
        </w:rPr>
      </w:pPr>
      <w:r>
        <w:t>81P.</w:t>
      </w:r>
      <w:r>
        <w:tab/>
        <w:t>Endorsements on certificates of Crown land title and qualified certificates of Crown land title</w:t>
      </w:r>
      <w:r>
        <w:tab/>
      </w:r>
      <w:r>
        <w:fldChar w:fldCharType="begin"/>
      </w:r>
      <w:r>
        <w:instrText xml:space="preserve"> PAGEREF _Toc383511428 \h </w:instrText>
      </w:r>
      <w:r>
        <w:fldChar w:fldCharType="separate"/>
      </w:r>
      <w:r>
        <w:t>70</w:t>
      </w:r>
      <w:r>
        <w:fldChar w:fldCharType="end"/>
      </w:r>
    </w:p>
    <w:p>
      <w:pPr>
        <w:pStyle w:val="TOC8"/>
        <w:rPr>
          <w:rFonts w:asciiTheme="minorHAnsi" w:eastAsiaTheme="minorEastAsia" w:hAnsiTheme="minorHAnsi" w:cstheme="minorBidi"/>
          <w:szCs w:val="22"/>
        </w:rPr>
      </w:pPr>
      <w:r>
        <w:t>81Q.</w:t>
      </w:r>
      <w:r>
        <w:tab/>
        <w:t>Leases and subleases of Crown land, registration of</w:t>
      </w:r>
      <w:r>
        <w:tab/>
      </w:r>
      <w:r>
        <w:fldChar w:fldCharType="begin"/>
      </w:r>
      <w:r>
        <w:instrText xml:space="preserve"> PAGEREF _Toc383511429 \h </w:instrText>
      </w:r>
      <w:r>
        <w:fldChar w:fldCharType="separate"/>
      </w:r>
      <w:r>
        <w:t>71</w:t>
      </w:r>
      <w:r>
        <w:fldChar w:fldCharType="end"/>
      </w:r>
    </w:p>
    <w:p>
      <w:pPr>
        <w:pStyle w:val="TOC8"/>
        <w:rPr>
          <w:rFonts w:asciiTheme="minorHAnsi" w:eastAsiaTheme="minorEastAsia" w:hAnsiTheme="minorHAnsi" w:cstheme="minorBidi"/>
          <w:szCs w:val="22"/>
        </w:rPr>
      </w:pPr>
      <w:r>
        <w:t>81R.</w:t>
      </w:r>
      <w:r>
        <w:tab/>
        <w:t>Profits à prendre, registration of</w:t>
      </w:r>
      <w:r>
        <w:tab/>
      </w:r>
      <w:r>
        <w:fldChar w:fldCharType="begin"/>
      </w:r>
      <w:r>
        <w:instrText xml:space="preserve"> PAGEREF _Toc383511430 \h </w:instrText>
      </w:r>
      <w:r>
        <w:fldChar w:fldCharType="separate"/>
      </w:r>
      <w:r>
        <w:t>72</w:t>
      </w:r>
      <w:r>
        <w:fldChar w:fldCharType="end"/>
      </w:r>
    </w:p>
    <w:p>
      <w:pPr>
        <w:pStyle w:val="TOC8"/>
        <w:rPr>
          <w:rFonts w:asciiTheme="minorHAnsi" w:eastAsiaTheme="minorEastAsia" w:hAnsiTheme="minorHAnsi" w:cstheme="minorBidi"/>
          <w:szCs w:val="22"/>
        </w:rPr>
      </w:pPr>
      <w:r>
        <w:t>81RA.</w:t>
      </w:r>
      <w:r>
        <w:tab/>
        <w:t>Other encumbrances in respect of fee simple in Crown land</w:t>
      </w:r>
      <w:r>
        <w:tab/>
      </w:r>
      <w:r>
        <w:fldChar w:fldCharType="begin"/>
      </w:r>
      <w:r>
        <w:instrText xml:space="preserve"> PAGEREF _Toc383511431 \h </w:instrText>
      </w:r>
      <w:r>
        <w:fldChar w:fldCharType="separate"/>
      </w:r>
      <w:r>
        <w:t>72</w:t>
      </w:r>
      <w:r>
        <w:fldChar w:fldCharType="end"/>
      </w:r>
    </w:p>
    <w:p>
      <w:pPr>
        <w:pStyle w:val="TOC8"/>
        <w:rPr>
          <w:rFonts w:asciiTheme="minorHAnsi" w:eastAsiaTheme="minorEastAsia" w:hAnsiTheme="minorHAnsi" w:cstheme="minorBidi"/>
          <w:szCs w:val="22"/>
        </w:rPr>
      </w:pPr>
      <w:r>
        <w:t>81S.</w:t>
      </w:r>
      <w:r>
        <w:tab/>
        <w:t>Prerequisites to registering dealings as to Crown land</w:t>
      </w:r>
      <w:r>
        <w:tab/>
      </w:r>
      <w:r>
        <w:fldChar w:fldCharType="begin"/>
      </w:r>
      <w:r>
        <w:instrText xml:space="preserve"> PAGEREF _Toc383511432 \h </w:instrText>
      </w:r>
      <w:r>
        <w:fldChar w:fldCharType="separate"/>
      </w:r>
      <w:r>
        <w:t>73</w:t>
      </w:r>
      <w:r>
        <w:fldChar w:fldCharType="end"/>
      </w:r>
    </w:p>
    <w:p>
      <w:pPr>
        <w:pStyle w:val="TOC8"/>
        <w:rPr>
          <w:rFonts w:asciiTheme="minorHAnsi" w:eastAsiaTheme="minorEastAsia" w:hAnsiTheme="minorHAnsi" w:cstheme="minorBidi"/>
          <w:szCs w:val="22"/>
        </w:rPr>
      </w:pPr>
      <w:r>
        <w:t>81T.</w:t>
      </w:r>
      <w:r>
        <w:tab/>
        <w:t>Registered proprietors etc. protected against ejectment except in certain cases</w:t>
      </w:r>
      <w:r>
        <w:tab/>
      </w:r>
      <w:r>
        <w:fldChar w:fldCharType="begin"/>
      </w:r>
      <w:r>
        <w:instrText xml:space="preserve"> PAGEREF _Toc383511433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2 — Transitional</w:t>
      </w:r>
    </w:p>
    <w:p>
      <w:pPr>
        <w:pStyle w:val="TOC8"/>
        <w:rPr>
          <w:rFonts w:asciiTheme="minorHAnsi" w:eastAsiaTheme="minorEastAsia" w:hAnsiTheme="minorHAnsi" w:cstheme="minorBidi"/>
          <w:szCs w:val="22"/>
        </w:rPr>
      </w:pPr>
      <w:r>
        <w:t>81U.</w:t>
      </w:r>
      <w:r>
        <w:tab/>
        <w:t>Registrar may accept for registration signed and stamped duplicate original documents</w:t>
      </w:r>
      <w:r>
        <w:tab/>
      </w:r>
      <w:r>
        <w:fldChar w:fldCharType="begin"/>
      </w:r>
      <w:r>
        <w:instrText xml:space="preserve"> PAGEREF _Toc383511435 \h </w:instrText>
      </w:r>
      <w:r>
        <w:fldChar w:fldCharType="separate"/>
      </w:r>
      <w:r>
        <w:t>76</w:t>
      </w:r>
      <w:r>
        <w:fldChar w:fldCharType="end"/>
      </w:r>
    </w:p>
    <w:p>
      <w:pPr>
        <w:pStyle w:val="TOC8"/>
        <w:rPr>
          <w:rFonts w:asciiTheme="minorHAnsi" w:eastAsiaTheme="minorEastAsia" w:hAnsiTheme="minorHAnsi" w:cstheme="minorBidi"/>
          <w:szCs w:val="22"/>
        </w:rPr>
      </w:pPr>
      <w:r>
        <w:t>81V.</w:t>
      </w:r>
      <w:r>
        <w:tab/>
        <w:t>Minister for Lands may apply for cancellation, creation etc. of certificates of Crown land title etc.</w:t>
      </w:r>
      <w:r>
        <w:tab/>
      </w:r>
      <w:r>
        <w:fldChar w:fldCharType="begin"/>
      </w:r>
      <w:r>
        <w:instrText xml:space="preserve"> PAGEREF _Toc383511436 \h </w:instrText>
      </w:r>
      <w:r>
        <w:fldChar w:fldCharType="separate"/>
      </w:r>
      <w:r>
        <w:t>76</w:t>
      </w:r>
      <w:r>
        <w:fldChar w:fldCharType="end"/>
      </w:r>
    </w:p>
    <w:p>
      <w:pPr>
        <w:pStyle w:val="TOC8"/>
        <w:rPr>
          <w:rFonts w:asciiTheme="minorHAnsi" w:eastAsiaTheme="minorEastAsia" w:hAnsiTheme="minorHAnsi" w:cstheme="minorBidi"/>
          <w:szCs w:val="22"/>
        </w:rPr>
      </w:pPr>
      <w:r>
        <w:t>81W.</w:t>
      </w:r>
      <w:r>
        <w:tab/>
        <w:t>Procedure when applications referred to Commissioner</w:t>
      </w:r>
      <w:r>
        <w:tab/>
      </w:r>
      <w:r>
        <w:fldChar w:fldCharType="begin"/>
      </w:r>
      <w:r>
        <w:instrText xml:space="preserve"> PAGEREF _Toc383511437 \h </w:instrText>
      </w:r>
      <w:r>
        <w:fldChar w:fldCharType="separate"/>
      </w:r>
      <w:r>
        <w:t>77</w:t>
      </w:r>
      <w:r>
        <w:fldChar w:fldCharType="end"/>
      </w:r>
    </w:p>
    <w:p>
      <w:pPr>
        <w:pStyle w:val="TOC8"/>
        <w:rPr>
          <w:rFonts w:asciiTheme="minorHAnsi" w:eastAsiaTheme="minorEastAsia" w:hAnsiTheme="minorHAnsi" w:cstheme="minorBidi"/>
          <w:szCs w:val="22"/>
        </w:rPr>
      </w:pPr>
      <w:r>
        <w:t>81X.</w:t>
      </w:r>
      <w:r>
        <w:tab/>
        <w:t>Procedure on lodging of caveat under s. 81W(6)</w:t>
      </w:r>
      <w:r>
        <w:tab/>
      </w:r>
      <w:r>
        <w:fldChar w:fldCharType="begin"/>
      </w:r>
      <w:r>
        <w:instrText xml:space="preserve"> PAGEREF _Toc383511438 \h </w:instrText>
      </w:r>
      <w:r>
        <w:fldChar w:fldCharType="separate"/>
      </w:r>
      <w:r>
        <w:t>80</w:t>
      </w:r>
      <w:r>
        <w:fldChar w:fldCharType="end"/>
      </w:r>
    </w:p>
    <w:p>
      <w:pPr>
        <w:pStyle w:val="TOC8"/>
        <w:rPr>
          <w:rFonts w:asciiTheme="minorHAnsi" w:eastAsiaTheme="minorEastAsia" w:hAnsiTheme="minorHAnsi" w:cstheme="minorBidi"/>
          <w:szCs w:val="22"/>
        </w:rPr>
      </w:pPr>
      <w:r>
        <w:t>81Y.</w:t>
      </w:r>
      <w:r>
        <w:tab/>
        <w:t>Registrar’s duties when applications made under s. 81V(1)(a) granted</w:t>
      </w:r>
      <w:r>
        <w:tab/>
      </w:r>
      <w:r>
        <w:fldChar w:fldCharType="begin"/>
      </w:r>
      <w:r>
        <w:instrText xml:space="preserve"> PAGEREF _Toc383511439 \h </w:instrText>
      </w:r>
      <w:r>
        <w:fldChar w:fldCharType="separate"/>
      </w:r>
      <w:r>
        <w:t>81</w:t>
      </w:r>
      <w:r>
        <w:fldChar w:fldCharType="end"/>
      </w:r>
    </w:p>
    <w:p>
      <w:pPr>
        <w:pStyle w:val="TOC8"/>
        <w:rPr>
          <w:rFonts w:asciiTheme="minorHAnsi" w:eastAsiaTheme="minorEastAsia" w:hAnsiTheme="minorHAnsi" w:cstheme="minorBidi"/>
          <w:szCs w:val="22"/>
        </w:rPr>
      </w:pPr>
      <w:r>
        <w:t>81Z.</w:t>
      </w:r>
      <w:r>
        <w:tab/>
        <w:t>Registrar’s duties when applications made under s. 81V(1)(b) granted</w:t>
      </w:r>
      <w:r>
        <w:tab/>
      </w:r>
      <w:r>
        <w:fldChar w:fldCharType="begin"/>
      </w:r>
      <w:r>
        <w:instrText xml:space="preserve"> PAGEREF _Toc383511440 \h </w:instrText>
      </w:r>
      <w:r>
        <w:fldChar w:fldCharType="separate"/>
      </w:r>
      <w:r>
        <w:t>82</w:t>
      </w:r>
      <w:r>
        <w:fldChar w:fldCharType="end"/>
      </w:r>
    </w:p>
    <w:p>
      <w:pPr>
        <w:pStyle w:val="TOC8"/>
        <w:rPr>
          <w:rFonts w:asciiTheme="minorHAnsi" w:eastAsiaTheme="minorEastAsia" w:hAnsiTheme="minorHAnsi" w:cstheme="minorBidi"/>
          <w:szCs w:val="22"/>
        </w:rPr>
      </w:pPr>
      <w:r>
        <w:t>81ZA.</w:t>
      </w:r>
      <w:r>
        <w:tab/>
        <w:t>Procedure for registering interests for which no certificate of Crown land title or qualified certificate of Crown land title exists</w:t>
      </w:r>
      <w:r>
        <w:tab/>
      </w:r>
      <w:r>
        <w:fldChar w:fldCharType="begin"/>
      </w:r>
      <w:r>
        <w:instrText xml:space="preserve"> PAGEREF _Toc383511441 \h </w:instrText>
      </w:r>
      <w:r>
        <w:fldChar w:fldCharType="separate"/>
      </w:r>
      <w:r>
        <w:t>82</w:t>
      </w:r>
      <w:r>
        <w:fldChar w:fldCharType="end"/>
      </w:r>
    </w:p>
    <w:p>
      <w:pPr>
        <w:pStyle w:val="TOC8"/>
        <w:rPr>
          <w:rFonts w:asciiTheme="minorHAnsi" w:eastAsiaTheme="minorEastAsia" w:hAnsiTheme="minorHAnsi" w:cstheme="minorBidi"/>
          <w:szCs w:val="22"/>
        </w:rPr>
      </w:pPr>
      <w:r>
        <w:t>81ZB.</w:t>
      </w:r>
      <w:r>
        <w:tab/>
        <w:t>Qualified certificates of Crown land title, general matters</w:t>
      </w:r>
      <w:r>
        <w:tab/>
      </w:r>
      <w:r>
        <w:fldChar w:fldCharType="begin"/>
      </w:r>
      <w:r>
        <w:instrText xml:space="preserve"> PAGEREF _Toc383511442 \h </w:instrText>
      </w:r>
      <w:r>
        <w:fldChar w:fldCharType="separate"/>
      </w:r>
      <w:r>
        <w:t>83</w:t>
      </w:r>
      <w:r>
        <w:fldChar w:fldCharType="end"/>
      </w:r>
    </w:p>
    <w:p>
      <w:pPr>
        <w:pStyle w:val="TOC8"/>
        <w:rPr>
          <w:rFonts w:asciiTheme="minorHAnsi" w:eastAsiaTheme="minorEastAsia" w:hAnsiTheme="minorHAnsi" w:cstheme="minorBidi"/>
          <w:szCs w:val="22"/>
        </w:rPr>
      </w:pPr>
      <w:r>
        <w:t>81ZC.</w:t>
      </w:r>
      <w:r>
        <w:tab/>
        <w:t>Interests in Crown land not registered within transitional period void as against registered interests in Crown land etc.</w:t>
      </w:r>
      <w:r>
        <w:tab/>
      </w:r>
      <w:r>
        <w:fldChar w:fldCharType="begin"/>
      </w:r>
      <w:r>
        <w:instrText xml:space="preserve"> PAGEREF _Toc383511443 \h </w:instrText>
      </w:r>
      <w:r>
        <w:fldChar w:fldCharType="separate"/>
      </w:r>
      <w:r>
        <w:t>84</w:t>
      </w:r>
      <w:r>
        <w:fldChar w:fldCharType="end"/>
      </w:r>
    </w:p>
    <w:p>
      <w:pPr>
        <w:pStyle w:val="TOC8"/>
        <w:rPr>
          <w:rFonts w:asciiTheme="minorHAnsi" w:eastAsiaTheme="minorEastAsia" w:hAnsiTheme="minorHAnsi" w:cstheme="minorBidi"/>
          <w:szCs w:val="22"/>
        </w:rPr>
      </w:pPr>
      <w:r>
        <w:t>81ZD.</w:t>
      </w:r>
      <w:r>
        <w:tab/>
        <w:t>Registrar may convert Crown leases into leases registered under s. 81Q</w:t>
      </w:r>
      <w:r>
        <w:tab/>
      </w:r>
      <w:r>
        <w:fldChar w:fldCharType="begin"/>
      </w:r>
      <w:r>
        <w:instrText xml:space="preserve"> PAGEREF _Toc383511444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IV — Dealings with land</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Transfers</w:t>
      </w:r>
      <w:r>
        <w:tab/>
      </w:r>
      <w:r>
        <w:fldChar w:fldCharType="begin"/>
      </w:r>
      <w:r>
        <w:instrText xml:space="preserve"> PAGEREF _Toc383511447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to include right to sue thereunder</w:t>
      </w:r>
      <w:r>
        <w:tab/>
      </w:r>
      <w:r>
        <w:fldChar w:fldCharType="begin"/>
      </w:r>
      <w:r>
        <w:instrText xml:space="preserve"> PAGEREF _Toc383511448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Transfers may be to proprietor and others jointly etc.</w:t>
      </w:r>
      <w:r>
        <w:tab/>
      </w:r>
      <w:r>
        <w:fldChar w:fldCharType="begin"/>
      </w:r>
      <w:r>
        <w:instrText xml:space="preserve"> PAGEREF _Toc383511449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Signed and registered instruments have efficacy of deeds</w:t>
      </w:r>
      <w:r>
        <w:tab/>
      </w:r>
      <w:r>
        <w:fldChar w:fldCharType="begin"/>
      </w:r>
      <w:r>
        <w:instrText xml:space="preserve"> PAGEREF _Toc383511450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Duplicate certificate to be delivered to Registrar on transfer</w:t>
      </w:r>
      <w:r>
        <w:tab/>
      </w:r>
      <w:r>
        <w:fldChar w:fldCharType="begin"/>
      </w:r>
      <w:r>
        <w:instrText xml:space="preserve"> PAGEREF _Toc383511451 \h </w:instrText>
      </w:r>
      <w:r>
        <w:fldChar w:fldCharType="separate"/>
      </w:r>
      <w:r>
        <w:t>88</w:t>
      </w:r>
      <w:r>
        <w:fldChar w:fldCharType="end"/>
      </w:r>
    </w:p>
    <w:p>
      <w:pPr>
        <w:pStyle w:val="TOC8"/>
        <w:rPr>
          <w:rFonts w:asciiTheme="minorHAnsi" w:eastAsiaTheme="minorEastAsia" w:hAnsiTheme="minorHAnsi" w:cstheme="minorBidi"/>
          <w:szCs w:val="22"/>
        </w:rPr>
      </w:pPr>
      <w:r>
        <w:t>87.</w:t>
      </w:r>
      <w:r>
        <w:tab/>
        <w:t>Total transfer by endorsement on paper title or by entering transferee’s name on digital title</w:t>
      </w:r>
      <w:r>
        <w:tab/>
      </w:r>
      <w:r>
        <w:fldChar w:fldCharType="begin"/>
      </w:r>
      <w:r>
        <w:instrText xml:space="preserve"> PAGEREF _Toc383511452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Transferee of encumbered land to indemnify transferor</w:t>
      </w:r>
      <w:r>
        <w:tab/>
      </w:r>
      <w:r>
        <w:fldChar w:fldCharType="begin"/>
      </w:r>
      <w:r>
        <w:instrText xml:space="preserve"> PAGEREF _Toc383511453 \h </w:instrText>
      </w:r>
      <w:r>
        <w:fldChar w:fldCharType="separate"/>
      </w:r>
      <w:r>
        <w:t>89</w:t>
      </w:r>
      <w:r>
        <w:fldChar w:fldCharType="end"/>
      </w:r>
    </w:p>
    <w:p>
      <w:pPr>
        <w:pStyle w:val="TOC8"/>
        <w:rPr>
          <w:rFonts w:asciiTheme="minorHAnsi" w:eastAsiaTheme="minorEastAsia" w:hAnsiTheme="minorHAnsi" w:cstheme="minorBidi"/>
          <w:szCs w:val="22"/>
        </w:rPr>
      </w:pPr>
      <w:r>
        <w:t>88A</w:t>
      </w:r>
      <w:r>
        <w:rPr>
          <w:snapToGrid w:val="0"/>
        </w:rPr>
        <w:t>.</w:t>
      </w:r>
      <w:r>
        <w:rPr>
          <w:snapToGrid w:val="0"/>
        </w:rPr>
        <w:tab/>
        <w:t>Memorial of easements to be registered</w:t>
      </w:r>
      <w:r>
        <w:tab/>
      </w:r>
      <w:r>
        <w:fldChar w:fldCharType="begin"/>
      </w:r>
      <w:r>
        <w:instrText xml:space="preserve"> PAGEREF _Toc383511454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2 — Leases and subleases</w:t>
      </w:r>
    </w:p>
    <w:p>
      <w:pPr>
        <w:pStyle w:val="TOC8"/>
        <w:rPr>
          <w:rFonts w:asciiTheme="minorHAnsi" w:eastAsiaTheme="minorEastAsia" w:hAnsiTheme="minorHAnsi" w:cstheme="minorBidi"/>
          <w:szCs w:val="22"/>
        </w:rPr>
      </w:pPr>
      <w:r>
        <w:t>91</w:t>
      </w:r>
      <w:r>
        <w:rPr>
          <w:snapToGrid w:val="0"/>
        </w:rPr>
        <w:t>.</w:t>
      </w:r>
      <w:r>
        <w:rPr>
          <w:snapToGrid w:val="0"/>
        </w:rPr>
        <w:tab/>
        <w:t>Leases</w:t>
      </w:r>
      <w:r>
        <w:tab/>
      </w:r>
      <w:r>
        <w:fldChar w:fldCharType="begin"/>
      </w:r>
      <w:r>
        <w:instrText xml:space="preserve"> PAGEREF _Toc383511456 \h </w:instrText>
      </w:r>
      <w:r>
        <w:fldChar w:fldCharType="separate"/>
      </w:r>
      <w:r>
        <w:t>90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Covenants by lessee implied in leases</w:t>
      </w:r>
      <w:r>
        <w:tab/>
      </w:r>
      <w:r>
        <w:fldChar w:fldCharType="begin"/>
      </w:r>
      <w:r>
        <w:instrText xml:space="preserve"> PAGEREF _Toc383511457 \h </w:instrText>
      </w:r>
      <w:r>
        <w:fldChar w:fldCharType="separate"/>
      </w:r>
      <w:r>
        <w:t>90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Lessor’s powers implied in leases</w:t>
      </w:r>
      <w:r>
        <w:tab/>
      </w:r>
      <w:r>
        <w:fldChar w:fldCharType="begin"/>
      </w:r>
      <w:r>
        <w:instrText xml:space="preserve"> PAGEREF _Toc383511458 \h </w:instrText>
      </w:r>
      <w:r>
        <w:fldChar w:fldCharType="separate"/>
      </w:r>
      <w:r>
        <w:t>91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Short forms of covenants by lessees</w:t>
      </w:r>
      <w:r>
        <w:tab/>
      </w:r>
      <w:r>
        <w:fldChar w:fldCharType="begin"/>
      </w:r>
      <w:r>
        <w:instrText xml:space="preserve"> PAGEREF _Toc383511459 \h </w:instrText>
      </w:r>
      <w:r>
        <w:fldChar w:fldCharType="separate"/>
      </w:r>
      <w:r>
        <w:t>92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Covenant to be implied on transfer of lease</w:t>
      </w:r>
      <w:r>
        <w:tab/>
      </w:r>
      <w:r>
        <w:fldChar w:fldCharType="begin"/>
      </w:r>
      <w:r>
        <w:instrText xml:space="preserve"> PAGEREF _Toc383511460 \h </w:instrText>
      </w:r>
      <w:r>
        <w:fldChar w:fldCharType="separate"/>
      </w:r>
      <w:r>
        <w:t>92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Recovery of possession by lessors to be entered in Register</w:t>
      </w:r>
      <w:r>
        <w:tab/>
      </w:r>
      <w:r>
        <w:fldChar w:fldCharType="begin"/>
      </w:r>
      <w:r>
        <w:instrText xml:space="preserve"> PAGEREF _Toc383511461 \h </w:instrText>
      </w:r>
      <w:r>
        <w:fldChar w:fldCharType="separate"/>
      </w:r>
      <w:r>
        <w:t>93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Mortgagee of interest of bankrupt lessee may apply to be entered as transferee of lease and on default lessor may apply</w:t>
      </w:r>
      <w:r>
        <w:tab/>
      </w:r>
      <w:r>
        <w:fldChar w:fldCharType="begin"/>
      </w:r>
      <w:r>
        <w:instrText xml:space="preserve"> PAGEREF _Toc383511462 \h </w:instrText>
      </w:r>
      <w:r>
        <w:fldChar w:fldCharType="separate"/>
      </w:r>
      <w:r>
        <w:t>93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Surrendering leases</w:t>
      </w:r>
      <w:r>
        <w:tab/>
      </w:r>
      <w:r>
        <w:fldChar w:fldCharType="begin"/>
      </w:r>
      <w:r>
        <w:instrText xml:space="preserve"> PAGEREF _Toc383511463 \h </w:instrText>
      </w:r>
      <w:r>
        <w:fldChar w:fldCharType="separate"/>
      </w:r>
      <w:r>
        <w:t>94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Lessee may sublet</w:t>
      </w:r>
      <w:r>
        <w:tab/>
      </w:r>
      <w:r>
        <w:fldChar w:fldCharType="begin"/>
      </w:r>
      <w:r>
        <w:instrText xml:space="preserve"> PAGEREF _Toc383511464 \h </w:instrText>
      </w:r>
      <w:r>
        <w:fldChar w:fldCharType="separate"/>
      </w:r>
      <w:r>
        <w:t>94</w:t>
      </w:r>
      <w:r>
        <w:fldChar w:fldCharType="end"/>
      </w:r>
    </w:p>
    <w:p>
      <w:pPr>
        <w:pStyle w:val="TOC8"/>
        <w:rPr>
          <w:rFonts w:asciiTheme="minorHAnsi" w:eastAsiaTheme="minorEastAsia" w:hAnsiTheme="minorHAnsi" w:cstheme="minorBidi"/>
          <w:szCs w:val="22"/>
        </w:rPr>
      </w:pPr>
      <w:r>
        <w:t>100.</w:t>
      </w:r>
      <w:r>
        <w:tab/>
        <w:t>Registration of subleases</w:t>
      </w:r>
      <w:r>
        <w:tab/>
      </w:r>
      <w:r>
        <w:fldChar w:fldCharType="begin"/>
      </w:r>
      <w:r>
        <w:instrText xml:space="preserve"> PAGEREF _Toc383511465 \h </w:instrText>
      </w:r>
      <w:r>
        <w:fldChar w:fldCharType="separate"/>
      </w:r>
      <w:r>
        <w:t>95</w:t>
      </w:r>
      <w:r>
        <w:fldChar w:fldCharType="end"/>
      </w:r>
    </w:p>
    <w:p>
      <w:pPr>
        <w:pStyle w:val="TOC8"/>
        <w:rPr>
          <w:rFonts w:asciiTheme="minorHAnsi" w:eastAsiaTheme="minorEastAsia" w:hAnsiTheme="minorHAnsi" w:cstheme="minorBidi"/>
          <w:szCs w:val="22"/>
        </w:rPr>
      </w:pPr>
      <w:r>
        <w:rPr>
          <w:rFonts w:ascii="Times" w:hAnsi="Times"/>
        </w:rPr>
        <w:t>102</w:t>
      </w:r>
      <w:r>
        <w:rPr>
          <w:rFonts w:ascii="Times" w:hAnsi="Times"/>
          <w:snapToGrid w:val="0"/>
        </w:rPr>
        <w:t>.</w:t>
      </w:r>
      <w:r>
        <w:rPr>
          <w:rFonts w:ascii="Times" w:hAnsi="Times"/>
          <w:snapToGrid w:val="0"/>
        </w:rPr>
        <w:tab/>
        <w:t>Provisions about leases apply to subleases</w:t>
      </w:r>
      <w:r>
        <w:tab/>
      </w:r>
      <w:r>
        <w:fldChar w:fldCharType="begin"/>
      </w:r>
      <w:r>
        <w:instrText xml:space="preserve"> PAGEREF _Toc383511466 \h </w:instrText>
      </w:r>
      <w:r>
        <w:fldChar w:fldCharType="separate"/>
      </w:r>
      <w:r>
        <w:t>96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Covenants implied in subleases</w:t>
      </w:r>
      <w:r>
        <w:tab/>
      </w:r>
      <w:r>
        <w:fldChar w:fldCharType="begin"/>
      </w:r>
      <w:r>
        <w:instrText xml:space="preserve"> PAGEREF _Toc383511467 \h </w:instrText>
      </w:r>
      <w:r>
        <w:fldChar w:fldCharType="separate"/>
      </w:r>
      <w:r>
        <w:t>96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lease or sublease by re</w:t>
      </w:r>
      <w:r>
        <w:rPr>
          <w:snapToGrid w:val="0"/>
        </w:rPr>
        <w:noBreakHyphen/>
        <w:t>entry to be entered in Register</w:t>
      </w:r>
      <w:r>
        <w:tab/>
      </w:r>
      <w:r>
        <w:fldChar w:fldCharType="begin"/>
      </w:r>
      <w:r>
        <w:instrText xml:space="preserve"> PAGEREF _Toc383511468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rPr>
      </w:pPr>
      <w:r>
        <w:t>Division 2A — Carbon rights and carbon covenants</w:t>
      </w:r>
    </w:p>
    <w:p>
      <w:pPr>
        <w:pStyle w:val="TOC8"/>
        <w:rPr>
          <w:rFonts w:asciiTheme="minorHAnsi" w:eastAsiaTheme="minorEastAsia" w:hAnsiTheme="minorHAnsi" w:cstheme="minorBidi"/>
          <w:szCs w:val="22"/>
        </w:rPr>
      </w:pPr>
      <w:r>
        <w:t>104A.</w:t>
      </w:r>
      <w:r>
        <w:tab/>
        <w:t>Terms used</w:t>
      </w:r>
      <w:r>
        <w:tab/>
      </w:r>
      <w:r>
        <w:fldChar w:fldCharType="begin"/>
      </w:r>
      <w:r>
        <w:instrText xml:space="preserve"> PAGEREF _Toc383511470 \h </w:instrText>
      </w:r>
      <w:r>
        <w:fldChar w:fldCharType="separate"/>
      </w:r>
      <w:r>
        <w:t>98</w:t>
      </w:r>
      <w:r>
        <w:fldChar w:fldCharType="end"/>
      </w:r>
    </w:p>
    <w:p>
      <w:pPr>
        <w:pStyle w:val="TOC8"/>
        <w:rPr>
          <w:rFonts w:asciiTheme="minorHAnsi" w:eastAsiaTheme="minorEastAsia" w:hAnsiTheme="minorHAnsi" w:cstheme="minorBidi"/>
          <w:szCs w:val="22"/>
        </w:rPr>
      </w:pPr>
      <w:r>
        <w:t>104B.</w:t>
      </w:r>
      <w:r>
        <w:tab/>
        <w:t>Registration of carbon right form</w:t>
      </w:r>
      <w:r>
        <w:tab/>
      </w:r>
      <w:r>
        <w:fldChar w:fldCharType="begin"/>
      </w:r>
      <w:r>
        <w:instrText xml:space="preserve"> PAGEREF _Toc383511471 \h </w:instrText>
      </w:r>
      <w:r>
        <w:fldChar w:fldCharType="separate"/>
      </w:r>
      <w:r>
        <w:t>98</w:t>
      </w:r>
      <w:r>
        <w:fldChar w:fldCharType="end"/>
      </w:r>
    </w:p>
    <w:p>
      <w:pPr>
        <w:pStyle w:val="TOC8"/>
        <w:rPr>
          <w:rFonts w:asciiTheme="minorHAnsi" w:eastAsiaTheme="minorEastAsia" w:hAnsiTheme="minorHAnsi" w:cstheme="minorBidi"/>
          <w:szCs w:val="22"/>
        </w:rPr>
      </w:pPr>
      <w:r>
        <w:t>104C.</w:t>
      </w:r>
      <w:r>
        <w:tab/>
        <w:t>Extension of carbon right</w:t>
      </w:r>
      <w:r>
        <w:tab/>
      </w:r>
      <w:r>
        <w:fldChar w:fldCharType="begin"/>
      </w:r>
      <w:r>
        <w:instrText xml:space="preserve"> PAGEREF _Toc383511472 \h </w:instrText>
      </w:r>
      <w:r>
        <w:fldChar w:fldCharType="separate"/>
      </w:r>
      <w:r>
        <w:t>99</w:t>
      </w:r>
      <w:r>
        <w:fldChar w:fldCharType="end"/>
      </w:r>
    </w:p>
    <w:p>
      <w:pPr>
        <w:pStyle w:val="TOC8"/>
        <w:rPr>
          <w:rFonts w:asciiTheme="minorHAnsi" w:eastAsiaTheme="minorEastAsia" w:hAnsiTheme="minorHAnsi" w:cstheme="minorBidi"/>
          <w:szCs w:val="22"/>
        </w:rPr>
      </w:pPr>
      <w:r>
        <w:t>104D.</w:t>
      </w:r>
      <w:r>
        <w:tab/>
        <w:t>Transfer of carbon right</w:t>
      </w:r>
      <w:r>
        <w:tab/>
      </w:r>
      <w:r>
        <w:fldChar w:fldCharType="begin"/>
      </w:r>
      <w:r>
        <w:instrText xml:space="preserve"> PAGEREF _Toc383511473 \h </w:instrText>
      </w:r>
      <w:r>
        <w:fldChar w:fldCharType="separate"/>
      </w:r>
      <w:r>
        <w:t>99</w:t>
      </w:r>
      <w:r>
        <w:fldChar w:fldCharType="end"/>
      </w:r>
    </w:p>
    <w:p>
      <w:pPr>
        <w:pStyle w:val="TOC8"/>
        <w:rPr>
          <w:rFonts w:asciiTheme="minorHAnsi" w:eastAsiaTheme="minorEastAsia" w:hAnsiTheme="minorHAnsi" w:cstheme="minorBidi"/>
          <w:szCs w:val="22"/>
        </w:rPr>
      </w:pPr>
      <w:r>
        <w:t>104E.</w:t>
      </w:r>
      <w:r>
        <w:tab/>
        <w:t>Mortgage of carbon right</w:t>
      </w:r>
      <w:r>
        <w:tab/>
      </w:r>
      <w:r>
        <w:fldChar w:fldCharType="begin"/>
      </w:r>
      <w:r>
        <w:instrText xml:space="preserve"> PAGEREF _Toc383511474 \h </w:instrText>
      </w:r>
      <w:r>
        <w:fldChar w:fldCharType="separate"/>
      </w:r>
      <w:r>
        <w:t>100</w:t>
      </w:r>
      <w:r>
        <w:fldChar w:fldCharType="end"/>
      </w:r>
    </w:p>
    <w:p>
      <w:pPr>
        <w:pStyle w:val="TOC8"/>
        <w:rPr>
          <w:rFonts w:asciiTheme="minorHAnsi" w:eastAsiaTheme="minorEastAsia" w:hAnsiTheme="minorHAnsi" w:cstheme="minorBidi"/>
          <w:szCs w:val="22"/>
        </w:rPr>
      </w:pPr>
      <w:r>
        <w:t>104F.</w:t>
      </w:r>
      <w:r>
        <w:tab/>
        <w:t>Surrender of carbon right</w:t>
      </w:r>
      <w:r>
        <w:tab/>
      </w:r>
      <w:r>
        <w:fldChar w:fldCharType="begin"/>
      </w:r>
      <w:r>
        <w:instrText xml:space="preserve"> PAGEREF _Toc383511475 \h </w:instrText>
      </w:r>
      <w:r>
        <w:fldChar w:fldCharType="separate"/>
      </w:r>
      <w:r>
        <w:t>100</w:t>
      </w:r>
      <w:r>
        <w:fldChar w:fldCharType="end"/>
      </w:r>
    </w:p>
    <w:p>
      <w:pPr>
        <w:pStyle w:val="TOC8"/>
        <w:rPr>
          <w:rFonts w:asciiTheme="minorHAnsi" w:eastAsiaTheme="minorEastAsia" w:hAnsiTheme="minorHAnsi" w:cstheme="minorBidi"/>
          <w:szCs w:val="22"/>
        </w:rPr>
      </w:pPr>
      <w:r>
        <w:t>104G.</w:t>
      </w:r>
      <w:r>
        <w:tab/>
        <w:t>Registration of carbon covenant form</w:t>
      </w:r>
      <w:r>
        <w:tab/>
      </w:r>
      <w:r>
        <w:fldChar w:fldCharType="begin"/>
      </w:r>
      <w:r>
        <w:instrText xml:space="preserve"> PAGEREF _Toc383511476 \h </w:instrText>
      </w:r>
      <w:r>
        <w:fldChar w:fldCharType="separate"/>
      </w:r>
      <w:r>
        <w:t>101</w:t>
      </w:r>
      <w:r>
        <w:fldChar w:fldCharType="end"/>
      </w:r>
    </w:p>
    <w:p>
      <w:pPr>
        <w:pStyle w:val="TOC8"/>
        <w:rPr>
          <w:rFonts w:asciiTheme="minorHAnsi" w:eastAsiaTheme="minorEastAsia" w:hAnsiTheme="minorHAnsi" w:cstheme="minorBidi"/>
          <w:szCs w:val="22"/>
        </w:rPr>
      </w:pPr>
      <w:r>
        <w:t>104H.</w:t>
      </w:r>
      <w:r>
        <w:tab/>
        <w:t>Extension of carbon covenant</w:t>
      </w:r>
      <w:r>
        <w:tab/>
      </w:r>
      <w:r>
        <w:fldChar w:fldCharType="begin"/>
      </w:r>
      <w:r>
        <w:instrText xml:space="preserve"> PAGEREF _Toc383511477 \h </w:instrText>
      </w:r>
      <w:r>
        <w:fldChar w:fldCharType="separate"/>
      </w:r>
      <w:r>
        <w:t>101</w:t>
      </w:r>
      <w:r>
        <w:fldChar w:fldCharType="end"/>
      </w:r>
    </w:p>
    <w:p>
      <w:pPr>
        <w:pStyle w:val="TOC8"/>
        <w:rPr>
          <w:rFonts w:asciiTheme="minorHAnsi" w:eastAsiaTheme="minorEastAsia" w:hAnsiTheme="minorHAnsi" w:cstheme="minorBidi"/>
          <w:szCs w:val="22"/>
        </w:rPr>
      </w:pPr>
      <w:r>
        <w:t>104I.</w:t>
      </w:r>
      <w:r>
        <w:tab/>
        <w:t>Variation of carbon covenant</w:t>
      </w:r>
      <w:r>
        <w:tab/>
      </w:r>
      <w:r>
        <w:fldChar w:fldCharType="begin"/>
      </w:r>
      <w:r>
        <w:instrText xml:space="preserve"> PAGEREF _Toc383511478 \h </w:instrText>
      </w:r>
      <w:r>
        <w:fldChar w:fldCharType="separate"/>
      </w:r>
      <w:r>
        <w:t>103</w:t>
      </w:r>
      <w:r>
        <w:fldChar w:fldCharType="end"/>
      </w:r>
    </w:p>
    <w:p>
      <w:pPr>
        <w:pStyle w:val="TOC8"/>
        <w:rPr>
          <w:rFonts w:asciiTheme="minorHAnsi" w:eastAsiaTheme="minorEastAsia" w:hAnsiTheme="minorHAnsi" w:cstheme="minorBidi"/>
          <w:szCs w:val="22"/>
        </w:rPr>
      </w:pPr>
      <w:r>
        <w:t>104J.</w:t>
      </w:r>
      <w:r>
        <w:tab/>
        <w:t>Transfer of benefits under carbon covenant</w:t>
      </w:r>
      <w:r>
        <w:tab/>
      </w:r>
      <w:r>
        <w:fldChar w:fldCharType="begin"/>
      </w:r>
      <w:r>
        <w:instrText xml:space="preserve"> PAGEREF _Toc383511479 \h </w:instrText>
      </w:r>
      <w:r>
        <w:fldChar w:fldCharType="separate"/>
      </w:r>
      <w:r>
        <w:t>104</w:t>
      </w:r>
      <w:r>
        <w:fldChar w:fldCharType="end"/>
      </w:r>
    </w:p>
    <w:p>
      <w:pPr>
        <w:pStyle w:val="TOC8"/>
        <w:rPr>
          <w:rFonts w:asciiTheme="minorHAnsi" w:eastAsiaTheme="minorEastAsia" w:hAnsiTheme="minorHAnsi" w:cstheme="minorBidi"/>
          <w:szCs w:val="22"/>
        </w:rPr>
      </w:pPr>
      <w:r>
        <w:t>104K.</w:t>
      </w:r>
      <w:r>
        <w:tab/>
        <w:t>Mortgage of carbon covenant</w:t>
      </w:r>
      <w:r>
        <w:tab/>
      </w:r>
      <w:r>
        <w:fldChar w:fldCharType="begin"/>
      </w:r>
      <w:r>
        <w:instrText xml:space="preserve"> PAGEREF _Toc383511480 \h </w:instrText>
      </w:r>
      <w:r>
        <w:fldChar w:fldCharType="separate"/>
      </w:r>
      <w:r>
        <w:t>104</w:t>
      </w:r>
      <w:r>
        <w:fldChar w:fldCharType="end"/>
      </w:r>
    </w:p>
    <w:p>
      <w:pPr>
        <w:pStyle w:val="TOC8"/>
        <w:rPr>
          <w:rFonts w:asciiTheme="minorHAnsi" w:eastAsiaTheme="minorEastAsia" w:hAnsiTheme="minorHAnsi" w:cstheme="minorBidi"/>
          <w:szCs w:val="22"/>
        </w:rPr>
      </w:pPr>
      <w:r>
        <w:t>104L.</w:t>
      </w:r>
      <w:r>
        <w:tab/>
        <w:t>Surrender of carbon covenant</w:t>
      </w:r>
      <w:r>
        <w:tab/>
      </w:r>
      <w:r>
        <w:fldChar w:fldCharType="begin"/>
      </w:r>
      <w:r>
        <w:instrText xml:space="preserve"> PAGEREF _Toc383511481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rPr>
      </w:pPr>
      <w:r>
        <w:t>Division 2B — Tree plantation agreements and plantation interests</w:t>
      </w:r>
    </w:p>
    <w:p>
      <w:pPr>
        <w:pStyle w:val="TOC8"/>
        <w:rPr>
          <w:rFonts w:asciiTheme="minorHAnsi" w:eastAsiaTheme="minorEastAsia" w:hAnsiTheme="minorHAnsi" w:cstheme="minorBidi"/>
          <w:szCs w:val="22"/>
        </w:rPr>
      </w:pPr>
      <w:r>
        <w:t>104M.</w:t>
      </w:r>
      <w:r>
        <w:tab/>
        <w:t>Terms used</w:t>
      </w:r>
      <w:r>
        <w:tab/>
      </w:r>
      <w:r>
        <w:fldChar w:fldCharType="begin"/>
      </w:r>
      <w:r>
        <w:instrText xml:space="preserve"> PAGEREF _Toc383511483 \h </w:instrText>
      </w:r>
      <w:r>
        <w:fldChar w:fldCharType="separate"/>
      </w:r>
      <w:r>
        <w:t>106</w:t>
      </w:r>
      <w:r>
        <w:fldChar w:fldCharType="end"/>
      </w:r>
    </w:p>
    <w:p>
      <w:pPr>
        <w:pStyle w:val="TOC8"/>
        <w:rPr>
          <w:rFonts w:asciiTheme="minorHAnsi" w:eastAsiaTheme="minorEastAsia" w:hAnsiTheme="minorHAnsi" w:cstheme="minorBidi"/>
          <w:szCs w:val="22"/>
        </w:rPr>
      </w:pPr>
      <w:r>
        <w:t>104N.</w:t>
      </w:r>
      <w:r>
        <w:tab/>
        <w:t>Registration of tree plantation agreement</w:t>
      </w:r>
      <w:r>
        <w:tab/>
      </w:r>
      <w:r>
        <w:fldChar w:fldCharType="begin"/>
      </w:r>
      <w:r>
        <w:instrText xml:space="preserve"> PAGEREF _Toc383511484 \h </w:instrText>
      </w:r>
      <w:r>
        <w:fldChar w:fldCharType="separate"/>
      </w:r>
      <w:r>
        <w:t>106</w:t>
      </w:r>
      <w:r>
        <w:fldChar w:fldCharType="end"/>
      </w:r>
    </w:p>
    <w:p>
      <w:pPr>
        <w:pStyle w:val="TOC8"/>
        <w:rPr>
          <w:rFonts w:asciiTheme="minorHAnsi" w:eastAsiaTheme="minorEastAsia" w:hAnsiTheme="minorHAnsi" w:cstheme="minorBidi"/>
          <w:szCs w:val="22"/>
        </w:rPr>
      </w:pPr>
      <w:r>
        <w:t>104O.</w:t>
      </w:r>
      <w:r>
        <w:tab/>
        <w:t>Extension of plantation interest</w:t>
      </w:r>
      <w:r>
        <w:tab/>
      </w:r>
      <w:r>
        <w:fldChar w:fldCharType="begin"/>
      </w:r>
      <w:r>
        <w:instrText xml:space="preserve"> PAGEREF _Toc383511485 \h </w:instrText>
      </w:r>
      <w:r>
        <w:fldChar w:fldCharType="separate"/>
      </w:r>
      <w:r>
        <w:t>106</w:t>
      </w:r>
      <w:r>
        <w:fldChar w:fldCharType="end"/>
      </w:r>
    </w:p>
    <w:p>
      <w:pPr>
        <w:pStyle w:val="TOC8"/>
        <w:rPr>
          <w:rFonts w:asciiTheme="minorHAnsi" w:eastAsiaTheme="minorEastAsia" w:hAnsiTheme="minorHAnsi" w:cstheme="minorBidi"/>
          <w:szCs w:val="22"/>
        </w:rPr>
      </w:pPr>
      <w:r>
        <w:t>104P.</w:t>
      </w:r>
      <w:r>
        <w:tab/>
        <w:t>Variation of agreement</w:t>
      </w:r>
      <w:r>
        <w:tab/>
      </w:r>
      <w:r>
        <w:fldChar w:fldCharType="begin"/>
      </w:r>
      <w:r>
        <w:instrText xml:space="preserve"> PAGEREF _Toc383511486 \h </w:instrText>
      </w:r>
      <w:r>
        <w:fldChar w:fldCharType="separate"/>
      </w:r>
      <w:r>
        <w:t>108</w:t>
      </w:r>
      <w:r>
        <w:fldChar w:fldCharType="end"/>
      </w:r>
    </w:p>
    <w:p>
      <w:pPr>
        <w:pStyle w:val="TOC8"/>
        <w:rPr>
          <w:rFonts w:asciiTheme="minorHAnsi" w:eastAsiaTheme="minorEastAsia" w:hAnsiTheme="minorHAnsi" w:cstheme="minorBidi"/>
          <w:szCs w:val="22"/>
        </w:rPr>
      </w:pPr>
      <w:r>
        <w:t>104Q.</w:t>
      </w:r>
      <w:r>
        <w:tab/>
        <w:t>Transfer of plantation interests</w:t>
      </w:r>
      <w:r>
        <w:tab/>
      </w:r>
      <w:r>
        <w:fldChar w:fldCharType="begin"/>
      </w:r>
      <w:r>
        <w:instrText xml:space="preserve"> PAGEREF _Toc383511487 \h </w:instrText>
      </w:r>
      <w:r>
        <w:fldChar w:fldCharType="separate"/>
      </w:r>
      <w:r>
        <w:t>110</w:t>
      </w:r>
      <w:r>
        <w:fldChar w:fldCharType="end"/>
      </w:r>
    </w:p>
    <w:p>
      <w:pPr>
        <w:pStyle w:val="TOC8"/>
        <w:rPr>
          <w:rFonts w:asciiTheme="minorHAnsi" w:eastAsiaTheme="minorEastAsia" w:hAnsiTheme="minorHAnsi" w:cstheme="minorBidi"/>
          <w:szCs w:val="22"/>
        </w:rPr>
      </w:pPr>
      <w:r>
        <w:t>104R.</w:t>
      </w:r>
      <w:r>
        <w:tab/>
        <w:t>Mortgage of plantation interests</w:t>
      </w:r>
      <w:r>
        <w:tab/>
      </w:r>
      <w:r>
        <w:fldChar w:fldCharType="begin"/>
      </w:r>
      <w:r>
        <w:instrText xml:space="preserve"> PAGEREF _Toc383511488 \h </w:instrText>
      </w:r>
      <w:r>
        <w:fldChar w:fldCharType="separate"/>
      </w:r>
      <w:r>
        <w:t>110</w:t>
      </w:r>
      <w:r>
        <w:fldChar w:fldCharType="end"/>
      </w:r>
    </w:p>
    <w:p>
      <w:pPr>
        <w:pStyle w:val="TOC8"/>
        <w:rPr>
          <w:rFonts w:asciiTheme="minorHAnsi" w:eastAsiaTheme="minorEastAsia" w:hAnsiTheme="minorHAnsi" w:cstheme="minorBidi"/>
          <w:szCs w:val="22"/>
        </w:rPr>
      </w:pPr>
      <w:r>
        <w:t>104S.</w:t>
      </w:r>
      <w:r>
        <w:tab/>
        <w:t>Surrender of plantation interests</w:t>
      </w:r>
      <w:r>
        <w:tab/>
      </w:r>
      <w:r>
        <w:fldChar w:fldCharType="begin"/>
      </w:r>
      <w:r>
        <w:instrText xml:space="preserve"> PAGEREF _Toc383511489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Mortgages and annuities</w:t>
      </w:r>
    </w:p>
    <w:p>
      <w:pPr>
        <w:pStyle w:val="TOC8"/>
        <w:rPr>
          <w:rFonts w:asciiTheme="minorHAnsi" w:eastAsiaTheme="minorEastAsia" w:hAnsiTheme="minorHAnsi" w:cstheme="minorBidi"/>
          <w:szCs w:val="22"/>
        </w:rPr>
      </w:pPr>
      <w:r>
        <w:t>105</w:t>
      </w:r>
      <w:r>
        <w:rPr>
          <w:snapToGrid w:val="0"/>
        </w:rPr>
        <w:t>.</w:t>
      </w:r>
      <w:r>
        <w:rPr>
          <w:snapToGrid w:val="0"/>
        </w:rPr>
        <w:tab/>
        <w:t>Mortgages and charges for annuities, creating</w:t>
      </w:r>
      <w:r>
        <w:tab/>
      </w:r>
      <w:r>
        <w:fldChar w:fldCharType="begin"/>
      </w:r>
      <w:r>
        <w:instrText xml:space="preserve"> PAGEREF _Toc383511491 \h </w:instrText>
      </w:r>
      <w:r>
        <w:fldChar w:fldCharType="separate"/>
      </w:r>
      <w:r>
        <w:t>111</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Extension of mortgage, charge or lease</w:t>
      </w:r>
      <w:r>
        <w:tab/>
      </w:r>
      <w:r>
        <w:fldChar w:fldCharType="begin"/>
      </w:r>
      <w:r>
        <w:instrText xml:space="preserve"> PAGEREF _Toc383511492 \h </w:instrText>
      </w:r>
      <w:r>
        <w:fldChar w:fldCharType="separate"/>
      </w:r>
      <w:r>
        <w:t>111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Mortgage or charge not to operate as transfer; default procedures</w:t>
      </w:r>
      <w:r>
        <w:tab/>
      </w:r>
      <w:r>
        <w:fldChar w:fldCharType="begin"/>
      </w:r>
      <w:r>
        <w:instrText xml:space="preserve"> PAGEREF _Toc383511493 \h </w:instrText>
      </w:r>
      <w:r>
        <w:fldChar w:fldCharType="separate"/>
      </w:r>
      <w:r>
        <w:t>112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Written demand equivalent to written notice</w:t>
      </w:r>
      <w:r>
        <w:tab/>
      </w:r>
      <w:r>
        <w:fldChar w:fldCharType="begin"/>
      </w:r>
      <w:r>
        <w:instrText xml:space="preserve"> PAGEREF _Toc383511494 \h </w:instrText>
      </w:r>
      <w:r>
        <w:fldChar w:fldCharType="separate"/>
      </w:r>
      <w:r>
        <w:t>113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Power to sell in cases of continuing default</w:t>
      </w:r>
      <w:r>
        <w:tab/>
      </w:r>
      <w:r>
        <w:fldChar w:fldCharType="begin"/>
      </w:r>
      <w:r>
        <w:instrText xml:space="preserve"> PAGEREF _Toc383511495 \h </w:instrText>
      </w:r>
      <w:r>
        <w:fldChar w:fldCharType="separate"/>
      </w:r>
      <w:r>
        <w:t>114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Application of purchase money</w:t>
      </w:r>
      <w:r>
        <w:tab/>
      </w:r>
      <w:r>
        <w:fldChar w:fldCharType="begin"/>
      </w:r>
      <w:r>
        <w:instrText xml:space="preserve"> PAGEREF _Toc383511496 \h </w:instrText>
      </w:r>
      <w:r>
        <w:fldChar w:fldCharType="separate"/>
      </w:r>
      <w:r>
        <w:t>114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Transfer after sale by mortgagee etc., effect of</w:t>
      </w:r>
      <w:r>
        <w:tab/>
      </w:r>
      <w:r>
        <w:fldChar w:fldCharType="begin"/>
      </w:r>
      <w:r>
        <w:instrText xml:space="preserve"> PAGEREF _Toc383511497 \h </w:instrText>
      </w:r>
      <w:r>
        <w:fldChar w:fldCharType="separate"/>
      </w:r>
      <w:r>
        <w:t>116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Remedies of mortgagee or annuitant in cases of default</w:t>
      </w:r>
      <w:r>
        <w:tab/>
      </w:r>
      <w:r>
        <w:fldChar w:fldCharType="begin"/>
      </w:r>
      <w:r>
        <w:instrText xml:space="preserve"> PAGEREF _Toc383511498 \h </w:instrText>
      </w:r>
      <w:r>
        <w:fldChar w:fldCharType="separate"/>
      </w:r>
      <w:r>
        <w:t>116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Further remedies of mortgagee or annuitant</w:t>
      </w:r>
      <w:r>
        <w:tab/>
      </w:r>
      <w:r>
        <w:fldChar w:fldCharType="begin"/>
      </w:r>
      <w:r>
        <w:instrText xml:space="preserve"> PAGEREF _Toc383511499 \h </w:instrText>
      </w:r>
      <w:r>
        <w:fldChar w:fldCharType="separate"/>
      </w:r>
      <w:r>
        <w:t>117</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Abolition of power of distress</w:t>
      </w:r>
      <w:r>
        <w:tab/>
      </w:r>
      <w:r>
        <w:fldChar w:fldCharType="begin"/>
      </w:r>
      <w:r>
        <w:instrText xml:space="preserve"> PAGEREF _Toc383511500 \h </w:instrText>
      </w:r>
      <w:r>
        <w:fldChar w:fldCharType="separate"/>
      </w:r>
      <w:r>
        <w:t>118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Covenants implied in mortgages</w:t>
      </w:r>
      <w:r>
        <w:tab/>
      </w:r>
      <w:r>
        <w:fldChar w:fldCharType="begin"/>
      </w:r>
      <w:r>
        <w:instrText xml:space="preserve"> PAGEREF _Toc383511501 \h </w:instrText>
      </w:r>
      <w:r>
        <w:fldChar w:fldCharType="separate"/>
      </w:r>
      <w:r>
        <w:t>118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Mortgagee or annuitant of leasehold entering into possession become liable to lessor</w:t>
      </w:r>
      <w:r>
        <w:tab/>
      </w:r>
      <w:r>
        <w:fldChar w:fldCharType="begin"/>
      </w:r>
      <w:r>
        <w:instrText xml:space="preserve"> PAGEREF _Toc383511502 \h </w:instrText>
      </w:r>
      <w:r>
        <w:fldChar w:fldCharType="separate"/>
      </w:r>
      <w:r>
        <w:t>118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Short form of covenant by mortgagor to insure</w:t>
      </w:r>
      <w:r>
        <w:tab/>
      </w:r>
      <w:r>
        <w:fldChar w:fldCharType="begin"/>
      </w:r>
      <w:r>
        <w:instrText xml:space="preserve"> PAGEREF _Toc383511503 \h </w:instrText>
      </w:r>
      <w:r>
        <w:fldChar w:fldCharType="separate"/>
      </w:r>
      <w:r>
        <w:t>119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Rights of mortgagees generally</w:t>
      </w:r>
      <w:r>
        <w:tab/>
      </w:r>
      <w:r>
        <w:fldChar w:fldCharType="begin"/>
      </w:r>
      <w:r>
        <w:instrText xml:space="preserve"> PAGEREF _Toc383511504 \h </w:instrText>
      </w:r>
      <w:r>
        <w:fldChar w:fldCharType="separate"/>
      </w:r>
      <w:r>
        <w:t>119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Mortgagor not to sue on cause of action available to mortgagee without mortgagee’s consent</w:t>
      </w:r>
      <w:r>
        <w:tab/>
      </w:r>
      <w:r>
        <w:fldChar w:fldCharType="begin"/>
      </w:r>
      <w:r>
        <w:instrText xml:space="preserve"> PAGEREF _Toc383511505 \h </w:instrText>
      </w:r>
      <w:r>
        <w:fldChar w:fldCharType="separate"/>
      </w:r>
      <w:r>
        <w:t>120</w:t>
      </w:r>
      <w:r>
        <w:fldChar w:fldCharType="end"/>
      </w:r>
    </w:p>
    <w:p>
      <w:pPr>
        <w:pStyle w:val="TOC8"/>
        <w:rPr>
          <w:rFonts w:asciiTheme="minorHAnsi" w:eastAsiaTheme="minorEastAsia" w:hAnsiTheme="minorHAnsi" w:cstheme="minorBidi"/>
          <w:szCs w:val="22"/>
        </w:rPr>
      </w:pPr>
      <w:r>
        <w:t>118.</w:t>
      </w:r>
      <w:r>
        <w:tab/>
      </w:r>
      <w:r>
        <w:rPr>
          <w:snapToGrid w:val="0"/>
        </w:rPr>
        <w:t>Application of money obtained by mortgagor in action for waste of or damage to mortgaged lands</w:t>
      </w:r>
      <w:r>
        <w:tab/>
      </w:r>
      <w:r>
        <w:fldChar w:fldCharType="begin"/>
      </w:r>
      <w:r>
        <w:instrText xml:space="preserve"> PAGEREF _Toc383511506 \h </w:instrText>
      </w:r>
      <w:r>
        <w:fldChar w:fldCharType="separate"/>
      </w:r>
      <w:r>
        <w:t>121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Mortgagee may seek court order as to money recovered by mortgagor in action</w:t>
      </w:r>
      <w:r>
        <w:tab/>
      </w:r>
      <w:r>
        <w:fldChar w:fldCharType="begin"/>
      </w:r>
      <w:r>
        <w:instrText xml:space="preserve"> PAGEREF _Toc383511507 \h </w:instrText>
      </w:r>
      <w:r>
        <w:fldChar w:fldCharType="separate"/>
      </w:r>
      <w:r>
        <w:t>121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Application of moneys obtained by mortgagee in action</w:t>
      </w:r>
      <w:r>
        <w:tab/>
      </w:r>
      <w:r>
        <w:fldChar w:fldCharType="begin"/>
      </w:r>
      <w:r>
        <w:instrText xml:space="preserve"> PAGEREF _Toc383511508 \h </w:instrText>
      </w:r>
      <w:r>
        <w:fldChar w:fldCharType="separate"/>
      </w:r>
      <w:r>
        <w:t>122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Foreclosure, application for order for</w:t>
      </w:r>
      <w:r>
        <w:tab/>
      </w:r>
      <w:r>
        <w:fldChar w:fldCharType="begin"/>
      </w:r>
      <w:r>
        <w:instrText xml:space="preserve"> PAGEREF _Toc383511509 \h </w:instrText>
      </w:r>
      <w:r>
        <w:fldChar w:fldCharType="separate"/>
      </w:r>
      <w:r>
        <w:t>122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for foreclosure to be advertised</w:t>
      </w:r>
      <w:r>
        <w:tab/>
      </w:r>
      <w:r>
        <w:fldChar w:fldCharType="begin"/>
      </w:r>
      <w:r>
        <w:instrText xml:space="preserve"> PAGEREF _Toc383511510 \h </w:instrText>
      </w:r>
      <w:r>
        <w:fldChar w:fldCharType="separate"/>
      </w:r>
      <w:r>
        <w:t>123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Discharge of mortgages and annuities</w:t>
      </w:r>
      <w:r>
        <w:tab/>
      </w:r>
      <w:r>
        <w:fldChar w:fldCharType="begin"/>
      </w:r>
      <w:r>
        <w:instrText xml:space="preserve"> PAGEREF _Toc383511511 \h </w:instrText>
      </w:r>
      <w:r>
        <w:fldChar w:fldCharType="separate"/>
      </w:r>
      <w:r>
        <w:t>124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Mortgages etc. made before land brought under this Act</w:t>
      </w:r>
      <w:r>
        <w:tab/>
      </w:r>
      <w:r>
        <w:fldChar w:fldCharType="begin"/>
      </w:r>
      <w:r>
        <w:instrText xml:space="preserve"> PAGEREF _Toc383511512 \h </w:instrText>
      </w:r>
      <w:r>
        <w:fldChar w:fldCharType="separate"/>
      </w:r>
      <w:r>
        <w:t>125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Entry of satisfaction of annuity</w:t>
      </w:r>
      <w:r>
        <w:tab/>
      </w:r>
      <w:r>
        <w:fldChar w:fldCharType="begin"/>
      </w:r>
      <w:r>
        <w:instrText xml:space="preserve"> PAGEREF _Toc383511513 \h </w:instrText>
      </w:r>
      <w:r>
        <w:fldChar w:fldCharType="separate"/>
      </w:r>
      <w:r>
        <w:t>125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Payments under and discharge of mortgages when mortgagee absent from State etc.</w:t>
      </w:r>
      <w:r>
        <w:tab/>
      </w:r>
      <w:r>
        <w:fldChar w:fldCharType="begin"/>
      </w:r>
      <w:r>
        <w:instrText xml:space="preserve"> PAGEREF _Toc383511514 \h </w:instrText>
      </w:r>
      <w:r>
        <w:fldChar w:fldCharType="separate"/>
      </w:r>
      <w:r>
        <w:t>126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First mortgagee to produce title for registration of subsequent instrument</w:t>
      </w:r>
      <w:r>
        <w:tab/>
      </w:r>
      <w:r>
        <w:fldChar w:fldCharType="begin"/>
      </w:r>
      <w:r>
        <w:instrText xml:space="preserve"> PAGEREF _Toc383511515 \h </w:instrText>
      </w:r>
      <w:r>
        <w:fldChar w:fldCharType="separate"/>
      </w:r>
      <w:r>
        <w:t>128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Land brought under this Act subject to mortgage, rights of mortgagee etc.</w:t>
      </w:r>
      <w:r>
        <w:tab/>
      </w:r>
      <w:r>
        <w:fldChar w:fldCharType="begin"/>
      </w:r>
      <w:r>
        <w:instrText xml:space="preserve"> PAGEREF _Toc383511516 \h </w:instrText>
      </w:r>
      <w:r>
        <w:fldChar w:fldCharType="separate"/>
      </w:r>
      <w:r>
        <w:t>128</w:t>
      </w:r>
      <w:r>
        <w:fldChar w:fldCharType="end"/>
      </w:r>
    </w:p>
    <w:p>
      <w:pPr>
        <w:pStyle w:val="TOC8"/>
        <w:rPr>
          <w:rFonts w:asciiTheme="minorHAnsi" w:eastAsiaTheme="minorEastAsia" w:hAnsiTheme="minorHAnsi" w:cstheme="minorBidi"/>
          <w:szCs w:val="22"/>
        </w:rPr>
      </w:pPr>
      <w:r>
        <w:t>128A</w:t>
      </w:r>
      <w:r>
        <w:rPr>
          <w:snapToGrid w:val="0"/>
        </w:rPr>
        <w:t>.</w:t>
      </w:r>
      <w:r>
        <w:rPr>
          <w:snapToGrid w:val="0"/>
        </w:rPr>
        <w:tab/>
        <w:t>Another mortgagee may tender payment</w:t>
      </w:r>
      <w:r>
        <w:tab/>
      </w:r>
      <w:r>
        <w:fldChar w:fldCharType="begin"/>
      </w:r>
      <w:r>
        <w:instrText xml:space="preserve"> PAGEREF _Toc383511517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Division 3A</w:t>
      </w:r>
      <w:r>
        <w:rPr>
          <w:snapToGrid w:val="0"/>
        </w:rPr>
        <w:t> — </w:t>
      </w:r>
      <w:r>
        <w:t>Restrictive covenants and the modification, discharge and enforcement of restrictive covenants and easements</w:t>
      </w:r>
    </w:p>
    <w:p>
      <w:pPr>
        <w:pStyle w:val="TOC8"/>
        <w:rPr>
          <w:rFonts w:asciiTheme="minorHAnsi" w:eastAsiaTheme="minorEastAsia" w:hAnsiTheme="minorHAnsi" w:cstheme="minorBidi"/>
          <w:szCs w:val="22"/>
        </w:rPr>
      </w:pPr>
      <w:r>
        <w:t>129A</w:t>
      </w:r>
      <w:r>
        <w:rPr>
          <w:snapToGrid w:val="0"/>
        </w:rPr>
        <w:t>.</w:t>
      </w:r>
      <w:r>
        <w:rPr>
          <w:snapToGrid w:val="0"/>
        </w:rPr>
        <w:tab/>
        <w:t>Creation of restrictive covenants</w:t>
      </w:r>
      <w:r>
        <w:tab/>
      </w:r>
      <w:r>
        <w:fldChar w:fldCharType="begin"/>
      </w:r>
      <w:r>
        <w:instrText xml:space="preserve"> PAGEREF _Toc383511519 \h </w:instrText>
      </w:r>
      <w:r>
        <w:fldChar w:fldCharType="separate"/>
      </w:r>
      <w:r>
        <w:t>129</w:t>
      </w:r>
      <w:r>
        <w:fldChar w:fldCharType="end"/>
      </w:r>
    </w:p>
    <w:p>
      <w:pPr>
        <w:pStyle w:val="TOC8"/>
        <w:rPr>
          <w:rFonts w:asciiTheme="minorHAnsi" w:eastAsiaTheme="minorEastAsia" w:hAnsiTheme="minorHAnsi" w:cstheme="minorBidi"/>
          <w:szCs w:val="22"/>
        </w:rPr>
      </w:pPr>
      <w:r>
        <w:t>129B</w:t>
      </w:r>
      <w:r>
        <w:rPr>
          <w:snapToGrid w:val="0"/>
        </w:rPr>
        <w:t>.</w:t>
      </w:r>
      <w:r>
        <w:rPr>
          <w:snapToGrid w:val="0"/>
        </w:rPr>
        <w:tab/>
        <w:t>Discharge and modification of restrictive covenants</w:t>
      </w:r>
      <w:r>
        <w:tab/>
      </w:r>
      <w:r>
        <w:fldChar w:fldCharType="begin"/>
      </w:r>
      <w:r>
        <w:instrText xml:space="preserve"> PAGEREF _Toc383511520 \h </w:instrText>
      </w:r>
      <w:r>
        <w:fldChar w:fldCharType="separate"/>
      </w:r>
      <w:r>
        <w:t>130</w:t>
      </w:r>
      <w:r>
        <w:fldChar w:fldCharType="end"/>
      </w:r>
    </w:p>
    <w:p>
      <w:pPr>
        <w:pStyle w:val="TOC8"/>
        <w:rPr>
          <w:rFonts w:asciiTheme="minorHAnsi" w:eastAsiaTheme="minorEastAsia" w:hAnsiTheme="minorHAnsi" w:cstheme="minorBidi"/>
          <w:szCs w:val="22"/>
        </w:rPr>
      </w:pPr>
      <w:r>
        <w:t>129BA</w:t>
      </w:r>
      <w:r>
        <w:rPr>
          <w:snapToGrid w:val="0"/>
        </w:rPr>
        <w:t>.</w:t>
      </w:r>
      <w:r>
        <w:rPr>
          <w:snapToGrid w:val="0"/>
        </w:rPr>
        <w:tab/>
        <w:t>Restrictive covenants benefiting local governments and public authorities</w:t>
      </w:r>
      <w:r>
        <w:tab/>
      </w:r>
      <w:r>
        <w:fldChar w:fldCharType="begin"/>
      </w:r>
      <w:r>
        <w:instrText xml:space="preserve"> PAGEREF _Toc383511521 \h </w:instrText>
      </w:r>
      <w:r>
        <w:fldChar w:fldCharType="separate"/>
      </w:r>
      <w:r>
        <w:t>131</w:t>
      </w:r>
      <w:r>
        <w:fldChar w:fldCharType="end"/>
      </w:r>
    </w:p>
    <w:p>
      <w:pPr>
        <w:pStyle w:val="TOC8"/>
        <w:rPr>
          <w:rFonts w:asciiTheme="minorHAnsi" w:eastAsiaTheme="minorEastAsia" w:hAnsiTheme="minorHAnsi" w:cstheme="minorBidi"/>
          <w:szCs w:val="22"/>
        </w:rPr>
      </w:pPr>
      <w:r>
        <w:t>129BB.</w:t>
      </w:r>
      <w:r>
        <w:tab/>
        <w:t>Discharge and modification of s. 129BA covenants</w:t>
      </w:r>
      <w:r>
        <w:tab/>
      </w:r>
      <w:r>
        <w:fldChar w:fldCharType="begin"/>
      </w:r>
      <w:r>
        <w:instrText xml:space="preserve"> PAGEREF _Toc383511522 \h </w:instrText>
      </w:r>
      <w:r>
        <w:fldChar w:fldCharType="separate"/>
      </w:r>
      <w:r>
        <w:t>131</w:t>
      </w:r>
      <w:r>
        <w:fldChar w:fldCharType="end"/>
      </w:r>
    </w:p>
    <w:p>
      <w:pPr>
        <w:pStyle w:val="TOC8"/>
        <w:rPr>
          <w:rFonts w:asciiTheme="minorHAnsi" w:eastAsiaTheme="minorEastAsia" w:hAnsiTheme="minorHAnsi" w:cstheme="minorBidi"/>
          <w:szCs w:val="22"/>
        </w:rPr>
      </w:pPr>
      <w:r>
        <w:t>129C</w:t>
      </w:r>
      <w:r>
        <w:rPr>
          <w:snapToGrid w:val="0"/>
        </w:rPr>
        <w:t>.</w:t>
      </w:r>
      <w:r>
        <w:rPr>
          <w:snapToGrid w:val="0"/>
        </w:rPr>
        <w:tab/>
        <w:t>Supreme Court’s powers as to easements etc.</w:t>
      </w:r>
      <w:r>
        <w:tab/>
      </w:r>
      <w:r>
        <w:fldChar w:fldCharType="begin"/>
      </w:r>
      <w:r>
        <w:instrText xml:space="preserve"> PAGEREF _Toc383511523 \h </w:instrText>
      </w:r>
      <w:r>
        <w:fldChar w:fldCharType="separate"/>
      </w:r>
      <w:r>
        <w:t>134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130</w:t>
      </w:r>
      <w:r>
        <w:rPr>
          <w:snapToGrid w:val="0"/>
        </w:rPr>
        <w:t>.</w:t>
      </w:r>
      <w:r>
        <w:rPr>
          <w:snapToGrid w:val="0"/>
        </w:rPr>
        <w:tab/>
        <w:t>Seal of corporation substitute for signature</w:t>
      </w:r>
      <w:r>
        <w:tab/>
      </w:r>
      <w:r>
        <w:fldChar w:fldCharType="begin"/>
      </w:r>
      <w:r>
        <w:instrText xml:space="preserve"> PAGEREF _Toc383511525 \h </w:instrText>
      </w:r>
      <w:r>
        <w:fldChar w:fldCharType="separate"/>
      </w:r>
      <w:r>
        <w:t>138</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Implied covenants and powers may be modified or negatived</w:t>
      </w:r>
      <w:r>
        <w:tab/>
      </w:r>
      <w:r>
        <w:fldChar w:fldCharType="begin"/>
      </w:r>
      <w:r>
        <w:instrText xml:space="preserve"> PAGEREF _Toc383511526 \h </w:instrText>
      </w:r>
      <w:r>
        <w:fldChar w:fldCharType="separate"/>
      </w:r>
      <w:r>
        <w:t>138</w:t>
      </w:r>
      <w:r>
        <w:fldChar w:fldCharType="end"/>
      </w:r>
    </w:p>
    <w:p>
      <w:pPr>
        <w:pStyle w:val="TOC8"/>
        <w:rPr>
          <w:rFonts w:asciiTheme="minorHAnsi" w:eastAsiaTheme="minorEastAsia" w:hAnsiTheme="minorHAnsi" w:cstheme="minorBidi"/>
          <w:szCs w:val="22"/>
        </w:rPr>
      </w:pPr>
      <w:r>
        <w:t>133.</w:t>
      </w:r>
      <w:r>
        <w:tab/>
        <w:t>Property (seizure and sale) order, registration of etc.</w:t>
      </w:r>
      <w:r>
        <w:tab/>
      </w:r>
      <w:r>
        <w:fldChar w:fldCharType="begin"/>
      </w:r>
      <w:r>
        <w:instrText xml:space="preserve"> PAGEREF _Toc383511527 \h </w:instrText>
      </w:r>
      <w:r>
        <w:fldChar w:fldCharType="separate"/>
      </w:r>
      <w:r>
        <w:t>139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Purchaser from registered proprietor not required to inquire into title and not affected by notice of unregistered interest etc.</w:t>
      </w:r>
      <w:r>
        <w:tab/>
      </w:r>
      <w:r>
        <w:fldChar w:fldCharType="begin"/>
      </w:r>
      <w:r>
        <w:instrText xml:space="preserve"> PAGEREF _Toc383511528 \h </w:instrText>
      </w:r>
      <w:r>
        <w:fldChar w:fldCharType="separate"/>
      </w:r>
      <w:r>
        <w:t>144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Transferee of tenant in tail may be registered for larger estate which tenant in tail can confer</w:t>
      </w:r>
      <w:r>
        <w:tab/>
      </w:r>
      <w:r>
        <w:fldChar w:fldCharType="begin"/>
      </w:r>
      <w:r>
        <w:instrText xml:space="preserve"> PAGEREF _Toc383511529 \h </w:instrText>
      </w:r>
      <w:r>
        <w:fldChar w:fldCharType="separate"/>
      </w:r>
      <w:r>
        <w:t>145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Registrar to furnish plan showing land dealt with where memorandum on certificate does not describe the land</w:t>
      </w:r>
      <w:r>
        <w:tab/>
      </w:r>
      <w:r>
        <w:fldChar w:fldCharType="begin"/>
      </w:r>
      <w:r>
        <w:instrText xml:space="preserve"> PAGEREF _Toc383511530 \h </w:instrText>
      </w:r>
      <w:r>
        <w:fldChar w:fldCharType="separate"/>
      </w:r>
      <w:r>
        <w:t>145</w:t>
      </w:r>
      <w:r>
        <w:fldChar w:fldCharType="end"/>
      </w:r>
    </w:p>
    <w:p>
      <w:pPr>
        <w:pStyle w:val="TOC2"/>
        <w:tabs>
          <w:tab w:val="right" w:leader="dot" w:pos="7086"/>
        </w:tabs>
        <w:rPr>
          <w:rFonts w:asciiTheme="minorHAnsi" w:eastAsiaTheme="minorEastAsia" w:hAnsiTheme="minorHAnsi" w:cstheme="minorBidi"/>
          <w:b w:val="0"/>
          <w:sz w:val="22"/>
          <w:szCs w:val="22"/>
        </w:rPr>
      </w:pPr>
      <w:r>
        <w:t>Part IVA — Creation of easements and restrictive covenants by notations on subdivision plans and diagrams</w:t>
      </w:r>
    </w:p>
    <w:p>
      <w:pPr>
        <w:pStyle w:val="TOC8"/>
        <w:rPr>
          <w:rFonts w:asciiTheme="minorHAnsi" w:eastAsiaTheme="minorEastAsia" w:hAnsiTheme="minorHAnsi" w:cstheme="minorBidi"/>
          <w:szCs w:val="22"/>
        </w:rPr>
      </w:pPr>
      <w:r>
        <w:t>136A</w:t>
      </w:r>
      <w:r>
        <w:rPr>
          <w:snapToGrid w:val="0"/>
        </w:rPr>
        <w:t>.</w:t>
      </w:r>
      <w:r>
        <w:rPr>
          <w:snapToGrid w:val="0"/>
        </w:rPr>
        <w:tab/>
        <w:t>Term used: plan</w:t>
      </w:r>
      <w:r>
        <w:tab/>
      </w:r>
      <w:r>
        <w:fldChar w:fldCharType="begin"/>
      </w:r>
      <w:r>
        <w:instrText xml:space="preserve"> PAGEREF _Toc383511532 \h </w:instrText>
      </w:r>
      <w:r>
        <w:fldChar w:fldCharType="separate"/>
      </w:r>
      <w:r>
        <w:t>147</w:t>
      </w:r>
      <w:r>
        <w:fldChar w:fldCharType="end"/>
      </w:r>
    </w:p>
    <w:p>
      <w:pPr>
        <w:pStyle w:val="TOC8"/>
        <w:rPr>
          <w:rFonts w:asciiTheme="minorHAnsi" w:eastAsiaTheme="minorEastAsia" w:hAnsiTheme="minorHAnsi" w:cstheme="minorBidi"/>
          <w:szCs w:val="22"/>
        </w:rPr>
      </w:pPr>
      <w:r>
        <w:t>136B</w:t>
      </w:r>
      <w:r>
        <w:rPr>
          <w:snapToGrid w:val="0"/>
        </w:rPr>
        <w:t>.</w:t>
      </w:r>
      <w:r>
        <w:rPr>
          <w:snapToGrid w:val="0"/>
        </w:rPr>
        <w:tab/>
        <w:t>Application of this Part</w:t>
      </w:r>
      <w:r>
        <w:tab/>
      </w:r>
      <w:r>
        <w:fldChar w:fldCharType="begin"/>
      </w:r>
      <w:r>
        <w:instrText xml:space="preserve"> PAGEREF _Toc383511533 \h </w:instrText>
      </w:r>
      <w:r>
        <w:fldChar w:fldCharType="separate"/>
      </w:r>
      <w:r>
        <w:t>147</w:t>
      </w:r>
      <w:r>
        <w:fldChar w:fldCharType="end"/>
      </w:r>
    </w:p>
    <w:p>
      <w:pPr>
        <w:pStyle w:val="TOC8"/>
        <w:rPr>
          <w:rFonts w:asciiTheme="minorHAnsi" w:eastAsiaTheme="minorEastAsia" w:hAnsiTheme="minorHAnsi" w:cstheme="minorBidi"/>
          <w:szCs w:val="22"/>
        </w:rPr>
      </w:pPr>
      <w:r>
        <w:t>136C</w:t>
      </w:r>
      <w:r>
        <w:rPr>
          <w:snapToGrid w:val="0"/>
        </w:rPr>
        <w:t>.</w:t>
      </w:r>
      <w:r>
        <w:rPr>
          <w:snapToGrid w:val="0"/>
        </w:rPr>
        <w:tab/>
        <w:t>Notation of easements on subdivision plans</w:t>
      </w:r>
      <w:r>
        <w:tab/>
      </w:r>
      <w:r>
        <w:fldChar w:fldCharType="begin"/>
      </w:r>
      <w:r>
        <w:instrText xml:space="preserve"> PAGEREF _Toc383511534 \h </w:instrText>
      </w:r>
      <w:r>
        <w:fldChar w:fldCharType="separate"/>
      </w:r>
      <w:r>
        <w:t>147</w:t>
      </w:r>
      <w:r>
        <w:fldChar w:fldCharType="end"/>
      </w:r>
    </w:p>
    <w:p>
      <w:pPr>
        <w:pStyle w:val="TOC8"/>
        <w:rPr>
          <w:rFonts w:asciiTheme="minorHAnsi" w:eastAsiaTheme="minorEastAsia" w:hAnsiTheme="minorHAnsi" w:cstheme="minorBidi"/>
          <w:szCs w:val="22"/>
        </w:rPr>
      </w:pPr>
      <w:r>
        <w:t>136D</w:t>
      </w:r>
      <w:r>
        <w:rPr>
          <w:snapToGrid w:val="0"/>
        </w:rPr>
        <w:t>.</w:t>
      </w:r>
      <w:r>
        <w:rPr>
          <w:snapToGrid w:val="0"/>
        </w:rPr>
        <w:tab/>
        <w:t>Notation of restrictive covenants on subdivision plans</w:t>
      </w:r>
      <w:r>
        <w:tab/>
      </w:r>
      <w:r>
        <w:fldChar w:fldCharType="begin"/>
      </w:r>
      <w:r>
        <w:instrText xml:space="preserve"> PAGEREF _Toc383511535 \h </w:instrText>
      </w:r>
      <w:r>
        <w:fldChar w:fldCharType="separate"/>
      </w:r>
      <w:r>
        <w:t>149</w:t>
      </w:r>
      <w:r>
        <w:fldChar w:fldCharType="end"/>
      </w:r>
    </w:p>
    <w:p>
      <w:pPr>
        <w:pStyle w:val="TOC8"/>
        <w:rPr>
          <w:rFonts w:asciiTheme="minorHAnsi" w:eastAsiaTheme="minorEastAsia" w:hAnsiTheme="minorHAnsi" w:cstheme="minorBidi"/>
          <w:szCs w:val="22"/>
        </w:rPr>
      </w:pPr>
      <w:r>
        <w:t>136E</w:t>
      </w:r>
      <w:r>
        <w:rPr>
          <w:snapToGrid w:val="0"/>
        </w:rPr>
        <w:t>.</w:t>
      </w:r>
      <w:r>
        <w:rPr>
          <w:snapToGrid w:val="0"/>
        </w:rPr>
        <w:tab/>
        <w:t>Consent of certain persons required to creation of easements and restrictive covenants</w:t>
      </w:r>
      <w:r>
        <w:tab/>
      </w:r>
      <w:r>
        <w:fldChar w:fldCharType="begin"/>
      </w:r>
      <w:r>
        <w:instrText xml:space="preserve"> PAGEREF _Toc383511536 \h </w:instrText>
      </w:r>
      <w:r>
        <w:fldChar w:fldCharType="separate"/>
      </w:r>
      <w:r>
        <w:t>150</w:t>
      </w:r>
      <w:r>
        <w:fldChar w:fldCharType="end"/>
      </w:r>
    </w:p>
    <w:p>
      <w:pPr>
        <w:pStyle w:val="TOC8"/>
        <w:rPr>
          <w:rFonts w:asciiTheme="minorHAnsi" w:eastAsiaTheme="minorEastAsia" w:hAnsiTheme="minorHAnsi" w:cstheme="minorBidi"/>
          <w:szCs w:val="22"/>
        </w:rPr>
      </w:pPr>
      <w:r>
        <w:t>136F</w:t>
      </w:r>
      <w:r>
        <w:rPr>
          <w:snapToGrid w:val="0"/>
        </w:rPr>
        <w:t>.</w:t>
      </w:r>
      <w:r>
        <w:rPr>
          <w:snapToGrid w:val="0"/>
        </w:rPr>
        <w:tab/>
        <w:t>When easements and restrictive covenants under this Part have effect</w:t>
      </w:r>
      <w:r>
        <w:tab/>
      </w:r>
      <w:r>
        <w:fldChar w:fldCharType="begin"/>
      </w:r>
      <w:r>
        <w:instrText xml:space="preserve"> PAGEREF _Toc383511537 \h </w:instrText>
      </w:r>
      <w:r>
        <w:fldChar w:fldCharType="separate"/>
      </w:r>
      <w:r>
        <w:t>150</w:t>
      </w:r>
      <w:r>
        <w:fldChar w:fldCharType="end"/>
      </w:r>
    </w:p>
    <w:p>
      <w:pPr>
        <w:pStyle w:val="TOC8"/>
        <w:rPr>
          <w:rFonts w:asciiTheme="minorHAnsi" w:eastAsiaTheme="minorEastAsia" w:hAnsiTheme="minorHAnsi" w:cstheme="minorBidi"/>
          <w:szCs w:val="22"/>
        </w:rPr>
      </w:pPr>
      <w:r>
        <w:t>136G</w:t>
      </w:r>
      <w:r>
        <w:rPr>
          <w:snapToGrid w:val="0"/>
        </w:rPr>
        <w:t>.</w:t>
      </w:r>
      <w:r>
        <w:rPr>
          <w:snapToGrid w:val="0"/>
        </w:rPr>
        <w:tab/>
        <w:t>Easements and restrictive covenants under this Part may be effective for specified term only</w:t>
      </w:r>
      <w:r>
        <w:tab/>
      </w:r>
      <w:r>
        <w:fldChar w:fldCharType="begin"/>
      </w:r>
      <w:r>
        <w:instrText xml:space="preserve"> PAGEREF _Toc383511538 \h </w:instrText>
      </w:r>
      <w:r>
        <w:fldChar w:fldCharType="separate"/>
      </w:r>
      <w:r>
        <w:t>151</w:t>
      </w:r>
      <w:r>
        <w:fldChar w:fldCharType="end"/>
      </w:r>
    </w:p>
    <w:p>
      <w:pPr>
        <w:pStyle w:val="TOC8"/>
        <w:rPr>
          <w:rFonts w:asciiTheme="minorHAnsi" w:eastAsiaTheme="minorEastAsia" w:hAnsiTheme="minorHAnsi" w:cstheme="minorBidi"/>
          <w:szCs w:val="22"/>
        </w:rPr>
      </w:pPr>
      <w:r>
        <w:t>136H</w:t>
      </w:r>
      <w:r>
        <w:rPr>
          <w:snapToGrid w:val="0"/>
        </w:rPr>
        <w:t>.</w:t>
      </w:r>
      <w:r>
        <w:rPr>
          <w:snapToGrid w:val="0"/>
        </w:rPr>
        <w:tab/>
        <w:t>Easements and restrictive covenants under this Part may both burden and benefit land of same proprietor</w:t>
      </w:r>
      <w:r>
        <w:tab/>
      </w:r>
      <w:r>
        <w:fldChar w:fldCharType="begin"/>
      </w:r>
      <w:r>
        <w:instrText xml:space="preserve"> PAGEREF _Toc383511539 \h </w:instrText>
      </w:r>
      <w:r>
        <w:fldChar w:fldCharType="separate"/>
      </w:r>
      <w:r>
        <w:t>151</w:t>
      </w:r>
      <w:r>
        <w:fldChar w:fldCharType="end"/>
      </w:r>
    </w:p>
    <w:p>
      <w:pPr>
        <w:pStyle w:val="TOC8"/>
        <w:rPr>
          <w:rFonts w:asciiTheme="minorHAnsi" w:eastAsiaTheme="minorEastAsia" w:hAnsiTheme="minorHAnsi" w:cstheme="minorBidi"/>
          <w:szCs w:val="22"/>
        </w:rPr>
      </w:pPr>
      <w:r>
        <w:t>136I</w:t>
      </w:r>
      <w:r>
        <w:rPr>
          <w:snapToGrid w:val="0"/>
        </w:rPr>
        <w:t>.</w:t>
      </w:r>
      <w:r>
        <w:rPr>
          <w:snapToGrid w:val="0"/>
        </w:rPr>
        <w:tab/>
        <w:t>Recordings in Register</w:t>
      </w:r>
      <w:r>
        <w:tab/>
      </w:r>
      <w:r>
        <w:fldChar w:fldCharType="begin"/>
      </w:r>
      <w:r>
        <w:instrText xml:space="preserve"> PAGEREF _Toc383511540 \h </w:instrText>
      </w:r>
      <w:r>
        <w:fldChar w:fldCharType="separate"/>
      </w:r>
      <w:r>
        <w:t>151</w:t>
      </w:r>
      <w:r>
        <w:fldChar w:fldCharType="end"/>
      </w:r>
    </w:p>
    <w:p>
      <w:pPr>
        <w:pStyle w:val="TOC8"/>
        <w:rPr>
          <w:rFonts w:asciiTheme="minorHAnsi" w:eastAsiaTheme="minorEastAsia" w:hAnsiTheme="minorHAnsi" w:cstheme="minorBidi"/>
          <w:szCs w:val="22"/>
        </w:rPr>
      </w:pPr>
      <w:r>
        <w:t>136J</w:t>
      </w:r>
      <w:r>
        <w:rPr>
          <w:snapToGrid w:val="0"/>
        </w:rPr>
        <w:t>.</w:t>
      </w:r>
      <w:r>
        <w:rPr>
          <w:snapToGrid w:val="0"/>
        </w:rPr>
        <w:tab/>
        <w:t>Discharge and modification of easements and restrictive covenants under this Part</w:t>
      </w:r>
      <w:r>
        <w:tab/>
      </w:r>
      <w:r>
        <w:fldChar w:fldCharType="begin"/>
      </w:r>
      <w:r>
        <w:instrText xml:space="preserve"> PAGEREF _Toc383511541 \h </w:instrText>
      </w:r>
      <w:r>
        <w:fldChar w:fldCharType="separate"/>
      </w:r>
      <w:r>
        <w:t>152</w:t>
      </w:r>
      <w:r>
        <w:fldChar w:fldCharType="end"/>
      </w:r>
    </w:p>
    <w:p>
      <w:pPr>
        <w:pStyle w:val="TOC2"/>
        <w:tabs>
          <w:tab w:val="right" w:leader="dot" w:pos="7086"/>
        </w:tabs>
        <w:rPr>
          <w:rFonts w:asciiTheme="minorHAnsi" w:eastAsiaTheme="minorEastAsia" w:hAnsiTheme="minorHAnsi" w:cstheme="minorBidi"/>
          <w:b w:val="0"/>
          <w:sz w:val="22"/>
          <w:szCs w:val="22"/>
        </w:rPr>
      </w:pPr>
      <w:r>
        <w:t>Part V — Caveats</w:t>
      </w:r>
    </w:p>
    <w:p>
      <w:pPr>
        <w:pStyle w:val="TOC8"/>
        <w:rPr>
          <w:rFonts w:asciiTheme="minorHAnsi" w:eastAsiaTheme="minorEastAsia" w:hAnsiTheme="minorHAnsi" w:cstheme="minorBidi"/>
          <w:szCs w:val="22"/>
        </w:rPr>
      </w:pPr>
      <w:r>
        <w:t>136K</w:t>
      </w:r>
      <w:r>
        <w:rPr>
          <w:snapToGrid w:val="0"/>
        </w:rPr>
        <w:t>.</w:t>
      </w:r>
      <w:r>
        <w:rPr>
          <w:snapToGrid w:val="0"/>
        </w:rPr>
        <w:tab/>
        <w:t>Term used: section 138A caveat; application of this Part</w:t>
      </w:r>
      <w:r>
        <w:tab/>
      </w:r>
      <w:r>
        <w:fldChar w:fldCharType="begin"/>
      </w:r>
      <w:r>
        <w:instrText xml:space="preserve"> PAGEREF _Toc383511543 \h </w:instrText>
      </w:r>
      <w:r>
        <w:fldChar w:fldCharType="separate"/>
      </w:r>
      <w:r>
        <w:t>155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Lodging caveats for land already under this Act</w:t>
      </w:r>
      <w:r>
        <w:tab/>
      </w:r>
      <w:r>
        <w:fldChar w:fldCharType="begin"/>
      </w:r>
      <w:r>
        <w:instrText xml:space="preserve"> PAGEREF _Toc383511544 \h </w:instrText>
      </w:r>
      <w:r>
        <w:fldChar w:fldCharType="separate"/>
      </w:r>
      <w:r>
        <w:t>155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Consequences of lodging caveat</w:t>
      </w:r>
      <w:r>
        <w:tab/>
      </w:r>
      <w:r>
        <w:fldChar w:fldCharType="begin"/>
      </w:r>
      <w:r>
        <w:instrText xml:space="preserve"> PAGEREF _Toc383511545 \h </w:instrText>
      </w:r>
      <w:r>
        <w:fldChar w:fldCharType="separate"/>
      </w:r>
      <w:r>
        <w:t>156</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Caveats to which s. 138B to 138D apply</w:t>
      </w:r>
      <w:r>
        <w:tab/>
      </w:r>
      <w:r>
        <w:fldChar w:fldCharType="begin"/>
      </w:r>
      <w:r>
        <w:instrText xml:space="preserve"> PAGEREF _Toc383511546 \h </w:instrText>
      </w:r>
      <w:r>
        <w:fldChar w:fldCharType="separate"/>
      </w:r>
      <w:r>
        <w:t>158</w:t>
      </w:r>
      <w:r>
        <w:fldChar w:fldCharType="end"/>
      </w:r>
    </w:p>
    <w:p>
      <w:pPr>
        <w:pStyle w:val="TOC8"/>
        <w:rPr>
          <w:rFonts w:asciiTheme="minorHAnsi" w:eastAsiaTheme="minorEastAsia" w:hAnsiTheme="minorHAnsi" w:cstheme="minorBidi"/>
          <w:szCs w:val="22"/>
        </w:rPr>
      </w:pPr>
      <w:r>
        <w:t>138B</w:t>
      </w:r>
      <w:r>
        <w:rPr>
          <w:snapToGrid w:val="0"/>
        </w:rPr>
        <w:t>.</w:t>
      </w:r>
      <w:r>
        <w:rPr>
          <w:snapToGrid w:val="0"/>
        </w:rPr>
        <w:tab/>
        <w:t>Requiring caveator to seek court order extending s. 138A caveat</w:t>
      </w:r>
      <w:r>
        <w:tab/>
      </w:r>
      <w:r>
        <w:fldChar w:fldCharType="begin"/>
      </w:r>
      <w:r>
        <w:instrText xml:space="preserve"> PAGEREF _Toc383511547 \h </w:instrText>
      </w:r>
      <w:r>
        <w:fldChar w:fldCharType="separate"/>
      </w:r>
      <w:r>
        <w:t>158</w:t>
      </w:r>
      <w:r>
        <w:fldChar w:fldCharType="end"/>
      </w:r>
    </w:p>
    <w:p>
      <w:pPr>
        <w:pStyle w:val="TOC8"/>
        <w:rPr>
          <w:rFonts w:asciiTheme="minorHAnsi" w:eastAsiaTheme="minorEastAsia" w:hAnsiTheme="minorHAnsi" w:cstheme="minorBidi"/>
          <w:szCs w:val="22"/>
        </w:rPr>
      </w:pPr>
      <w:r>
        <w:t>138C</w:t>
      </w:r>
      <w:r>
        <w:rPr>
          <w:snapToGrid w:val="0"/>
        </w:rPr>
        <w:t>.</w:t>
      </w:r>
      <w:r>
        <w:rPr>
          <w:snapToGrid w:val="0"/>
        </w:rPr>
        <w:tab/>
        <w:t>Supreme Court’s powers on application by caveator</w:t>
      </w:r>
      <w:r>
        <w:tab/>
      </w:r>
      <w:r>
        <w:fldChar w:fldCharType="begin"/>
      </w:r>
      <w:r>
        <w:instrText xml:space="preserve"> PAGEREF _Toc383511548 \h </w:instrText>
      </w:r>
      <w:r>
        <w:fldChar w:fldCharType="separate"/>
      </w:r>
      <w:r>
        <w:t>159</w:t>
      </w:r>
      <w:r>
        <w:fldChar w:fldCharType="end"/>
      </w:r>
    </w:p>
    <w:p>
      <w:pPr>
        <w:pStyle w:val="TOC8"/>
        <w:rPr>
          <w:rFonts w:asciiTheme="minorHAnsi" w:eastAsiaTheme="minorEastAsia" w:hAnsiTheme="minorHAnsi" w:cstheme="minorBidi"/>
          <w:szCs w:val="22"/>
        </w:rPr>
      </w:pPr>
      <w:r>
        <w:t>138D</w:t>
      </w:r>
      <w:r>
        <w:rPr>
          <w:snapToGrid w:val="0"/>
        </w:rPr>
        <w:t>.</w:t>
      </w:r>
      <w:r>
        <w:rPr>
          <w:snapToGrid w:val="0"/>
        </w:rPr>
        <w:tab/>
        <w:t>Restrictions on caveators lodging further s. 138A caveats</w:t>
      </w:r>
      <w:r>
        <w:tab/>
      </w:r>
      <w:r>
        <w:fldChar w:fldCharType="begin"/>
      </w:r>
      <w:r>
        <w:instrText xml:space="preserve"> PAGEREF _Toc383511549 \h </w:instrText>
      </w:r>
      <w:r>
        <w:fldChar w:fldCharType="separate"/>
      </w:r>
      <w:r>
        <w:t>160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Effect of caveats</w:t>
      </w:r>
      <w:r>
        <w:tab/>
      </w:r>
      <w:r>
        <w:fldChar w:fldCharType="begin"/>
      </w:r>
      <w:r>
        <w:instrText xml:space="preserve"> PAGEREF _Toc383511550 \h </w:instrText>
      </w:r>
      <w:r>
        <w:fldChar w:fldCharType="separate"/>
      </w:r>
      <w:r>
        <w:t>160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Compensation for caveat lodged without reasonable cause</w:t>
      </w:r>
      <w:r>
        <w:tab/>
      </w:r>
      <w:r>
        <w:fldChar w:fldCharType="begin"/>
      </w:r>
      <w:r>
        <w:instrText xml:space="preserve"> PAGEREF _Toc383511551 \h </w:instrText>
      </w:r>
      <w:r>
        <w:fldChar w:fldCharType="separate"/>
      </w:r>
      <w:r>
        <w:t>161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Registrar’s duties when caveat lodged or lapses</w:t>
      </w:r>
      <w:r>
        <w:tab/>
      </w:r>
      <w:r>
        <w:fldChar w:fldCharType="begin"/>
      </w:r>
      <w:r>
        <w:instrText xml:space="preserve"> PAGEREF _Toc383511552 \h </w:instrText>
      </w:r>
      <w:r>
        <w:fldChar w:fldCharType="separate"/>
      </w:r>
      <w:r>
        <w:t>161</w:t>
      </w:r>
      <w:r>
        <w:fldChar w:fldCharType="end"/>
      </w:r>
    </w:p>
    <w:p>
      <w:pPr>
        <w:pStyle w:val="TOC8"/>
        <w:rPr>
          <w:rFonts w:asciiTheme="minorHAnsi" w:eastAsiaTheme="minorEastAsia" w:hAnsiTheme="minorHAnsi" w:cstheme="minorBidi"/>
          <w:szCs w:val="22"/>
        </w:rPr>
      </w:pPr>
      <w:r>
        <w:t>141A</w:t>
      </w:r>
      <w:r>
        <w:rPr>
          <w:snapToGrid w:val="0"/>
        </w:rPr>
        <w:t>.</w:t>
      </w:r>
      <w:r>
        <w:rPr>
          <w:snapToGrid w:val="0"/>
        </w:rPr>
        <w:tab/>
        <w:t>Requiring caveators to withdraw caveats or substantiate their claims</w:t>
      </w:r>
      <w:r>
        <w:tab/>
      </w:r>
      <w:r>
        <w:fldChar w:fldCharType="begin"/>
      </w:r>
      <w:r>
        <w:instrText xml:space="preserve"> PAGEREF _Toc383511553 \h </w:instrText>
      </w:r>
      <w:r>
        <w:fldChar w:fldCharType="separate"/>
      </w:r>
      <w:r>
        <w:t>162</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Caveat on behalf of beneficiary under will or settlement does not bar registration in certain cases</w:t>
      </w:r>
      <w:r>
        <w:tab/>
      </w:r>
      <w:r>
        <w:fldChar w:fldCharType="begin"/>
      </w:r>
      <w:r>
        <w:instrText xml:space="preserve"> PAGEREF _Toc383511554 \h </w:instrText>
      </w:r>
      <w:r>
        <w:fldChar w:fldCharType="separate"/>
      </w:r>
      <w:r>
        <w:t>163</w:t>
      </w:r>
      <w:r>
        <w:fldChar w:fldCharType="end"/>
      </w:r>
    </w:p>
    <w:p>
      <w:pPr>
        <w:pStyle w:val="TOC2"/>
        <w:tabs>
          <w:tab w:val="right" w:leader="dot" w:pos="7086"/>
        </w:tabs>
        <w:rPr>
          <w:rFonts w:asciiTheme="minorHAnsi" w:eastAsiaTheme="minorEastAsia" w:hAnsiTheme="minorHAnsi" w:cstheme="minorBidi"/>
          <w:b w:val="0"/>
          <w:sz w:val="22"/>
          <w:szCs w:val="22"/>
        </w:rPr>
      </w:pPr>
      <w:r>
        <w:t>Part VI — Powers of attorney and attestation of instruments</w:t>
      </w:r>
    </w:p>
    <w:p>
      <w:pPr>
        <w:pStyle w:val="TOC8"/>
        <w:rPr>
          <w:rFonts w:asciiTheme="minorHAnsi" w:eastAsiaTheme="minorEastAsia" w:hAnsiTheme="minorHAnsi" w:cstheme="minorBidi"/>
          <w:szCs w:val="22"/>
        </w:rPr>
      </w:pPr>
      <w:r>
        <w:t>143</w:t>
      </w:r>
      <w:r>
        <w:rPr>
          <w:snapToGrid w:val="0"/>
        </w:rPr>
        <w:t>.</w:t>
      </w:r>
      <w:r>
        <w:rPr>
          <w:snapToGrid w:val="0"/>
        </w:rPr>
        <w:tab/>
        <w:t>Powers of attorney, creation and filing of</w:t>
      </w:r>
      <w:r>
        <w:tab/>
      </w:r>
      <w:r>
        <w:fldChar w:fldCharType="begin"/>
      </w:r>
      <w:r>
        <w:instrText xml:space="preserve"> PAGEREF _Toc383511556 \h </w:instrText>
      </w:r>
      <w:r>
        <w:fldChar w:fldCharType="separate"/>
      </w:r>
      <w:r>
        <w:t>164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Powers of attorney, effect of</w:t>
      </w:r>
      <w:r>
        <w:tab/>
      </w:r>
      <w:r>
        <w:fldChar w:fldCharType="begin"/>
      </w:r>
      <w:r>
        <w:instrText xml:space="preserve"> PAGEREF _Toc383511557 \h </w:instrText>
      </w:r>
      <w:r>
        <w:fldChar w:fldCharType="separate"/>
      </w:r>
      <w:r>
        <w:t>165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Signatures on documents, witnessing requirements</w:t>
      </w:r>
      <w:r>
        <w:tab/>
      </w:r>
      <w:r>
        <w:fldChar w:fldCharType="begin"/>
      </w:r>
      <w:r>
        <w:instrText xml:space="preserve"> PAGEREF _Toc383511558 \h </w:instrText>
      </w:r>
      <w:r>
        <w:fldChar w:fldCharType="separate"/>
      </w:r>
      <w:r>
        <w:t>165</w:t>
      </w:r>
      <w:r>
        <w:fldChar w:fldCharType="end"/>
      </w:r>
    </w:p>
    <w:p>
      <w:pPr>
        <w:pStyle w:val="TOC2"/>
        <w:tabs>
          <w:tab w:val="right" w:leader="dot" w:pos="7086"/>
        </w:tabs>
        <w:rPr>
          <w:rFonts w:asciiTheme="minorHAnsi" w:eastAsiaTheme="minorEastAsia" w:hAnsiTheme="minorHAnsi" w:cstheme="minorBidi"/>
          <w:b w:val="0"/>
          <w:sz w:val="22"/>
          <w:szCs w:val="22"/>
        </w:rPr>
      </w:pPr>
      <w:r>
        <w:t>Part VII — Search certificates and stay orders</w:t>
      </w:r>
    </w:p>
    <w:p>
      <w:pPr>
        <w:pStyle w:val="TOC8"/>
        <w:rPr>
          <w:rFonts w:asciiTheme="minorHAnsi" w:eastAsiaTheme="minorEastAsia" w:hAnsiTheme="minorHAnsi" w:cstheme="minorBidi"/>
          <w:szCs w:val="22"/>
        </w:rPr>
      </w:pPr>
      <w:r>
        <w:t>146</w:t>
      </w:r>
      <w:r>
        <w:rPr>
          <w:snapToGrid w:val="0"/>
        </w:rPr>
        <w:t>.</w:t>
      </w:r>
      <w:r>
        <w:rPr>
          <w:snapToGrid w:val="0"/>
        </w:rPr>
        <w:tab/>
        <w:t>Finding out whether proprietor is free to deal with land</w:t>
      </w:r>
      <w:r>
        <w:tab/>
      </w:r>
      <w:r>
        <w:fldChar w:fldCharType="begin"/>
      </w:r>
      <w:r>
        <w:instrText xml:space="preserve"> PAGEREF _Toc383511560 \h </w:instrText>
      </w:r>
      <w:r>
        <w:fldChar w:fldCharType="separate"/>
      </w:r>
      <w:r>
        <w:t>168</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Person issued search certificate under s. 146 entitled to inspect certificate of title</w:t>
      </w:r>
      <w:r>
        <w:tab/>
      </w:r>
      <w:r>
        <w:fldChar w:fldCharType="begin"/>
      </w:r>
      <w:r>
        <w:instrText xml:space="preserve"> PAGEREF _Toc383511561 \h </w:instrText>
      </w:r>
      <w:r>
        <w:fldChar w:fldCharType="separate"/>
      </w:r>
      <w:r>
        <w:t>168</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Person proposing to deal with proprietor may obtain stay of registration for 48 hours if title is clear</w:t>
      </w:r>
      <w:r>
        <w:tab/>
      </w:r>
      <w:r>
        <w:fldChar w:fldCharType="begin"/>
      </w:r>
      <w:r>
        <w:instrText xml:space="preserve"> PAGEREF _Toc383511562 \h </w:instrText>
      </w:r>
      <w:r>
        <w:fldChar w:fldCharType="separate"/>
      </w:r>
      <w:r>
        <w:t>168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Instrument effecting proposed dealing entitled to priority if lodged within 48 hour stay granted under s. 148</w:t>
      </w:r>
      <w:r>
        <w:tab/>
      </w:r>
      <w:r>
        <w:fldChar w:fldCharType="begin"/>
      </w:r>
      <w:r>
        <w:instrText xml:space="preserve"> PAGEREF _Toc383511563 \h </w:instrText>
      </w:r>
      <w:r>
        <w:fldChar w:fldCharType="separate"/>
      </w:r>
      <w:r>
        <w:t>169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Other instruments received in the 48 hours to have usual priority if proposed dealing not lodged under s. 149</w:t>
      </w:r>
      <w:r>
        <w:tab/>
      </w:r>
      <w:r>
        <w:fldChar w:fldCharType="begin"/>
      </w:r>
      <w:r>
        <w:instrText xml:space="preserve"> PAGEREF _Toc383511564 \h </w:instrText>
      </w:r>
      <w:r>
        <w:fldChar w:fldCharType="separate"/>
      </w:r>
      <w:r>
        <w:t>169</w:t>
      </w:r>
      <w:r>
        <w:fldChar w:fldCharType="end"/>
      </w:r>
    </w:p>
    <w:p>
      <w:pPr>
        <w:pStyle w:val="TOC2"/>
        <w:tabs>
          <w:tab w:val="right" w:leader="dot" w:pos="7086"/>
        </w:tabs>
        <w:rPr>
          <w:rFonts w:asciiTheme="minorHAnsi" w:eastAsiaTheme="minorEastAsia" w:hAnsiTheme="minorHAnsi" w:cstheme="minorBidi"/>
          <w:b w:val="0"/>
          <w:sz w:val="22"/>
          <w:szCs w:val="22"/>
        </w:rPr>
      </w:pPr>
      <w:r>
        <w:t>Part VIII — Surveys, plans, parcels and boundaries</w:t>
      </w:r>
    </w:p>
    <w:p>
      <w:pPr>
        <w:pStyle w:val="TOC8"/>
        <w:rPr>
          <w:rFonts w:asciiTheme="minorHAnsi" w:eastAsiaTheme="minorEastAsia" w:hAnsiTheme="minorHAnsi" w:cstheme="minorBidi"/>
          <w:szCs w:val="22"/>
        </w:rPr>
      </w:pPr>
      <w:r>
        <w:t>151</w:t>
      </w:r>
      <w:r>
        <w:rPr>
          <w:snapToGrid w:val="0"/>
        </w:rPr>
        <w:t>.</w:t>
      </w:r>
      <w:r>
        <w:rPr>
          <w:snapToGrid w:val="0"/>
        </w:rPr>
        <w:tab/>
        <w:t>Crown survey boundaries as marked on ground are true boundaries</w:t>
      </w:r>
      <w:r>
        <w:tab/>
      </w:r>
      <w:r>
        <w:fldChar w:fldCharType="begin"/>
      </w:r>
      <w:r>
        <w:instrText xml:space="preserve"> PAGEREF _Toc383511566 \h </w:instrText>
      </w:r>
      <w:r>
        <w:fldChar w:fldCharType="separate"/>
      </w:r>
      <w:r>
        <w:t>170</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Crown grant or lease conveys land within survey boundaries</w:t>
      </w:r>
      <w:r>
        <w:tab/>
      </w:r>
      <w:r>
        <w:fldChar w:fldCharType="begin"/>
      </w:r>
      <w:r>
        <w:instrText xml:space="preserve"> PAGEREF _Toc383511567 \h </w:instrText>
      </w:r>
      <w:r>
        <w:fldChar w:fldCharType="separate"/>
      </w:r>
      <w:r>
        <w:t>170</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Aliquot parts of Crown section having excess of area</w:t>
      </w:r>
      <w:r>
        <w:tab/>
      </w:r>
      <w:r>
        <w:fldChar w:fldCharType="begin"/>
      </w:r>
      <w:r>
        <w:instrText xml:space="preserve"> PAGEREF _Toc383511568 \h </w:instrText>
      </w:r>
      <w:r>
        <w:fldChar w:fldCharType="separate"/>
      </w:r>
      <w:r>
        <w:t>171</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Land not in grant etc. but included in certificate due to error in survey may be deemed included in grant etc.</w:t>
      </w:r>
      <w:r>
        <w:tab/>
      </w:r>
      <w:r>
        <w:fldChar w:fldCharType="begin"/>
      </w:r>
      <w:r>
        <w:instrText xml:space="preserve"> PAGEREF _Toc383511569 \h </w:instrText>
      </w:r>
      <w:r>
        <w:fldChar w:fldCharType="separate"/>
      </w:r>
      <w:r>
        <w:t>171</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How boundaries may be proved in absence of survey marks</w:t>
      </w:r>
      <w:r>
        <w:tab/>
      </w:r>
      <w:r>
        <w:fldChar w:fldCharType="begin"/>
      </w:r>
      <w:r>
        <w:instrText xml:space="preserve"> PAGEREF _Toc383511570 \h </w:instrText>
      </w:r>
      <w:r>
        <w:fldChar w:fldCharType="separate"/>
      </w:r>
      <w:r>
        <w:t>172</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Margin of error allowed in description of boundaries</w:t>
      </w:r>
      <w:r>
        <w:tab/>
      </w:r>
      <w:r>
        <w:fldChar w:fldCharType="begin"/>
      </w:r>
      <w:r>
        <w:instrText xml:space="preserve"> PAGEREF _Toc383511571 \h </w:instrText>
      </w:r>
      <w:r>
        <w:fldChar w:fldCharType="separate"/>
      </w:r>
      <w:r>
        <w:t>173</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Commissioner may require special survey of land</w:t>
      </w:r>
      <w:r>
        <w:tab/>
      </w:r>
      <w:r>
        <w:fldChar w:fldCharType="begin"/>
      </w:r>
      <w:r>
        <w:instrText xml:space="preserve"> PAGEREF _Toc383511572 \h </w:instrText>
      </w:r>
      <w:r>
        <w:fldChar w:fldCharType="separate"/>
      </w:r>
      <w:r>
        <w:t>173</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Commissioner may require accuracy of survey to be verified</w:t>
      </w:r>
      <w:r>
        <w:tab/>
      </w:r>
      <w:r>
        <w:fldChar w:fldCharType="begin"/>
      </w:r>
      <w:r>
        <w:instrText xml:space="preserve"> PAGEREF _Toc383511573 \h </w:instrText>
      </w:r>
      <w:r>
        <w:fldChar w:fldCharType="separate"/>
      </w:r>
      <w:r>
        <w:t>174</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Commissioner may disregard minute errors of dimensions</w:t>
      </w:r>
      <w:r>
        <w:tab/>
      </w:r>
      <w:r>
        <w:fldChar w:fldCharType="begin"/>
      </w:r>
      <w:r>
        <w:instrText xml:space="preserve"> PAGEREF _Toc383511574 \h </w:instrText>
      </w:r>
      <w:r>
        <w:fldChar w:fldCharType="separate"/>
      </w:r>
      <w:r>
        <w:t>174</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Excess land may be apportioned between different owners or proprietors</w:t>
      </w:r>
      <w:r>
        <w:tab/>
      </w:r>
      <w:r>
        <w:fldChar w:fldCharType="begin"/>
      </w:r>
      <w:r>
        <w:instrText xml:space="preserve"> PAGEREF _Toc383511575 \h </w:instrText>
      </w:r>
      <w:r>
        <w:fldChar w:fldCharType="separate"/>
      </w:r>
      <w:r>
        <w:t>174</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Commissioner’s powers where boundaries unclear in subdivision</w:t>
      </w:r>
      <w:r>
        <w:tab/>
      </w:r>
      <w:r>
        <w:fldChar w:fldCharType="begin"/>
      </w:r>
      <w:r>
        <w:instrText xml:space="preserve"> PAGEREF _Toc383511576 \h </w:instrText>
      </w:r>
      <w:r>
        <w:fldChar w:fldCharType="separate"/>
      </w:r>
      <w:r>
        <w:t>175</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Plan to be made of subdivision proposed under s. 160</w:t>
      </w:r>
      <w:r>
        <w:tab/>
      </w:r>
      <w:r>
        <w:fldChar w:fldCharType="begin"/>
      </w:r>
      <w:r>
        <w:instrText xml:space="preserve"> PAGEREF _Toc383511577 \h </w:instrText>
      </w:r>
      <w:r>
        <w:fldChar w:fldCharType="separate"/>
      </w:r>
      <w:r>
        <w:t>176</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Subdivision proposed under s. 160 to be advertised etc.</w:t>
      </w:r>
      <w:r>
        <w:tab/>
      </w:r>
      <w:r>
        <w:fldChar w:fldCharType="begin"/>
      </w:r>
      <w:r>
        <w:instrText xml:space="preserve"> PAGEREF _Toc383511578 \h </w:instrText>
      </w:r>
      <w:r>
        <w:fldChar w:fldCharType="separate"/>
      </w:r>
      <w:r>
        <w:t>176</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Finalised subdivision, verification and effect of plan of</w:t>
      </w:r>
      <w:r>
        <w:tab/>
      </w:r>
      <w:r>
        <w:fldChar w:fldCharType="begin"/>
      </w:r>
      <w:r>
        <w:instrText xml:space="preserve"> PAGEREF _Toc383511579 \h </w:instrText>
      </w:r>
      <w:r>
        <w:fldChar w:fldCharType="separate"/>
      </w:r>
      <w:r>
        <w:t>177</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Public notice to be given of finalised subdivision and plan</w:t>
      </w:r>
      <w:r>
        <w:tab/>
      </w:r>
      <w:r>
        <w:fldChar w:fldCharType="begin"/>
      </w:r>
      <w:r>
        <w:instrText xml:space="preserve"> PAGEREF _Toc383511580 \h </w:instrText>
      </w:r>
      <w:r>
        <w:fldChar w:fldCharType="separate"/>
      </w:r>
      <w:r>
        <w:t>178</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Expense of survey ordered under s. 160, how paid</w:t>
      </w:r>
      <w:r>
        <w:tab/>
      </w:r>
      <w:r>
        <w:fldChar w:fldCharType="begin"/>
      </w:r>
      <w:r>
        <w:instrText xml:space="preserve"> PAGEREF _Toc383511581 \h </w:instrText>
      </w:r>
      <w:r>
        <w:fldChar w:fldCharType="separate"/>
      </w:r>
      <w:r>
        <w:t>178</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New certificates of title on subdivision of land</w:t>
      </w:r>
      <w:r>
        <w:tab/>
      </w:r>
      <w:r>
        <w:fldChar w:fldCharType="begin"/>
      </w:r>
      <w:r>
        <w:instrText xml:space="preserve"> PAGEREF _Toc383511582 \h </w:instrText>
      </w:r>
      <w:r>
        <w:fldChar w:fldCharType="separate"/>
      </w:r>
      <w:r>
        <w:t>178</w:t>
      </w:r>
      <w:r>
        <w:fldChar w:fldCharType="end"/>
      </w:r>
    </w:p>
    <w:p>
      <w:pPr>
        <w:pStyle w:val="TOC8"/>
        <w:rPr>
          <w:rFonts w:asciiTheme="minorHAnsi" w:eastAsiaTheme="minorEastAsia" w:hAnsiTheme="minorHAnsi" w:cstheme="minorBidi"/>
          <w:szCs w:val="22"/>
        </w:rPr>
      </w:pPr>
      <w:r>
        <w:t>166A.</w:t>
      </w:r>
      <w:r>
        <w:tab/>
        <w:t>Subdivisions of Crown land</w:t>
      </w:r>
      <w:r>
        <w:tab/>
      </w:r>
      <w:r>
        <w:fldChar w:fldCharType="begin"/>
      </w:r>
      <w:r>
        <w:instrText xml:space="preserve"> PAGEREF _Toc383511583 \h </w:instrText>
      </w:r>
      <w:r>
        <w:fldChar w:fldCharType="separate"/>
      </w:r>
      <w:r>
        <w:t>179</w:t>
      </w:r>
      <w:r>
        <w:fldChar w:fldCharType="end"/>
      </w:r>
    </w:p>
    <w:p>
      <w:pPr>
        <w:pStyle w:val="TOC8"/>
        <w:rPr>
          <w:rFonts w:asciiTheme="minorHAnsi" w:eastAsiaTheme="minorEastAsia" w:hAnsiTheme="minorHAnsi" w:cstheme="minorBidi"/>
          <w:szCs w:val="22"/>
        </w:rPr>
      </w:pPr>
      <w:r>
        <w:t>166B.</w:t>
      </w:r>
      <w:r>
        <w:tab/>
        <w:t>Subsidiary certificates of Crown land title</w:t>
      </w:r>
      <w:r>
        <w:tab/>
      </w:r>
      <w:r>
        <w:fldChar w:fldCharType="begin"/>
      </w:r>
      <w:r>
        <w:instrText xml:space="preserve"> PAGEREF _Toc383511584 \h </w:instrText>
      </w:r>
      <w:r>
        <w:fldChar w:fldCharType="separate"/>
      </w:r>
      <w:r>
        <w:t>180</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Number of allotment on plan of subdivision sufficient description for purposes of dealing</w:t>
      </w:r>
      <w:r>
        <w:tab/>
      </w:r>
      <w:r>
        <w:fldChar w:fldCharType="begin"/>
      </w:r>
      <w:r>
        <w:instrText xml:space="preserve"> PAGEREF _Toc383511585 \h </w:instrText>
      </w:r>
      <w:r>
        <w:fldChar w:fldCharType="separate"/>
      </w:r>
      <w:r>
        <w:t>181</w:t>
      </w:r>
      <w:r>
        <w:fldChar w:fldCharType="end"/>
      </w:r>
    </w:p>
    <w:p>
      <w:pPr>
        <w:pStyle w:val="TOC8"/>
        <w:rPr>
          <w:rFonts w:asciiTheme="minorHAnsi" w:eastAsiaTheme="minorEastAsia" w:hAnsiTheme="minorHAnsi" w:cstheme="minorBidi"/>
          <w:szCs w:val="22"/>
        </w:rPr>
      </w:pPr>
      <w:r>
        <w:t>167A</w:t>
      </w:r>
      <w:r>
        <w:rPr>
          <w:snapToGrid w:val="0"/>
        </w:rPr>
        <w:t>.</w:t>
      </w:r>
      <w:r>
        <w:rPr>
          <w:snapToGrid w:val="0"/>
        </w:rPr>
        <w:tab/>
        <w:t>Rights of way generally not public ways or thoroughfares</w:t>
      </w:r>
      <w:r>
        <w:tab/>
      </w:r>
      <w:r>
        <w:fldChar w:fldCharType="begin"/>
      </w:r>
      <w:r>
        <w:instrText xml:space="preserve"> PAGEREF _Toc383511586 \h </w:instrText>
      </w:r>
      <w:r>
        <w:fldChar w:fldCharType="separate"/>
      </w:r>
      <w:r>
        <w:t>181</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Abuttals may be used in description of land in certificate</w:t>
      </w:r>
      <w:r>
        <w:tab/>
      </w:r>
      <w:r>
        <w:fldChar w:fldCharType="begin"/>
      </w:r>
      <w:r>
        <w:instrText xml:space="preserve"> PAGEREF _Toc383511587 \h </w:instrText>
      </w:r>
      <w:r>
        <w:fldChar w:fldCharType="separate"/>
      </w:r>
      <w:r>
        <w:t>182</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Objects which may constitute abuttals</w:t>
      </w:r>
      <w:r>
        <w:tab/>
      </w:r>
      <w:r>
        <w:fldChar w:fldCharType="begin"/>
      </w:r>
      <w:r>
        <w:instrText xml:space="preserve"> PAGEREF _Toc383511588 \h </w:instrText>
      </w:r>
      <w:r>
        <w:fldChar w:fldCharType="separate"/>
      </w:r>
      <w:r>
        <w:t>183</w:t>
      </w:r>
      <w:r>
        <w:fldChar w:fldCharType="end"/>
      </w:r>
    </w:p>
    <w:p>
      <w:pPr>
        <w:pStyle w:val="TOC2"/>
        <w:tabs>
          <w:tab w:val="right" w:leader="dot" w:pos="7086"/>
        </w:tabs>
        <w:rPr>
          <w:rFonts w:asciiTheme="minorHAnsi" w:eastAsiaTheme="minorEastAsia" w:hAnsiTheme="minorHAnsi" w:cstheme="minorBidi"/>
          <w:b w:val="0"/>
          <w:sz w:val="22"/>
          <w:szCs w:val="22"/>
        </w:rPr>
      </w:pPr>
      <w:r>
        <w:t>Part IX — Amendment of certificates and amendment or replacement of graphics</w:t>
      </w:r>
    </w:p>
    <w:p>
      <w:pPr>
        <w:pStyle w:val="TOC8"/>
        <w:rPr>
          <w:rFonts w:asciiTheme="minorHAnsi" w:eastAsiaTheme="minorEastAsia" w:hAnsiTheme="minorHAnsi" w:cstheme="minorBidi"/>
          <w:szCs w:val="22"/>
        </w:rPr>
      </w:pPr>
      <w:r>
        <w:t>169A.</w:t>
      </w:r>
      <w:r>
        <w:tab/>
        <w:t>Only Minister for Lands may alter areas, boundaries or positions of parcels of Crown land</w:t>
      </w:r>
      <w:r>
        <w:tab/>
      </w:r>
      <w:r>
        <w:fldChar w:fldCharType="begin"/>
      </w:r>
      <w:r>
        <w:instrText xml:space="preserve"> PAGEREF _Toc383511590 \h </w:instrText>
      </w:r>
      <w:r>
        <w:fldChar w:fldCharType="separate"/>
      </w:r>
      <w:r>
        <w:t>184</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Proprietor may apply for amendment of certificate to make boundaries coincide with land occupied under certificate</w:t>
      </w:r>
      <w:r>
        <w:tab/>
      </w:r>
      <w:r>
        <w:fldChar w:fldCharType="begin"/>
      </w:r>
      <w:r>
        <w:instrText xml:space="preserve"> PAGEREF _Toc383511591 \h </w:instrText>
      </w:r>
      <w:r>
        <w:fldChar w:fldCharType="separate"/>
      </w:r>
      <w:r>
        <w:t>184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Proprietor may apply to have other certificates amended where inconsistent with description of land in his certificate and occupied by him</w:t>
      </w:r>
      <w:r>
        <w:tab/>
      </w:r>
      <w:r>
        <w:fldChar w:fldCharType="begin"/>
      </w:r>
      <w:r>
        <w:instrText xml:space="preserve"> PAGEREF _Toc383511592 \h </w:instrText>
      </w:r>
      <w:r>
        <w:fldChar w:fldCharType="separate"/>
      </w:r>
      <w:r>
        <w:t>184</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Form of application under s. 170 or 171</w:t>
      </w:r>
      <w:r>
        <w:tab/>
      </w:r>
      <w:r>
        <w:fldChar w:fldCharType="begin"/>
      </w:r>
      <w:r>
        <w:instrText xml:space="preserve"> PAGEREF _Toc383511593 \h </w:instrText>
      </w:r>
      <w:r>
        <w:fldChar w:fldCharType="separate"/>
      </w:r>
      <w:r>
        <w:t>185</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How application under s. 170 or 171 to be dealt with</w:t>
      </w:r>
      <w:r>
        <w:tab/>
      </w:r>
      <w:r>
        <w:fldChar w:fldCharType="begin"/>
      </w:r>
      <w:r>
        <w:instrText xml:space="preserve"> PAGEREF _Toc383511594 \h </w:instrText>
      </w:r>
      <w:r>
        <w:fldChar w:fldCharType="separate"/>
      </w:r>
      <w:r>
        <w:t>185</w:t>
      </w:r>
      <w:r>
        <w:fldChar w:fldCharType="end"/>
      </w:r>
    </w:p>
    <w:p>
      <w:pPr>
        <w:pStyle w:val="TOC8"/>
        <w:rPr>
          <w:rFonts w:asciiTheme="minorHAnsi" w:eastAsiaTheme="minorEastAsia" w:hAnsiTheme="minorHAnsi" w:cstheme="minorBidi"/>
          <w:szCs w:val="22"/>
        </w:rPr>
      </w:pPr>
      <w:r>
        <w:t>174.</w:t>
      </w:r>
      <w:r>
        <w:tab/>
        <w:t>Notice of s. 170 or 171 application to be given to owners etc. of adjourning land affected by it</w:t>
      </w:r>
      <w:r>
        <w:tab/>
      </w:r>
      <w:r>
        <w:fldChar w:fldCharType="begin"/>
      </w:r>
      <w:r>
        <w:instrText xml:space="preserve"> PAGEREF _Toc383511595 \h </w:instrText>
      </w:r>
      <w:r>
        <w:fldChar w:fldCharType="separate"/>
      </w:r>
      <w:r>
        <w:t>186</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Notice of s. 170 or 171 application to be published and publicly displayed</w:t>
      </w:r>
      <w:r>
        <w:tab/>
      </w:r>
      <w:r>
        <w:fldChar w:fldCharType="begin"/>
      </w:r>
      <w:r>
        <w:instrText xml:space="preserve"> PAGEREF _Toc383511596 \h </w:instrText>
      </w:r>
      <w:r>
        <w:fldChar w:fldCharType="separate"/>
      </w:r>
      <w:r>
        <w:t>186</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Person opposing s. 170 or 171 application may lodge caveat</w:t>
      </w:r>
      <w:r>
        <w:tab/>
      </w:r>
      <w:r>
        <w:fldChar w:fldCharType="begin"/>
      </w:r>
      <w:r>
        <w:instrText xml:space="preserve"> PAGEREF _Toc383511597 \h </w:instrText>
      </w:r>
      <w:r>
        <w:fldChar w:fldCharType="separate"/>
      </w:r>
      <w:r>
        <w:t>187</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Applications under s. 170, 171 or 20 may be granted although other certificates may be affected</w:t>
      </w:r>
      <w:r>
        <w:tab/>
      </w:r>
      <w:r>
        <w:fldChar w:fldCharType="begin"/>
      </w:r>
      <w:r>
        <w:instrText xml:space="preserve"> PAGEREF _Toc383511598 \h </w:instrText>
      </w:r>
      <w:r>
        <w:fldChar w:fldCharType="separate"/>
      </w:r>
      <w:r>
        <w:t>187</w:t>
      </w:r>
      <w:r>
        <w:fldChar w:fldCharType="end"/>
      </w:r>
    </w:p>
    <w:p>
      <w:pPr>
        <w:pStyle w:val="TOC8"/>
        <w:rPr>
          <w:rFonts w:asciiTheme="minorHAnsi" w:eastAsiaTheme="minorEastAsia" w:hAnsiTheme="minorHAnsi" w:cstheme="minorBidi"/>
          <w:szCs w:val="22"/>
        </w:rPr>
      </w:pPr>
      <w:r>
        <w:t>178.</w:t>
      </w:r>
      <w:r>
        <w:tab/>
        <w:t>On granting application other certificates, relevant graphics and duplicate certificates may be amended, replaced or reissued</w:t>
      </w:r>
      <w:r>
        <w:tab/>
      </w:r>
      <w:r>
        <w:fldChar w:fldCharType="begin"/>
      </w:r>
      <w:r>
        <w:instrText xml:space="preserve"> PAGEREF _Toc383511599 \h </w:instrText>
      </w:r>
      <w:r>
        <w:fldChar w:fldCharType="separate"/>
      </w:r>
      <w:r>
        <w:t>188</w:t>
      </w:r>
      <w:r>
        <w:fldChar w:fldCharType="end"/>
      </w:r>
    </w:p>
    <w:p>
      <w:pPr>
        <w:pStyle w:val="TOC2"/>
        <w:tabs>
          <w:tab w:val="right" w:leader="dot" w:pos="7086"/>
        </w:tabs>
        <w:rPr>
          <w:rFonts w:asciiTheme="minorHAnsi" w:eastAsiaTheme="minorEastAsia" w:hAnsiTheme="minorHAnsi" w:cstheme="minorBidi"/>
          <w:b w:val="0"/>
          <w:sz w:val="22"/>
          <w:szCs w:val="22"/>
        </w:rPr>
      </w:pPr>
      <w:r>
        <w:t>Part X — Special powers and duties of the Commissioner and Registrar</w:t>
      </w:r>
    </w:p>
    <w:p>
      <w:pPr>
        <w:pStyle w:val="TOC8"/>
        <w:rPr>
          <w:rFonts w:asciiTheme="minorHAnsi" w:eastAsiaTheme="minorEastAsia" w:hAnsiTheme="minorHAnsi" w:cstheme="minorBidi"/>
          <w:szCs w:val="22"/>
        </w:rPr>
      </w:pPr>
      <w:r>
        <w:t>180</w:t>
      </w:r>
      <w:r>
        <w:rPr>
          <w:snapToGrid w:val="0"/>
        </w:rPr>
        <w:t>.</w:t>
      </w:r>
      <w:r>
        <w:rPr>
          <w:snapToGrid w:val="0"/>
        </w:rPr>
        <w:tab/>
        <w:t>Commissioner may summons people to provide information</w:t>
      </w:r>
      <w:r>
        <w:tab/>
      </w:r>
      <w:r>
        <w:fldChar w:fldCharType="begin"/>
      </w:r>
      <w:r>
        <w:instrText xml:space="preserve"> PAGEREF _Toc383511601 \h </w:instrText>
      </w:r>
      <w:r>
        <w:fldChar w:fldCharType="separate"/>
      </w:r>
      <w:r>
        <w:t>189</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Regulations</w:t>
      </w:r>
      <w:r>
        <w:tab/>
      </w:r>
      <w:r>
        <w:fldChar w:fldCharType="begin"/>
      </w:r>
      <w:r>
        <w:instrText xml:space="preserve"> PAGEREF _Toc383511602 \h </w:instrText>
      </w:r>
      <w:r>
        <w:fldChar w:fldCharType="separate"/>
      </w:r>
      <w:r>
        <w:t>190</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Orders vesting trust estate</w:t>
      </w:r>
      <w:r>
        <w:tab/>
      </w:r>
      <w:r>
        <w:fldChar w:fldCharType="begin"/>
      </w:r>
      <w:r>
        <w:instrText xml:space="preserve"> PAGEREF _Toc383511603 \h </w:instrText>
      </w:r>
      <w:r>
        <w:fldChar w:fldCharType="separate"/>
      </w:r>
      <w:r>
        <w:t>191</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Commissioner may make vesting order in cases of completed purchase</w:t>
      </w:r>
      <w:r>
        <w:tab/>
      </w:r>
      <w:r>
        <w:fldChar w:fldCharType="begin"/>
      </w:r>
      <w:r>
        <w:instrText xml:space="preserve"> PAGEREF _Toc383511604 \h </w:instrText>
      </w:r>
      <w:r>
        <w:fldChar w:fldCharType="separate"/>
      </w:r>
      <w:r>
        <w:t>192</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Encumbrances which no longer affect title, powers to deal with</w:t>
      </w:r>
      <w:r>
        <w:tab/>
      </w:r>
      <w:r>
        <w:fldChar w:fldCharType="begin"/>
      </w:r>
      <w:r>
        <w:instrText xml:space="preserve"> PAGEREF _Toc383511605 \h </w:instrText>
      </w:r>
      <w:r>
        <w:fldChar w:fldCharType="separate"/>
      </w:r>
      <w:r>
        <w:t>193</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Appointment of executor, administrator or Public Trustee, entry on Register and effect</w:t>
      </w:r>
      <w:r>
        <w:tab/>
      </w:r>
      <w:r>
        <w:fldChar w:fldCharType="begin"/>
      </w:r>
      <w:r>
        <w:instrText xml:space="preserve"> PAGEREF _Toc383511606 \h </w:instrText>
      </w:r>
      <w:r>
        <w:fldChar w:fldCharType="separate"/>
      </w:r>
      <w:r>
        <w:t>193</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Powers of Registrar</w:t>
      </w:r>
      <w:r>
        <w:tab/>
      </w:r>
      <w:r>
        <w:fldChar w:fldCharType="begin"/>
      </w:r>
      <w:r>
        <w:instrText xml:space="preserve"> PAGEREF _Toc383511607 \h </w:instrText>
      </w:r>
      <w:r>
        <w:fldChar w:fldCharType="separate"/>
      </w:r>
      <w:r>
        <w:t>194</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Registrar may correct apparent errors in instruments without direction of Commissioner</w:t>
      </w:r>
      <w:r>
        <w:tab/>
      </w:r>
      <w:r>
        <w:fldChar w:fldCharType="begin"/>
      </w:r>
      <w:r>
        <w:instrText xml:space="preserve"> PAGEREF _Toc383511608 \h </w:instrText>
      </w:r>
      <w:r>
        <w:fldChar w:fldCharType="separate"/>
      </w:r>
      <w:r>
        <w:t>196</w:t>
      </w:r>
      <w:r>
        <w:fldChar w:fldCharType="end"/>
      </w:r>
    </w:p>
    <w:p>
      <w:pPr>
        <w:pStyle w:val="TOC8"/>
        <w:rPr>
          <w:rFonts w:asciiTheme="minorHAnsi" w:eastAsiaTheme="minorEastAsia" w:hAnsiTheme="minorHAnsi" w:cstheme="minorBidi"/>
          <w:szCs w:val="22"/>
        </w:rPr>
      </w:pPr>
      <w:r>
        <w:t>190.</w:t>
      </w:r>
      <w:r>
        <w:tab/>
        <w:t>Money received by Registrar</w:t>
      </w:r>
      <w:r>
        <w:tab/>
      </w:r>
      <w:r>
        <w:fldChar w:fldCharType="begin"/>
      </w:r>
      <w:r>
        <w:instrText xml:space="preserve"> PAGEREF _Toc383511609 \h </w:instrText>
      </w:r>
      <w:r>
        <w:fldChar w:fldCharType="separate"/>
      </w:r>
      <w:r>
        <w:t>196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Registrar may demand prescribed fees</w:t>
      </w:r>
      <w:r>
        <w:tab/>
      </w:r>
      <w:r>
        <w:fldChar w:fldCharType="begin"/>
      </w:r>
      <w:r>
        <w:instrText xml:space="preserve"> PAGEREF _Toc383511610 \h </w:instrText>
      </w:r>
      <w:r>
        <w:fldChar w:fldCharType="separate"/>
      </w:r>
      <w:r>
        <w:t>196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Defective documents, rejection of</w:t>
      </w:r>
      <w:r>
        <w:tab/>
      </w:r>
      <w:r>
        <w:fldChar w:fldCharType="begin"/>
      </w:r>
      <w:r>
        <w:instrText xml:space="preserve"> PAGEREF _Toc383511611 \h </w:instrText>
      </w:r>
      <w:r>
        <w:fldChar w:fldCharType="separate"/>
      </w:r>
      <w:r>
        <w:t>196</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state case for Supreme Court</w:t>
      </w:r>
      <w:r>
        <w:tab/>
      </w:r>
      <w:r>
        <w:fldChar w:fldCharType="begin"/>
      </w:r>
      <w:r>
        <w:instrText xml:space="preserve"> PAGEREF _Toc383511612 \h </w:instrText>
      </w:r>
      <w:r>
        <w:fldChar w:fldCharType="separate"/>
      </w:r>
      <w:r>
        <w:t>197</w:t>
      </w:r>
      <w:r>
        <w:fldChar w:fldCharType="end"/>
      </w:r>
    </w:p>
    <w:p>
      <w:pPr>
        <w:pStyle w:val="TOC2"/>
        <w:tabs>
          <w:tab w:val="right" w:leader="dot" w:pos="7086"/>
        </w:tabs>
        <w:rPr>
          <w:rFonts w:asciiTheme="minorHAnsi" w:eastAsiaTheme="minorEastAsia" w:hAnsiTheme="minorHAnsi" w:cstheme="minorBidi"/>
          <w:b w:val="0"/>
          <w:sz w:val="22"/>
          <w:szCs w:val="22"/>
        </w:rPr>
      </w:pPr>
      <w:r>
        <w:t>Part XI — Restrictions on, and recovery of, payments of compensation by State</w:t>
      </w:r>
    </w:p>
    <w:p>
      <w:pPr>
        <w:pStyle w:val="TOC8"/>
        <w:rPr>
          <w:rFonts w:asciiTheme="minorHAnsi" w:eastAsiaTheme="minorEastAsia" w:hAnsiTheme="minorHAnsi" w:cstheme="minorBidi"/>
          <w:szCs w:val="22"/>
        </w:rPr>
      </w:pPr>
      <w:r>
        <w:t>195</w:t>
      </w:r>
      <w:r>
        <w:rPr>
          <w:snapToGrid w:val="0"/>
        </w:rPr>
        <w:t>.</w:t>
      </w:r>
      <w:r>
        <w:rPr>
          <w:snapToGrid w:val="0"/>
        </w:rPr>
        <w:tab/>
        <w:t>Moneys paid by State under s. 201 may be recovered</w:t>
      </w:r>
      <w:r>
        <w:tab/>
      </w:r>
      <w:r>
        <w:fldChar w:fldCharType="begin"/>
      </w:r>
      <w:r>
        <w:instrText xml:space="preserve"> PAGEREF _Toc383511614 \h </w:instrText>
      </w:r>
      <w:r>
        <w:fldChar w:fldCharType="separate"/>
      </w:r>
      <w:r>
        <w:t>198</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State not liable in certain cases</w:t>
      </w:r>
      <w:r>
        <w:tab/>
      </w:r>
      <w:r>
        <w:fldChar w:fldCharType="begin"/>
      </w:r>
      <w:r>
        <w:instrText xml:space="preserve"> PAGEREF _Toc383511615 \h </w:instrText>
      </w:r>
      <w:r>
        <w:fldChar w:fldCharType="separate"/>
      </w:r>
      <w:r>
        <w:t>199</w:t>
      </w:r>
      <w:r>
        <w:fldChar w:fldCharType="end"/>
      </w:r>
    </w:p>
    <w:p>
      <w:pPr>
        <w:pStyle w:val="TOC2"/>
        <w:tabs>
          <w:tab w:val="right" w:leader="dot" w:pos="7086"/>
        </w:tabs>
        <w:rPr>
          <w:rFonts w:asciiTheme="minorHAnsi" w:eastAsiaTheme="minorEastAsia" w:hAnsiTheme="minorHAnsi" w:cstheme="minorBidi"/>
          <w:b w:val="0"/>
          <w:sz w:val="22"/>
          <w:szCs w:val="22"/>
        </w:rPr>
      </w:pPr>
      <w:r>
        <w:t>Part XII — Actions and other remedies</w:t>
      </w:r>
    </w:p>
    <w:p>
      <w:pPr>
        <w:pStyle w:val="TOC8"/>
        <w:rPr>
          <w:rFonts w:asciiTheme="minorHAnsi" w:eastAsiaTheme="minorEastAsia" w:hAnsiTheme="minorHAnsi" w:cstheme="minorBidi"/>
          <w:szCs w:val="22"/>
        </w:rPr>
      </w:pPr>
      <w:r>
        <w:t>198</w:t>
      </w:r>
      <w:r>
        <w:rPr>
          <w:snapToGrid w:val="0"/>
        </w:rPr>
        <w:t>.</w:t>
      </w:r>
      <w:r>
        <w:rPr>
          <w:snapToGrid w:val="0"/>
        </w:rPr>
        <w:tab/>
        <w:t>Officers not to be liable for acts done bona fide</w:t>
      </w:r>
      <w:r>
        <w:tab/>
      </w:r>
      <w:r>
        <w:fldChar w:fldCharType="begin"/>
      </w:r>
      <w:r>
        <w:instrText xml:space="preserve"> PAGEREF _Toc383511617 \h </w:instrText>
      </w:r>
      <w:r>
        <w:fldChar w:fldCharType="separate"/>
      </w:r>
      <w:r>
        <w:t>201</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Registered proprietor protected against ejectment except in certain cases</w:t>
      </w:r>
      <w:r>
        <w:tab/>
      </w:r>
      <w:r>
        <w:fldChar w:fldCharType="begin"/>
      </w:r>
      <w:r>
        <w:instrText xml:space="preserve"> PAGEREF _Toc383511618 \h </w:instrText>
      </w:r>
      <w:r>
        <w:fldChar w:fldCharType="separate"/>
      </w:r>
      <w:r>
        <w:t>201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Court may direct cancellation of certificate or entry in Register in certain cases</w:t>
      </w:r>
      <w:r>
        <w:tab/>
      </w:r>
      <w:r>
        <w:fldChar w:fldCharType="begin"/>
      </w:r>
      <w:r>
        <w:instrText xml:space="preserve"> PAGEREF _Toc383511619 \h </w:instrText>
      </w:r>
      <w:r>
        <w:fldChar w:fldCharType="separate"/>
      </w:r>
      <w:r>
        <w:t>202</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Compensation of person deprived of land</w:t>
      </w:r>
      <w:r>
        <w:tab/>
      </w:r>
      <w:r>
        <w:fldChar w:fldCharType="begin"/>
      </w:r>
      <w:r>
        <w:instrText xml:space="preserve"> PAGEREF _Toc383511620 \h </w:instrText>
      </w:r>
      <w:r>
        <w:fldChar w:fldCharType="separate"/>
      </w:r>
      <w:r>
        <w:t>202</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Purchasers protected</w:t>
      </w:r>
      <w:r>
        <w:tab/>
      </w:r>
      <w:r>
        <w:fldChar w:fldCharType="begin"/>
      </w:r>
      <w:r>
        <w:instrText xml:space="preserve"> PAGEREF _Toc383511621 \h </w:instrText>
      </w:r>
      <w:r>
        <w:fldChar w:fldCharType="separate"/>
      </w:r>
      <w:r>
        <w:t>203</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Owner may require Commissioner or Registrar to substantiate decision before Supreme Court</w:t>
      </w:r>
      <w:r>
        <w:tab/>
      </w:r>
      <w:r>
        <w:fldChar w:fldCharType="begin"/>
      </w:r>
      <w:r>
        <w:instrText xml:space="preserve"> PAGEREF _Toc383511622 \h </w:instrText>
      </w:r>
      <w:r>
        <w:fldChar w:fldCharType="separate"/>
      </w:r>
      <w:r>
        <w:t>204</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Cost of summons and proceedings under s. 203 to be in discretion of court</w:t>
      </w:r>
      <w:r>
        <w:tab/>
      </w:r>
      <w:r>
        <w:fldChar w:fldCharType="begin"/>
      </w:r>
      <w:r>
        <w:instrText xml:space="preserve"> PAGEREF _Toc383511623 \h </w:instrText>
      </w:r>
      <w:r>
        <w:fldChar w:fldCharType="separate"/>
      </w:r>
      <w:r>
        <w:t>205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Actions for damages may in some cases be brought against Registrar as nominal defendant</w:t>
      </w:r>
      <w:r>
        <w:tab/>
      </w:r>
      <w:r>
        <w:fldChar w:fldCharType="begin"/>
      </w:r>
      <w:r>
        <w:instrText xml:space="preserve"> PAGEREF _Toc383511624 \h </w:instrText>
      </w:r>
      <w:r>
        <w:fldChar w:fldCharType="separate"/>
      </w:r>
      <w:r>
        <w:t>205</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Actions for damages for loss due to inaccurate survey</w:t>
      </w:r>
      <w:r>
        <w:tab/>
      </w:r>
      <w:r>
        <w:fldChar w:fldCharType="begin"/>
      </w:r>
      <w:r>
        <w:instrText xml:space="preserve"> PAGEREF _Toc383511625 \h </w:instrText>
      </w:r>
      <w:r>
        <w:fldChar w:fldCharType="separate"/>
      </w:r>
      <w:r>
        <w:t>206</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Actions for damages in certain other cases</w:t>
      </w:r>
      <w:r>
        <w:tab/>
      </w:r>
      <w:r>
        <w:fldChar w:fldCharType="begin"/>
      </w:r>
      <w:r>
        <w:instrText xml:space="preserve"> PAGEREF _Toc383511626 \h </w:instrText>
      </w:r>
      <w:r>
        <w:fldChar w:fldCharType="separate"/>
      </w:r>
      <w:r>
        <w:t>206</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Claims for damages may be made to Commissioner before commencing court action</w:t>
      </w:r>
      <w:r>
        <w:tab/>
      </w:r>
      <w:r>
        <w:fldChar w:fldCharType="begin"/>
      </w:r>
      <w:r>
        <w:instrText xml:space="preserve"> PAGEREF _Toc383511627 \h </w:instrText>
      </w:r>
      <w:r>
        <w:fldChar w:fldCharType="separate"/>
      </w:r>
      <w:r>
        <w:t>207</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Notice of action to be served</w:t>
      </w:r>
      <w:r>
        <w:tab/>
      </w:r>
      <w:r>
        <w:fldChar w:fldCharType="begin"/>
      </w:r>
      <w:r>
        <w:instrText xml:space="preserve"> PAGEREF _Toc383511628 \h </w:instrText>
      </w:r>
      <w:r>
        <w:fldChar w:fldCharType="separate"/>
      </w:r>
      <w:r>
        <w:t>207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Damages etc. awarded to be charged to Consolidated Account</w:t>
      </w:r>
      <w:r>
        <w:tab/>
      </w:r>
      <w:r>
        <w:fldChar w:fldCharType="begin"/>
      </w:r>
      <w:r>
        <w:instrText xml:space="preserve"> PAGEREF _Toc383511629 \h </w:instrText>
      </w:r>
      <w:r>
        <w:fldChar w:fldCharType="separate"/>
      </w:r>
      <w:r>
        <w:t>208</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Limitation of actions</w:t>
      </w:r>
      <w:r>
        <w:tab/>
      </w:r>
      <w:r>
        <w:fldChar w:fldCharType="begin"/>
      </w:r>
      <w:r>
        <w:instrText xml:space="preserve"> PAGEREF _Toc383511630 \h </w:instrText>
      </w:r>
      <w:r>
        <w:fldChar w:fldCharType="separate"/>
      </w:r>
      <w:r>
        <w:t>208</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Rules of Supreme Court to apply and same right of appeal as in ordinary actions</w:t>
      </w:r>
      <w:r>
        <w:tab/>
      </w:r>
      <w:r>
        <w:fldChar w:fldCharType="begin"/>
      </w:r>
      <w:r>
        <w:instrText xml:space="preserve"> PAGEREF _Toc383511631 \h </w:instrText>
      </w:r>
      <w:r>
        <w:fldChar w:fldCharType="separate"/>
      </w:r>
      <w:r>
        <w:t>209</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Obligation to make discovery not excluded</w:t>
      </w:r>
      <w:r>
        <w:tab/>
      </w:r>
      <w:r>
        <w:fldChar w:fldCharType="begin"/>
      </w:r>
      <w:r>
        <w:instrText xml:space="preserve"> PAGEREF _Toc383511632 \h </w:instrText>
      </w:r>
      <w:r>
        <w:fldChar w:fldCharType="separate"/>
      </w:r>
      <w:r>
        <w:t>210</w:t>
      </w:r>
      <w:r>
        <w:fldChar w:fldCharType="end"/>
      </w:r>
    </w:p>
    <w:p>
      <w:pPr>
        <w:pStyle w:val="TOC2"/>
        <w:tabs>
          <w:tab w:val="right" w:leader="dot" w:pos="7086"/>
        </w:tabs>
        <w:rPr>
          <w:rFonts w:asciiTheme="minorHAnsi" w:eastAsiaTheme="minorEastAsia" w:hAnsiTheme="minorHAnsi" w:cstheme="minorBidi"/>
          <w:b w:val="0"/>
          <w:sz w:val="22"/>
          <w:szCs w:val="22"/>
        </w:rPr>
      </w:pPr>
      <w:r>
        <w:t>Part XIII — Offences</w:t>
      </w:r>
    </w:p>
    <w:p>
      <w:pPr>
        <w:pStyle w:val="TOC8"/>
        <w:rPr>
          <w:rFonts w:asciiTheme="minorHAnsi" w:eastAsiaTheme="minorEastAsia" w:hAnsiTheme="minorHAnsi" w:cstheme="minorBidi"/>
          <w:szCs w:val="22"/>
        </w:rPr>
      </w:pPr>
      <w:r>
        <w:t>214</w:t>
      </w:r>
      <w:r>
        <w:rPr>
          <w:snapToGrid w:val="0"/>
        </w:rPr>
        <w:t>.</w:t>
      </w:r>
      <w:r>
        <w:rPr>
          <w:snapToGrid w:val="0"/>
        </w:rPr>
        <w:tab/>
        <w:t>Certain fraudulent acts are offences</w:t>
      </w:r>
      <w:r>
        <w:tab/>
      </w:r>
      <w:r>
        <w:fldChar w:fldCharType="begin"/>
      </w:r>
      <w:r>
        <w:instrText xml:space="preserve"> PAGEREF _Toc383511634 \h </w:instrText>
      </w:r>
      <w:r>
        <w:fldChar w:fldCharType="separate"/>
      </w:r>
      <w:r>
        <w:t>211</w:t>
      </w:r>
      <w:r>
        <w:fldChar w:fldCharType="end"/>
      </w:r>
    </w:p>
    <w:p>
      <w:pPr>
        <w:pStyle w:val="TOC8"/>
        <w:rPr>
          <w:rFonts w:asciiTheme="minorHAnsi" w:eastAsiaTheme="minorEastAsia" w:hAnsiTheme="minorHAnsi" w:cstheme="minorBidi"/>
          <w:szCs w:val="22"/>
        </w:rPr>
      </w:pPr>
      <w:r>
        <w:t>214A</w:t>
      </w:r>
      <w:r>
        <w:rPr>
          <w:snapToGrid w:val="0"/>
        </w:rPr>
        <w:t>.</w:t>
      </w:r>
      <w:r>
        <w:rPr>
          <w:snapToGrid w:val="0"/>
        </w:rPr>
        <w:tab/>
        <w:t>Failure to lodge duplicate certificate of title or Crown lease</w:t>
      </w:r>
      <w:r>
        <w:tab/>
      </w:r>
      <w:r>
        <w:fldChar w:fldCharType="begin"/>
      </w:r>
      <w:r>
        <w:instrText xml:space="preserve"> PAGEREF _Toc383511635 \h </w:instrText>
      </w:r>
      <w:r>
        <w:fldChar w:fldCharType="separate"/>
      </w:r>
      <w:r>
        <w:t>212</w:t>
      </w:r>
      <w:r>
        <w:fldChar w:fldCharType="end"/>
      </w:r>
    </w:p>
    <w:p>
      <w:pPr>
        <w:pStyle w:val="TOC8"/>
        <w:rPr>
          <w:rFonts w:asciiTheme="minorHAnsi" w:eastAsiaTheme="minorEastAsia" w:hAnsiTheme="minorHAnsi" w:cstheme="minorBidi"/>
          <w:szCs w:val="22"/>
        </w:rPr>
      </w:pPr>
      <w:r>
        <w:t>214B</w:t>
      </w:r>
      <w:r>
        <w:rPr>
          <w:snapToGrid w:val="0"/>
        </w:rPr>
        <w:t>.</w:t>
      </w:r>
      <w:r>
        <w:rPr>
          <w:snapToGrid w:val="0"/>
        </w:rPr>
        <w:tab/>
        <w:t>General penalty</w:t>
      </w:r>
      <w:r>
        <w:tab/>
      </w:r>
      <w:r>
        <w:fldChar w:fldCharType="begin"/>
      </w:r>
      <w:r>
        <w:instrText xml:space="preserve"> PAGEREF _Toc383511636 \h </w:instrText>
      </w:r>
      <w:r>
        <w:fldChar w:fldCharType="separate"/>
      </w:r>
      <w:r>
        <w:t>212</w:t>
      </w:r>
      <w:r>
        <w:fldChar w:fldCharType="end"/>
      </w:r>
    </w:p>
    <w:p>
      <w:pPr>
        <w:pStyle w:val="TOC2"/>
        <w:tabs>
          <w:tab w:val="right" w:leader="dot" w:pos="7086"/>
        </w:tabs>
        <w:rPr>
          <w:rFonts w:asciiTheme="minorHAnsi" w:eastAsiaTheme="minorEastAsia" w:hAnsiTheme="minorHAnsi" w:cstheme="minorBidi"/>
          <w:b w:val="0"/>
          <w:sz w:val="22"/>
          <w:szCs w:val="22"/>
        </w:rPr>
      </w:pPr>
      <w:r>
        <w:t>Part XIV — Miscellaneous</w:t>
      </w:r>
    </w:p>
    <w:p>
      <w:pPr>
        <w:pStyle w:val="TOC8"/>
        <w:rPr>
          <w:rFonts w:asciiTheme="minorHAnsi" w:eastAsiaTheme="minorEastAsia" w:hAnsiTheme="minorHAnsi" w:cstheme="minorBidi"/>
          <w:szCs w:val="22"/>
        </w:rPr>
      </w:pPr>
      <w:r>
        <w:t>219</w:t>
      </w:r>
      <w:r>
        <w:rPr>
          <w:snapToGrid w:val="0"/>
        </w:rPr>
        <w:t>.</w:t>
      </w:r>
      <w:r>
        <w:rPr>
          <w:snapToGrid w:val="0"/>
        </w:rPr>
        <w:tab/>
        <w:t>Person entitled under will etc. may apply to be registered</w:t>
      </w:r>
      <w:r>
        <w:tab/>
      </w:r>
      <w:r>
        <w:fldChar w:fldCharType="begin"/>
      </w:r>
      <w:r>
        <w:instrText xml:space="preserve"> PAGEREF _Toc383511638 \h </w:instrText>
      </w:r>
      <w:r>
        <w:fldChar w:fldCharType="separate"/>
      </w:r>
      <w:r>
        <w:t>213</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Application under s. 219, how dealt with</w:t>
      </w:r>
      <w:r>
        <w:tab/>
      </w:r>
      <w:r>
        <w:fldChar w:fldCharType="begin"/>
      </w:r>
      <w:r>
        <w:instrText xml:space="preserve"> PAGEREF _Toc383511639 \h </w:instrText>
      </w:r>
      <w:r>
        <w:fldChar w:fldCharType="separate"/>
      </w:r>
      <w:r>
        <w:t>213</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Remainder</w:t>
      </w:r>
      <w:r>
        <w:rPr>
          <w:snapToGrid w:val="0"/>
        </w:rPr>
        <w:noBreakHyphen/>
        <w:t>man or reversioner may apply to be registered</w:t>
      </w:r>
      <w:r>
        <w:tab/>
      </w:r>
      <w:r>
        <w:fldChar w:fldCharType="begin"/>
      </w:r>
      <w:r>
        <w:instrText xml:space="preserve"> PAGEREF _Toc383511640 \h </w:instrText>
      </w:r>
      <w:r>
        <w:fldChar w:fldCharType="separate"/>
      </w:r>
      <w:r>
        <w:t>214</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Person claiming title under statute of limitations may apply to be registered</w:t>
      </w:r>
      <w:r>
        <w:tab/>
      </w:r>
      <w:r>
        <w:fldChar w:fldCharType="begin"/>
      </w:r>
      <w:r>
        <w:instrText xml:space="preserve"> PAGEREF _Toc383511641 \h </w:instrText>
      </w:r>
      <w:r>
        <w:fldChar w:fldCharType="separate"/>
      </w:r>
      <w:r>
        <w:t>215</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Application under s. 222, how dealt with</w:t>
      </w:r>
      <w:r>
        <w:tab/>
      </w:r>
      <w:r>
        <w:fldChar w:fldCharType="begin"/>
      </w:r>
      <w:r>
        <w:instrText xml:space="preserve"> PAGEREF _Toc383511642 \h </w:instrText>
      </w:r>
      <w:r>
        <w:fldChar w:fldCharType="separate"/>
      </w:r>
      <w:r>
        <w:t>215</w:t>
      </w:r>
      <w:r>
        <w:fldChar w:fldCharType="end"/>
      </w:r>
    </w:p>
    <w:p>
      <w:pPr>
        <w:pStyle w:val="TOC8"/>
        <w:rPr>
          <w:rFonts w:asciiTheme="minorHAnsi" w:eastAsiaTheme="minorEastAsia" w:hAnsiTheme="minorHAnsi" w:cstheme="minorBidi"/>
          <w:szCs w:val="22"/>
        </w:rPr>
      </w:pPr>
      <w:r>
        <w:t>223A</w:t>
      </w:r>
      <w:r>
        <w:rPr>
          <w:snapToGrid w:val="0"/>
        </w:rPr>
        <w:t>.</w:t>
      </w:r>
      <w:r>
        <w:rPr>
          <w:snapToGrid w:val="0"/>
        </w:rPr>
        <w:tab/>
        <w:t>Caveat against application</w:t>
      </w:r>
      <w:r>
        <w:tab/>
      </w:r>
      <w:r>
        <w:fldChar w:fldCharType="begin"/>
      </w:r>
      <w:r>
        <w:instrText xml:space="preserve"> PAGEREF _Toc383511643 \h </w:instrText>
      </w:r>
      <w:r>
        <w:fldChar w:fldCharType="separate"/>
      </w:r>
      <w:r>
        <w:t>216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Survivor of joint proprietors may apply to be registered</w:t>
      </w:r>
      <w:r>
        <w:tab/>
      </w:r>
      <w:r>
        <w:fldChar w:fldCharType="begin"/>
      </w:r>
      <w:r>
        <w:instrText xml:space="preserve"> PAGEREF _Toc383511644 \h </w:instrText>
      </w:r>
      <w:r>
        <w:fldChar w:fldCharType="separate"/>
      </w:r>
      <w:r>
        <w:t>217</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Proprietors and transferees for time being to stand in place of previous owners</w:t>
      </w:r>
      <w:r>
        <w:tab/>
      </w:r>
      <w:r>
        <w:fldChar w:fldCharType="begin"/>
      </w:r>
      <w:r>
        <w:instrText xml:space="preserve"> PAGEREF _Toc383511645 \h </w:instrText>
      </w:r>
      <w:r>
        <w:fldChar w:fldCharType="separate"/>
      </w:r>
      <w:r>
        <w:t>217</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Proprietor’s name, use of in court action by beneficiary etc.</w:t>
      </w:r>
      <w:r>
        <w:tab/>
      </w:r>
      <w:r>
        <w:fldChar w:fldCharType="begin"/>
      </w:r>
      <w:r>
        <w:instrText xml:space="preserve"> PAGEREF _Toc383511646 \h </w:instrText>
      </w:r>
      <w:r>
        <w:fldChar w:fldCharType="separate"/>
      </w:r>
      <w:r>
        <w:t>217</w:t>
      </w:r>
      <w:r>
        <w:fldChar w:fldCharType="end"/>
      </w:r>
    </w:p>
    <w:p>
      <w:pPr>
        <w:pStyle w:val="TOC8"/>
        <w:rPr>
          <w:rFonts w:asciiTheme="minorHAnsi" w:eastAsiaTheme="minorEastAsia" w:hAnsiTheme="minorHAnsi" w:cstheme="minorBidi"/>
          <w:szCs w:val="22"/>
        </w:rPr>
      </w:pPr>
      <w:r>
        <w:t>229A</w:t>
      </w:r>
      <w:r>
        <w:rPr>
          <w:snapToGrid w:val="0"/>
        </w:rPr>
        <w:t>.</w:t>
      </w:r>
      <w:r>
        <w:rPr>
          <w:snapToGrid w:val="0"/>
        </w:rPr>
        <w:tab/>
        <w:t>Easement not used or enjoyed for 20 years, removal of</w:t>
      </w:r>
      <w:r>
        <w:tab/>
      </w:r>
      <w:r>
        <w:fldChar w:fldCharType="begin"/>
      </w:r>
      <w:r>
        <w:instrText xml:space="preserve"> PAGEREF _Toc383511647 \h </w:instrText>
      </w:r>
      <w:r>
        <w:fldChar w:fldCharType="separate"/>
      </w:r>
      <w:r>
        <w:t>218</w:t>
      </w:r>
      <w:r>
        <w:fldChar w:fldCharType="end"/>
      </w:r>
    </w:p>
    <w:p>
      <w:pPr>
        <w:pStyle w:val="TOC8"/>
        <w:rPr>
          <w:rFonts w:asciiTheme="minorHAnsi" w:eastAsiaTheme="minorEastAsia" w:hAnsiTheme="minorHAnsi" w:cstheme="minorBidi"/>
          <w:szCs w:val="22"/>
        </w:rPr>
      </w:pPr>
      <w:r>
        <w:t>229B</w:t>
      </w:r>
      <w:r>
        <w:rPr>
          <w:snapToGrid w:val="0"/>
        </w:rPr>
        <w:t>.</w:t>
      </w:r>
      <w:r>
        <w:rPr>
          <w:snapToGrid w:val="0"/>
        </w:rPr>
        <w:tab/>
        <w:t>Orders made under s. 229A, effect of</w:t>
      </w:r>
      <w:r>
        <w:tab/>
      </w:r>
      <w:r>
        <w:fldChar w:fldCharType="begin"/>
      </w:r>
      <w:r>
        <w:instrText xml:space="preserve"> PAGEREF _Toc383511648 \h </w:instrText>
      </w:r>
      <w:r>
        <w:fldChar w:fldCharType="separate"/>
      </w:r>
      <w:r>
        <w:t>219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On s. 20 applications, easements not used for 20 years or more may be omitted from certificate</w:t>
      </w:r>
      <w:r>
        <w:tab/>
      </w:r>
      <w:r>
        <w:fldChar w:fldCharType="begin"/>
      </w:r>
      <w:r>
        <w:instrText xml:space="preserve"> PAGEREF _Toc383511649 \h </w:instrText>
      </w:r>
      <w:r>
        <w:fldChar w:fldCharType="separate"/>
      </w:r>
      <w:r>
        <w:t>220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Buildings on public roads etc. in Perth or Fremantle for 20 years or more</w:t>
      </w:r>
      <w:r>
        <w:tab/>
      </w:r>
      <w:r>
        <w:fldChar w:fldCharType="begin"/>
      </w:r>
      <w:r>
        <w:instrText xml:space="preserve"> PAGEREF _Toc383511650 \h </w:instrText>
      </w:r>
      <w:r>
        <w:fldChar w:fldCharType="separate"/>
      </w:r>
      <w:r>
        <w:t>220</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Receipt for documents lodged</w:t>
      </w:r>
      <w:r>
        <w:tab/>
      </w:r>
      <w:r>
        <w:fldChar w:fldCharType="begin"/>
      </w:r>
      <w:r>
        <w:instrText xml:space="preserve"> PAGEREF _Toc383511651 \h </w:instrText>
      </w:r>
      <w:r>
        <w:fldChar w:fldCharType="separate"/>
      </w:r>
      <w:r>
        <w:t>221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Pending actions etc. not to affect dealings</w:t>
      </w:r>
      <w:r>
        <w:tab/>
      </w:r>
      <w:r>
        <w:fldChar w:fldCharType="begin"/>
      </w:r>
      <w:r>
        <w:instrText xml:space="preserve"> PAGEREF _Toc383511652 \h </w:instrText>
      </w:r>
      <w:r>
        <w:fldChar w:fldCharType="separate"/>
      </w:r>
      <w:r>
        <w:t>221</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Trustees etc. of bankrupts etc. may apply to be registered</w:t>
      </w:r>
      <w:r>
        <w:tab/>
      </w:r>
      <w:r>
        <w:fldChar w:fldCharType="begin"/>
      </w:r>
      <w:r>
        <w:instrText xml:space="preserve"> PAGEREF _Toc383511653 \h </w:instrText>
      </w:r>
      <w:r>
        <w:fldChar w:fldCharType="separate"/>
      </w:r>
      <w:r>
        <w:t>222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Bankruptcy of proprietor not to affect dealings until s. 234 application or caveat lodged</w:t>
      </w:r>
      <w:r>
        <w:tab/>
      </w:r>
      <w:r>
        <w:fldChar w:fldCharType="begin"/>
      </w:r>
      <w:r>
        <w:instrText xml:space="preserve"> PAGEREF _Toc383511654 \h </w:instrText>
      </w:r>
      <w:r>
        <w:fldChar w:fldCharType="separate"/>
      </w:r>
      <w:r>
        <w:t>222</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Tenant in tail</w:t>
      </w:r>
      <w:r>
        <w:tab/>
      </w:r>
      <w:r>
        <w:fldChar w:fldCharType="begin"/>
      </w:r>
      <w:r>
        <w:instrText xml:space="preserve"> PAGEREF _Toc383511655 \h </w:instrText>
      </w:r>
      <w:r>
        <w:fldChar w:fldCharType="separate"/>
      </w:r>
      <w:r>
        <w:t>223</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Conditions of sale in Twenty</w:t>
      </w:r>
      <w:r>
        <w:rPr>
          <w:snapToGrid w:val="0"/>
        </w:rPr>
        <w:noBreakHyphen/>
        <w:t>sixth Schedule, adoption of</w:t>
      </w:r>
      <w:r>
        <w:tab/>
      </w:r>
      <w:r>
        <w:fldChar w:fldCharType="begin"/>
      </w:r>
      <w:r>
        <w:instrText xml:space="preserve"> PAGEREF _Toc383511656 \h </w:instrText>
      </w:r>
      <w:r>
        <w:fldChar w:fldCharType="separate"/>
      </w:r>
      <w:r>
        <w:t>223</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Forms may be modified</w:t>
      </w:r>
      <w:r>
        <w:tab/>
      </w:r>
      <w:r>
        <w:fldChar w:fldCharType="begin"/>
      </w:r>
      <w:r>
        <w:instrText xml:space="preserve"> PAGEREF _Toc383511657 \h </w:instrText>
      </w:r>
      <w:r>
        <w:fldChar w:fldCharType="separate"/>
      </w:r>
      <w:r>
        <w:t>223</w:t>
      </w:r>
      <w:r>
        <w:fldChar w:fldCharType="end"/>
      </w:r>
    </w:p>
    <w:p>
      <w:pPr>
        <w:pStyle w:val="TOC8"/>
        <w:rPr>
          <w:rFonts w:asciiTheme="minorHAnsi" w:eastAsiaTheme="minorEastAsia" w:hAnsiTheme="minorHAnsi" w:cstheme="minorBidi"/>
          <w:szCs w:val="22"/>
        </w:rPr>
      </w:pPr>
      <w:r>
        <w:t>239.</w:t>
      </w:r>
      <w:r>
        <w:tab/>
        <w:t>Inspection of Register and related documents; obtaining copies and print</w:t>
      </w:r>
      <w:r>
        <w:noBreakHyphen/>
        <w:t>outs</w:t>
      </w:r>
      <w:r>
        <w:tab/>
      </w:r>
      <w:r>
        <w:fldChar w:fldCharType="begin"/>
      </w:r>
      <w:r>
        <w:instrText xml:space="preserve"> PAGEREF _Toc383511658 \h </w:instrText>
      </w:r>
      <w:r>
        <w:fldChar w:fldCharType="separate"/>
      </w:r>
      <w:r>
        <w:t>223</w:t>
      </w:r>
      <w:r>
        <w:fldChar w:fldCharType="end"/>
      </w:r>
    </w:p>
    <w:p>
      <w:pPr>
        <w:pStyle w:val="TOC8"/>
        <w:rPr>
          <w:rFonts w:asciiTheme="minorHAnsi" w:eastAsiaTheme="minorEastAsia" w:hAnsiTheme="minorHAnsi" w:cstheme="minorBidi"/>
          <w:szCs w:val="22"/>
        </w:rPr>
      </w:pPr>
      <w:r>
        <w:t>239B.</w:t>
      </w:r>
      <w:r>
        <w:tab/>
        <w:t>Evidentiary documents as to current and historical matters</w:t>
      </w:r>
      <w:r>
        <w:tab/>
      </w:r>
      <w:r>
        <w:fldChar w:fldCharType="begin"/>
      </w:r>
      <w:r>
        <w:instrText xml:space="preserve"> PAGEREF _Toc383511659 \h </w:instrText>
      </w:r>
      <w:r>
        <w:fldChar w:fldCharType="separate"/>
      </w:r>
      <w:r>
        <w:t>225</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Service of notices</w:t>
      </w:r>
      <w:r>
        <w:tab/>
      </w:r>
      <w:r>
        <w:fldChar w:fldCharType="begin"/>
      </w:r>
      <w:r>
        <w:instrText xml:space="preserve"> PAGEREF _Toc383511660 \h </w:instrText>
      </w:r>
      <w:r>
        <w:fldChar w:fldCharType="separate"/>
      </w:r>
      <w:r>
        <w:t>225</w:t>
      </w:r>
      <w:r>
        <w:fldChar w:fldCharType="end"/>
      </w:r>
    </w:p>
    <w:p>
      <w:pPr>
        <w:pStyle w:val="TOC8"/>
        <w:rPr>
          <w:rFonts w:asciiTheme="minorHAnsi" w:eastAsiaTheme="minorEastAsia" w:hAnsiTheme="minorHAnsi" w:cstheme="minorBidi"/>
          <w:szCs w:val="22"/>
        </w:rPr>
      </w:pPr>
      <w:r>
        <w:t>240A</w:t>
      </w:r>
      <w:r>
        <w:rPr>
          <w:snapToGrid w:val="0"/>
        </w:rPr>
        <w:t>.</w:t>
      </w:r>
      <w:r>
        <w:rPr>
          <w:snapToGrid w:val="0"/>
        </w:rPr>
        <w:tab/>
        <w:t>Notification of change of address etc.</w:t>
      </w:r>
      <w:r>
        <w:tab/>
      </w:r>
      <w:r>
        <w:fldChar w:fldCharType="begin"/>
      </w:r>
      <w:r>
        <w:instrText xml:space="preserve"> PAGEREF _Toc383511661 \h </w:instrText>
      </w:r>
      <w:r>
        <w:fldChar w:fldCharType="separate"/>
      </w:r>
      <w:r>
        <w:t>227</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Interests disposed of or created by court order etc., registration of</w:t>
      </w:r>
      <w:r>
        <w:tab/>
      </w:r>
      <w:r>
        <w:fldChar w:fldCharType="begin"/>
      </w:r>
      <w:r>
        <w:instrText xml:space="preserve"> PAGEREF _Toc383511662 \h </w:instrText>
      </w:r>
      <w:r>
        <w:fldChar w:fldCharType="separate"/>
      </w:r>
      <w:r>
        <w:t>228</w:t>
      </w:r>
      <w:r>
        <w:fldChar w:fldCharType="end"/>
      </w:r>
    </w:p>
    <w:p>
      <w:pPr>
        <w:pStyle w:val="TOC8"/>
        <w:rPr>
          <w:rFonts w:asciiTheme="minorHAnsi" w:eastAsiaTheme="minorEastAsia" w:hAnsiTheme="minorHAnsi" w:cstheme="minorBidi"/>
          <w:szCs w:val="22"/>
        </w:rPr>
      </w:pPr>
      <w:r>
        <w:t>243.</w:t>
      </w:r>
      <w:r>
        <w:tab/>
        <w:t>Revesting of land held by Crown in fee simple as Crown land</w:t>
      </w:r>
      <w:r>
        <w:tab/>
      </w:r>
      <w:r>
        <w:fldChar w:fldCharType="begin"/>
      </w:r>
      <w:r>
        <w:instrText xml:space="preserve"> PAGEREF _Toc383511663 \h </w:instrText>
      </w:r>
      <w:r>
        <w:fldChar w:fldCharType="separate"/>
      </w:r>
      <w:r>
        <w:t>229</w:t>
      </w:r>
      <w:r>
        <w:fldChar w:fldCharType="end"/>
      </w:r>
    </w:p>
    <w:p>
      <w:pPr>
        <w:pStyle w:val="TOC2"/>
        <w:tabs>
          <w:tab w:val="right" w:leader="dot" w:pos="7086"/>
        </w:tabs>
        <w:rPr>
          <w:rFonts w:asciiTheme="minorHAnsi" w:eastAsiaTheme="minorEastAsia" w:hAnsiTheme="minorHAnsi" w:cstheme="minorBidi"/>
          <w:b w:val="0"/>
          <w:sz w:val="22"/>
          <w:szCs w:val="22"/>
        </w:rPr>
      </w:pPr>
      <w:r>
        <w:rPr>
          <w:rFonts w:eastAsia="MS Mincho"/>
        </w:rPr>
        <w:t>First Schedule — Acts repealed</w:t>
      </w:r>
    </w:p>
    <w:p>
      <w:pPr>
        <w:pStyle w:val="TOC2"/>
        <w:tabs>
          <w:tab w:val="right" w:leader="dot" w:pos="7086"/>
        </w:tabs>
        <w:rPr>
          <w:rFonts w:asciiTheme="minorHAnsi" w:eastAsiaTheme="minorEastAsia" w:hAnsiTheme="minorHAnsi" w:cstheme="minorBidi"/>
          <w:b w:val="0"/>
          <w:sz w:val="22"/>
          <w:szCs w:val="22"/>
        </w:rPr>
      </w:pPr>
      <w:r>
        <w:rPr>
          <w:rFonts w:eastAsia="MS Mincho"/>
        </w:rPr>
        <w:t>Second Schedule — Application to bring land under Act</w:t>
      </w:r>
    </w:p>
    <w:p>
      <w:pPr>
        <w:pStyle w:val="TOC2"/>
        <w:tabs>
          <w:tab w:val="right" w:leader="dot" w:pos="7086"/>
        </w:tabs>
        <w:rPr>
          <w:rFonts w:asciiTheme="minorHAnsi" w:eastAsiaTheme="minorEastAsia" w:hAnsiTheme="minorHAnsi" w:cstheme="minorBidi"/>
          <w:b w:val="0"/>
          <w:sz w:val="22"/>
          <w:szCs w:val="22"/>
        </w:rPr>
      </w:pPr>
      <w:r>
        <w:rPr>
          <w:rFonts w:eastAsia="MS Mincho"/>
        </w:rPr>
        <w:t>Third Schedule — Notice to be posted on land</w:t>
      </w:r>
    </w:p>
    <w:p>
      <w:pPr>
        <w:pStyle w:val="TOC2"/>
        <w:tabs>
          <w:tab w:val="right" w:leader="dot" w:pos="7086"/>
        </w:tabs>
        <w:rPr>
          <w:rFonts w:asciiTheme="minorHAnsi" w:eastAsiaTheme="minorEastAsia" w:hAnsiTheme="minorHAnsi" w:cstheme="minorBidi"/>
          <w:b w:val="0"/>
          <w:sz w:val="22"/>
          <w:szCs w:val="22"/>
        </w:rPr>
      </w:pPr>
      <w:r>
        <w:rPr>
          <w:rFonts w:eastAsia="MS Mincho"/>
        </w:rPr>
        <w:t>Fourth Schedule — Application to be registered as proprietor by possession</w:t>
      </w:r>
    </w:p>
    <w:p>
      <w:pPr>
        <w:pStyle w:val="TOC2"/>
        <w:tabs>
          <w:tab w:val="right" w:leader="dot" w:pos="7086"/>
        </w:tabs>
        <w:rPr>
          <w:rFonts w:asciiTheme="minorHAnsi" w:eastAsiaTheme="minorEastAsia" w:hAnsiTheme="minorHAnsi" w:cstheme="minorBidi"/>
          <w:b w:val="0"/>
          <w:sz w:val="22"/>
          <w:szCs w:val="22"/>
        </w:rPr>
      </w:pPr>
      <w:r>
        <w:rPr>
          <w:rFonts w:eastAsia="MS Mincho"/>
        </w:rPr>
        <w:t>Ninth Schedule — Creation of rights of carriage</w:t>
      </w:r>
      <w:r>
        <w:rPr>
          <w:rFonts w:eastAsia="MS Mincho"/>
        </w:rPr>
        <w:noBreakHyphen/>
        <w:t>way</w:t>
      </w:r>
    </w:p>
    <w:p>
      <w:pPr>
        <w:pStyle w:val="TOC2"/>
        <w:tabs>
          <w:tab w:val="right" w:leader="dot" w:pos="7086"/>
        </w:tabs>
        <w:rPr>
          <w:rFonts w:asciiTheme="minorHAnsi" w:eastAsiaTheme="minorEastAsia" w:hAnsiTheme="minorHAnsi" w:cstheme="minorBidi"/>
          <w:b w:val="0"/>
          <w:sz w:val="22"/>
          <w:szCs w:val="22"/>
        </w:rPr>
      </w:pPr>
      <w:r>
        <w:rPr>
          <w:rFonts w:eastAsia="MS Mincho"/>
        </w:rPr>
        <w:t>Tenth Schedule — Short and long forms of certain easements</w:t>
      </w:r>
    </w:p>
    <w:p>
      <w:pPr>
        <w:pStyle w:val="TOC2"/>
        <w:tabs>
          <w:tab w:val="right" w:leader="dot" w:pos="7086"/>
        </w:tabs>
        <w:rPr>
          <w:rFonts w:asciiTheme="minorHAnsi" w:eastAsiaTheme="minorEastAsia" w:hAnsiTheme="minorHAnsi" w:cstheme="minorBidi"/>
          <w:b w:val="0"/>
          <w:sz w:val="22"/>
          <w:szCs w:val="22"/>
        </w:rPr>
      </w:pPr>
      <w:r>
        <w:rPr>
          <w:rFonts w:eastAsia="MS Mincho"/>
        </w:rPr>
        <w:t>Twelfth Schedule — Short form of covenants by lessee</w:t>
      </w:r>
    </w:p>
    <w:p>
      <w:pPr>
        <w:pStyle w:val="TOC2"/>
        <w:tabs>
          <w:tab w:val="right" w:leader="dot" w:pos="7086"/>
        </w:tabs>
        <w:rPr>
          <w:rFonts w:asciiTheme="minorHAnsi" w:eastAsiaTheme="minorEastAsia" w:hAnsiTheme="minorHAnsi" w:cstheme="minorBidi"/>
          <w:b w:val="0"/>
          <w:sz w:val="22"/>
          <w:szCs w:val="22"/>
        </w:rPr>
      </w:pPr>
      <w:r>
        <w:rPr>
          <w:rFonts w:eastAsia="MS Mincho"/>
        </w:rPr>
        <w:t>Sixteenth Schedule — Short form of covenant by mortgagor to insure</w:t>
      </w:r>
    </w:p>
    <w:p>
      <w:pPr>
        <w:pStyle w:val="TOC2"/>
        <w:tabs>
          <w:tab w:val="right" w:leader="dot" w:pos="7086"/>
        </w:tabs>
        <w:rPr>
          <w:rFonts w:asciiTheme="minorHAnsi" w:eastAsiaTheme="minorEastAsia" w:hAnsiTheme="minorHAnsi" w:cstheme="minorBidi"/>
          <w:b w:val="0"/>
          <w:sz w:val="22"/>
          <w:szCs w:val="22"/>
        </w:rPr>
      </w:pPr>
      <w:r>
        <w:rPr>
          <w:rFonts w:eastAsia="MS Mincho"/>
        </w:rPr>
        <w:t>Nineteenth Schedule — Power of Attorney</w:t>
      </w:r>
    </w:p>
    <w:p>
      <w:pPr>
        <w:pStyle w:val="TOC2"/>
        <w:tabs>
          <w:tab w:val="right" w:leader="dot" w:pos="7086"/>
        </w:tabs>
        <w:rPr>
          <w:rFonts w:asciiTheme="minorHAnsi" w:eastAsiaTheme="minorEastAsia" w:hAnsiTheme="minorHAnsi" w:cstheme="minorBidi"/>
          <w:b w:val="0"/>
          <w:sz w:val="22"/>
          <w:szCs w:val="22"/>
        </w:rPr>
      </w:pPr>
      <w:r>
        <w:rPr>
          <w:rFonts w:eastAsia="MS Mincho"/>
        </w:rPr>
        <w:t>Twenty</w:t>
      </w:r>
      <w:r>
        <w:rPr>
          <w:rFonts w:eastAsia="MS Mincho"/>
        </w:rPr>
        <w:noBreakHyphen/>
        <w:t>fourth Schedule — Form of application to amend certificate or amend or replace relevant graphic</w:t>
      </w:r>
    </w:p>
    <w:p>
      <w:pPr>
        <w:pStyle w:val="TOC2"/>
        <w:tabs>
          <w:tab w:val="right" w:leader="dot" w:pos="7086"/>
        </w:tabs>
        <w:rPr>
          <w:rFonts w:asciiTheme="minorHAnsi" w:eastAsiaTheme="minorEastAsia" w:hAnsiTheme="minorHAnsi" w:cstheme="minorBidi"/>
          <w:b w:val="0"/>
          <w:sz w:val="22"/>
          <w:szCs w:val="22"/>
        </w:rPr>
      </w:pPr>
      <w:r>
        <w:rPr>
          <w:rFonts w:eastAsia="MS Mincho"/>
        </w:rPr>
        <w:t>Twenty</w:t>
      </w:r>
      <w:r>
        <w:rPr>
          <w:rFonts w:eastAsia="MS Mincho"/>
        </w:rPr>
        <w:noBreakHyphen/>
        <w:t>fifth Schedule — Form of summons</w:t>
      </w:r>
    </w:p>
    <w:p>
      <w:pPr>
        <w:pStyle w:val="TOC2"/>
        <w:tabs>
          <w:tab w:val="right" w:leader="dot" w:pos="7086"/>
        </w:tabs>
        <w:rPr>
          <w:rFonts w:asciiTheme="minorHAnsi" w:eastAsiaTheme="minorEastAsia" w:hAnsiTheme="minorHAnsi" w:cstheme="minorBidi"/>
          <w:b w:val="0"/>
          <w:sz w:val="22"/>
          <w:szCs w:val="22"/>
        </w:rPr>
      </w:pPr>
      <w:r>
        <w:t>Twenty</w:t>
      </w:r>
      <w:r>
        <w:noBreakHyphen/>
        <w:t>sixth Schedule — General conditions of sale</w:t>
      </w:r>
    </w:p>
    <w:p>
      <w:pPr>
        <w:pStyle w:val="TOC2"/>
        <w:tabs>
          <w:tab w:val="right" w:leader="dot" w:pos="7086"/>
        </w:tabs>
        <w:rPr>
          <w:rFonts w:asciiTheme="minorHAnsi" w:eastAsiaTheme="minorEastAsia" w:hAnsiTheme="minorHAnsi" w:cstheme="minorBidi"/>
          <w:b w:val="0"/>
          <w:sz w:val="22"/>
          <w:szCs w:val="22"/>
        </w:rPr>
      </w:pPr>
      <w:r>
        <w:t>Twenty</w:t>
      </w:r>
      <w:r>
        <w:noBreakHyphen/>
        <w:t>eighth Schedule — Application to register Crown lease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_Toc383511678 \h </w:instrText>
      </w:r>
      <w:r>
        <w:fldChar w:fldCharType="separate"/>
      </w:r>
      <w:r>
        <w:t>255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_Toc383511679 \h </w:instrText>
      </w:r>
      <w:r>
        <w:fldChar w:fldCharType="separate"/>
      </w:r>
      <w:r>
        <w:t>261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2"/>
      </w:pPr>
      <w:bookmarkStart w:id="1" w:name="_Toc383511318"/>
      <w:r>
        <w:rPr>
          <w:rStyle w:val="CharPartNo"/>
        </w:rPr>
        <w:t>Part IA</w:t>
      </w:r>
      <w:r>
        <w:rPr>
          <w:rStyle w:val="CharDivNo"/>
        </w:rPr>
        <w:t> </w:t>
      </w:r>
      <w:r>
        <w:t>—</w:t>
      </w:r>
      <w:r>
        <w:rPr>
          <w:rStyle w:val="CharDivText"/>
        </w:rPr>
        <w:t> </w:t>
      </w:r>
      <w:r>
        <w:rPr>
          <w:rStyle w:val="CharPartText"/>
        </w:rPr>
        <w:t>Preliminary</w:t>
      </w:r>
      <w:bookmarkEnd w:id="1"/>
    </w:p>
    <w:p>
      <w:pPr>
        <w:pStyle w:val="Footnoteheading"/>
      </w:pPr>
      <w:r>
        <w:tab/>
        <w:t>[Heading inserted by No. 19 of 2010 s. 43(2).]</w:t>
      </w:r>
    </w:p>
    <w:p>
      <w:pPr>
        <w:pStyle w:val="Heading5"/>
        <w:spacing w:before="160"/>
        <w:rPr>
          <w:snapToGrid w:val="0"/>
        </w:rPr>
      </w:pPr>
      <w:bookmarkStart w:id="2" w:name="_Toc383511319"/>
      <w:r>
        <w:rPr>
          <w:rStyle w:val="CharSectno"/>
        </w:rPr>
        <w:t>1</w:t>
      </w:r>
      <w:r>
        <w:rPr>
          <w:snapToGrid w:val="0"/>
        </w:rPr>
        <w:t>.</w:t>
      </w:r>
      <w:r>
        <w:rPr>
          <w:snapToGrid w:val="0"/>
        </w:rPr>
        <w:tab/>
        <w:t>Short title</w:t>
      </w:r>
      <w:bookmarkEnd w:id="2"/>
    </w:p>
    <w:p>
      <w:pPr>
        <w:pStyle w:val="Subsection"/>
        <w:spacing w:before="120"/>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p>
    <w:p>
      <w:pPr>
        <w:pStyle w:val="Heading5"/>
        <w:spacing w:before="160"/>
        <w:rPr>
          <w:snapToGrid w:val="0"/>
        </w:rPr>
      </w:pPr>
      <w:bookmarkStart w:id="3" w:name="_Toc383511320"/>
      <w:r>
        <w:rPr>
          <w:rStyle w:val="CharSectno"/>
        </w:rPr>
        <w:t>2</w:t>
      </w:r>
      <w:r>
        <w:rPr>
          <w:snapToGrid w:val="0"/>
        </w:rPr>
        <w:t>.</w:t>
      </w:r>
      <w:r>
        <w:rPr>
          <w:snapToGrid w:val="0"/>
        </w:rPr>
        <w:tab/>
        <w:t>Repeals and savings</w:t>
      </w:r>
      <w:bookmarkEnd w:id="3"/>
    </w:p>
    <w:p>
      <w:pPr>
        <w:pStyle w:val="Subsection"/>
        <w:spacing w:before="120"/>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spacing w:before="120"/>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spacing w:before="120"/>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by No. 19 of 2010 s. 51.]</w:t>
      </w:r>
    </w:p>
    <w:p>
      <w:pPr>
        <w:pStyle w:val="Heading5"/>
        <w:rPr>
          <w:snapToGrid w:val="0"/>
        </w:rPr>
      </w:pPr>
      <w:bookmarkStart w:id="4" w:name="_Toc383511321"/>
      <w:r>
        <w:rPr>
          <w:rStyle w:val="CharSectno"/>
        </w:rPr>
        <w:t>3</w:t>
      </w:r>
      <w:r>
        <w:rPr>
          <w:snapToGrid w:val="0"/>
        </w:rPr>
        <w:t>.</w:t>
      </w:r>
      <w:r>
        <w:rPr>
          <w:snapToGrid w:val="0"/>
        </w:rPr>
        <w:tab/>
        <w:t>Application of other laws etc. and this Act</w:t>
      </w:r>
      <w:bookmarkEnd w:id="4"/>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5" w:name="_Toc383511322"/>
      <w:r>
        <w:rPr>
          <w:rStyle w:val="CharSectno"/>
        </w:rPr>
        <w:t>4</w:t>
      </w:r>
      <w:r>
        <w:rPr>
          <w:snapToGrid w:val="0"/>
        </w:rPr>
        <w:t>.</w:t>
      </w:r>
      <w:r>
        <w:rPr>
          <w:snapToGrid w:val="0"/>
        </w:rPr>
        <w:tab/>
        <w:t>Terms used; application of Act to Crown land</w:t>
      </w:r>
      <w:bookmarkEnd w:id="5"/>
    </w:p>
    <w:p>
      <w:pPr>
        <w:pStyle w:val="Subsection"/>
        <w:spacing w:before="120"/>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spacing w:before="70"/>
      </w:pPr>
      <w:r>
        <w:tab/>
        <w:t>(a)</w:t>
      </w:r>
      <w:r>
        <w:tab/>
        <w:t>a sketch plan in the possession of the Registrar;</w:t>
      </w:r>
    </w:p>
    <w:p>
      <w:pPr>
        <w:pStyle w:val="Defpara"/>
        <w:spacing w:before="70"/>
      </w:pPr>
      <w:r>
        <w:tab/>
        <w:t>(b)</w:t>
      </w:r>
      <w:r>
        <w:tab/>
        <w:t>a plan or diagram lodged or deposited under this Act;</w:t>
      </w:r>
    </w:p>
    <w:p>
      <w:pPr>
        <w:pStyle w:val="Defpara"/>
        <w:spacing w:before="70"/>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spacing w:before="70"/>
      </w:pPr>
      <w:r>
        <w:tab/>
        <w:t>(a)</w:t>
      </w:r>
      <w:r>
        <w:tab/>
        <w:t>a document for the conveyance, assignment, transfer, lease, sublease, mortgage or charge of freehold land; and</w:t>
      </w:r>
    </w:p>
    <w:p>
      <w:pPr>
        <w:pStyle w:val="Defpara"/>
        <w:spacing w:before="70"/>
      </w:pPr>
      <w:r>
        <w:tab/>
        <w:t>(b)</w:t>
      </w:r>
      <w:r>
        <w:tab/>
        <w:t>a document creating an easement, profit à prendre or restrictive covenant; and</w:t>
      </w:r>
    </w:p>
    <w:p>
      <w:pPr>
        <w:pStyle w:val="Defpara"/>
        <w:spacing w:before="70"/>
      </w:pPr>
      <w:r>
        <w:tab/>
        <w:t>(c)</w:t>
      </w:r>
      <w:r>
        <w:tab/>
        <w:t>a carbon right form, carbon covenant form or tree plantation agreement; and</w:t>
      </w:r>
    </w:p>
    <w:p>
      <w:pPr>
        <w:pStyle w:val="Defpara"/>
        <w:spacing w:before="70"/>
      </w:pPr>
      <w:r>
        <w:tab/>
        <w:t>(d)</w:t>
      </w:r>
      <w:r>
        <w:tab/>
        <w:t>a document for —</w:t>
      </w:r>
    </w:p>
    <w:p>
      <w:pPr>
        <w:pStyle w:val="Defsubpara"/>
        <w:keepLines w:val="0"/>
        <w:spacing w:before="7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spacing w:before="70"/>
      </w:pPr>
      <w:r>
        <w:tab/>
        <w:t>(ii)</w:t>
      </w:r>
      <w:r>
        <w:tab/>
        <w:t>the extension of a carbon right, carbon covenant or plantation interest; or</w:t>
      </w:r>
    </w:p>
    <w:p>
      <w:pPr>
        <w:pStyle w:val="Defsubpara"/>
        <w:keepLines w:val="0"/>
        <w:spacing w:before="70"/>
      </w:pPr>
      <w:r>
        <w:tab/>
        <w:t>(iii)</w:t>
      </w:r>
      <w:r>
        <w:tab/>
        <w:t>the variation of a carbon covenant or tree plantation agreement; or</w:t>
      </w:r>
    </w:p>
    <w:p>
      <w:pPr>
        <w:pStyle w:val="Defsubpara"/>
        <w:keepLines w:val="0"/>
        <w:spacing w:before="70"/>
      </w:pPr>
      <w:r>
        <w:tab/>
        <w:t>(iv)</w:t>
      </w:r>
      <w:r>
        <w:tab/>
        <w:t>the surrender of a carbon right, carbon covenant or plantation interest;</w:t>
      </w:r>
    </w:p>
    <w:p>
      <w:pPr>
        <w:pStyle w:val="Defpara"/>
        <w:spacing w:before="70"/>
      </w:pPr>
      <w:r>
        <w:tab/>
      </w:r>
      <w:r>
        <w:tab/>
        <w:t>and</w:t>
      </w:r>
    </w:p>
    <w:p>
      <w:pPr>
        <w:pStyle w:val="Defpara"/>
        <w:spacing w:before="70"/>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spacing w:before="100"/>
      </w:pPr>
      <w:r>
        <w:tab/>
      </w:r>
      <w:r>
        <w:tab/>
        <w:t>or both, to Crown land.</w:t>
      </w:r>
    </w:p>
    <w:p>
      <w:pPr>
        <w:pStyle w:val="Subsection"/>
        <w:spacing w:before="100"/>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w:t>
      </w:r>
    </w:p>
    <w:p>
      <w:pPr>
        <w:pStyle w:val="Heading5"/>
      </w:pPr>
      <w:bookmarkStart w:id="6" w:name="_Toc383511323"/>
      <w:r>
        <w:rPr>
          <w:rStyle w:val="CharSectno"/>
        </w:rPr>
        <w:t>4A</w:t>
      </w:r>
      <w:r>
        <w:t>.</w:t>
      </w:r>
      <w:r>
        <w:tab/>
        <w:t>Sections of this Act that do not apply to Crown land</w:t>
      </w:r>
      <w:bookmarkEnd w:id="6"/>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7" w:name="_Toc383511324"/>
      <w:r>
        <w:rPr>
          <w:rStyle w:val="CharPartNo"/>
        </w:rPr>
        <w:t>Part I</w:t>
      </w:r>
      <w:r>
        <w:rPr>
          <w:rStyle w:val="CharDivNo"/>
        </w:rPr>
        <w:t> </w:t>
      </w:r>
      <w:r>
        <w:t>—</w:t>
      </w:r>
      <w:r>
        <w:rPr>
          <w:rStyle w:val="CharDivText"/>
        </w:rPr>
        <w:t> </w:t>
      </w:r>
      <w:r>
        <w:rPr>
          <w:rStyle w:val="CharPartText"/>
        </w:rPr>
        <w:t>Officers</w:t>
      </w:r>
      <w:bookmarkEnd w:id="7"/>
    </w:p>
    <w:p>
      <w:pPr>
        <w:pStyle w:val="Heading5"/>
      </w:pPr>
      <w:bookmarkStart w:id="8" w:name="_Toc383511325"/>
      <w:r>
        <w:rPr>
          <w:rStyle w:val="CharSectno"/>
        </w:rPr>
        <w:t>5</w:t>
      </w:r>
      <w:r>
        <w:t>.</w:t>
      </w:r>
      <w:r>
        <w:tab/>
        <w:t>Commissioner of Titles</w:t>
      </w:r>
      <w:bookmarkEnd w:id="8"/>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9" w:name="_Toc383511326"/>
      <w:r>
        <w:rPr>
          <w:rStyle w:val="CharSectno"/>
        </w:rPr>
        <w:t>6</w:t>
      </w:r>
      <w:r>
        <w:rPr>
          <w:snapToGrid w:val="0"/>
        </w:rPr>
        <w:t>.</w:t>
      </w:r>
      <w:r>
        <w:rPr>
          <w:snapToGrid w:val="0"/>
        </w:rPr>
        <w:tab/>
        <w:t>Deputy Commissioner of Titles</w:t>
      </w:r>
      <w:bookmarkEnd w:id="9"/>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p>
    <w:p>
      <w:pPr>
        <w:pStyle w:val="Heading5"/>
      </w:pPr>
      <w:bookmarkStart w:id="10" w:name="_Toc383511327"/>
      <w:r>
        <w:rPr>
          <w:rStyle w:val="CharSectno"/>
        </w:rPr>
        <w:t>7</w:t>
      </w:r>
      <w:r>
        <w:t>.</w:t>
      </w:r>
      <w:r>
        <w:tab/>
        <w:t>Registrar of Titles</w:t>
      </w:r>
      <w:bookmarkEnd w:id="10"/>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spacing w:before="100"/>
        <w:ind w:left="890" w:hanging="890"/>
      </w:pPr>
      <w:r>
        <w:tab/>
        <w:t>[Section 7 inserted by No. 60 of 2006 s. 106.]</w:t>
      </w:r>
    </w:p>
    <w:p>
      <w:pPr>
        <w:pStyle w:val="Heading5"/>
        <w:rPr>
          <w:snapToGrid w:val="0"/>
        </w:rPr>
      </w:pPr>
      <w:bookmarkStart w:id="11" w:name="_Toc383511328"/>
      <w:r>
        <w:rPr>
          <w:rStyle w:val="CharSectno"/>
        </w:rPr>
        <w:t>7A</w:t>
      </w:r>
      <w:r>
        <w:rPr>
          <w:snapToGrid w:val="0"/>
        </w:rPr>
        <w:t>.</w:t>
      </w:r>
      <w:r>
        <w:rPr>
          <w:snapToGrid w:val="0"/>
        </w:rPr>
        <w:tab/>
        <w:t>Offices of Commissioner and Registrar may be held by one person</w:t>
      </w:r>
      <w:bookmarkEnd w:id="11"/>
    </w:p>
    <w:p>
      <w:pPr>
        <w:pStyle w:val="Subsection"/>
        <w:spacing w:before="140"/>
      </w:pPr>
      <w:r>
        <w:tab/>
        <w:t>(1)</w:t>
      </w:r>
      <w:r>
        <w:tab/>
        <w:t>A person qualified to be the Commissioner of Titles may be, and may perform the functions of, both the Commissioner of Titles and the Registrar of Titles.</w:t>
      </w:r>
    </w:p>
    <w:p>
      <w:pPr>
        <w:pStyle w:val="Subsection"/>
        <w:keepNext/>
        <w:spacing w:before="140"/>
        <w:rPr>
          <w:snapToGrid w:val="0"/>
        </w:rPr>
      </w:pPr>
      <w:r>
        <w:rPr>
          <w:snapToGrid w:val="0"/>
        </w:rPr>
        <w:tab/>
        <w:t>(2)</w:t>
      </w:r>
      <w:r>
        <w:rPr>
          <w:snapToGrid w:val="0"/>
        </w:rPr>
        <w:tab/>
        <w:t>Any act, matter, or thing which is required by this Act to be —</w:t>
      </w:r>
    </w:p>
    <w:p>
      <w:pPr>
        <w:pStyle w:val="Indenta"/>
        <w:spacing w:before="60"/>
        <w:rPr>
          <w:snapToGrid w:val="0"/>
        </w:rPr>
      </w:pPr>
      <w:r>
        <w:rPr>
          <w:snapToGrid w:val="0"/>
        </w:rPr>
        <w:tab/>
        <w:t>(a)</w:t>
      </w:r>
      <w:r>
        <w:rPr>
          <w:snapToGrid w:val="0"/>
        </w:rPr>
        <w:tab/>
        <w:t>referred by the Registrar of Titles to the Commissioner of Titles; or</w:t>
      </w:r>
    </w:p>
    <w:p>
      <w:pPr>
        <w:pStyle w:val="Indenta"/>
        <w:spacing w:before="60"/>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w:t>
      </w:r>
    </w:p>
    <w:p>
      <w:pPr>
        <w:pStyle w:val="Subsection"/>
        <w:spacing w:before="10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4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[Section 7A inserted by No. 5 of 1925 s. 2; amended by No. 60 of 2006 s. 107.]</w:t>
      </w:r>
    </w:p>
    <w:p>
      <w:pPr>
        <w:pStyle w:val="Heading5"/>
      </w:pPr>
      <w:bookmarkStart w:id="12" w:name="_Toc383511329"/>
      <w:r>
        <w:rPr>
          <w:rStyle w:val="CharSectno"/>
        </w:rPr>
        <w:t>8</w:t>
      </w:r>
      <w:r>
        <w:t>.</w:t>
      </w:r>
      <w:r>
        <w:tab/>
        <w:t>Examiner of Titles, Assistant Registrar of Titles</w:t>
      </w:r>
      <w:bookmarkEnd w:id="12"/>
    </w:p>
    <w:p>
      <w:pPr>
        <w:pStyle w:val="Subsection"/>
        <w:spacing w:before="140"/>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13" w:name="_Toc383511330"/>
      <w:r>
        <w:rPr>
          <w:rStyle w:val="CharSectno"/>
        </w:rPr>
        <w:t>8A</w:t>
      </w:r>
      <w:r>
        <w:t>.</w:t>
      </w:r>
      <w:r>
        <w:tab/>
        <w:t>Designating statutory officers, generally</w:t>
      </w:r>
      <w:bookmarkEnd w:id="13"/>
    </w:p>
    <w:p>
      <w:pPr>
        <w:pStyle w:val="Subsection"/>
        <w:outlineLvl w:val="0"/>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The power to designate a person includes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4" w:name="_Toc383511331"/>
      <w:r>
        <w:rPr>
          <w:rStyle w:val="CharSectno"/>
        </w:rPr>
        <w:t>9</w:t>
      </w:r>
      <w:r>
        <w:rPr>
          <w:snapToGrid w:val="0"/>
        </w:rPr>
        <w:t>.</w:t>
      </w:r>
      <w:r>
        <w:rPr>
          <w:snapToGrid w:val="0"/>
        </w:rPr>
        <w:tab/>
        <w:t>Certain signatures to be judicially noticed</w:t>
      </w:r>
      <w:bookmarkEnd w:id="14"/>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p>
    <w:p>
      <w:pPr>
        <w:pStyle w:val="Heading5"/>
        <w:rPr>
          <w:snapToGrid w:val="0"/>
        </w:rPr>
      </w:pPr>
      <w:bookmarkStart w:id="15" w:name="_Toc383511332"/>
      <w:r>
        <w:rPr>
          <w:rStyle w:val="CharSectno"/>
        </w:rPr>
        <w:t>10</w:t>
      </w:r>
      <w:r>
        <w:rPr>
          <w:snapToGrid w:val="0"/>
        </w:rPr>
        <w:t>.</w:t>
      </w:r>
      <w:r>
        <w:rPr>
          <w:snapToGrid w:val="0"/>
        </w:rPr>
        <w:tab/>
        <w:t>Seal</w:t>
      </w:r>
      <w:bookmarkEnd w:id="15"/>
    </w:p>
    <w:p>
      <w:pPr>
        <w:pStyle w:val="Subsection"/>
        <w:spacing w:before="100"/>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spacing w:before="10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0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amended by No. 6 of 2003 s. 7.]</w:t>
      </w:r>
    </w:p>
    <w:p>
      <w:pPr>
        <w:pStyle w:val="Heading5"/>
        <w:spacing w:before="180"/>
        <w:rPr>
          <w:snapToGrid w:val="0"/>
        </w:rPr>
      </w:pPr>
      <w:bookmarkStart w:id="16" w:name="_Toc383511333"/>
      <w:r>
        <w:rPr>
          <w:rStyle w:val="CharSectno"/>
        </w:rPr>
        <w:t>11</w:t>
      </w:r>
      <w:r>
        <w:rPr>
          <w:snapToGrid w:val="0"/>
        </w:rPr>
        <w:t>.</w:t>
      </w:r>
      <w:r>
        <w:rPr>
          <w:snapToGrid w:val="0"/>
        </w:rPr>
        <w:tab/>
        <w:t>Assistant Registrar’s powers</w:t>
      </w:r>
      <w:bookmarkEnd w:id="16"/>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7" w:name="_Toc383511334"/>
      <w:r>
        <w:rPr>
          <w:rStyle w:val="CharSectno"/>
        </w:rPr>
        <w:t>12</w:t>
      </w:r>
      <w:r>
        <w:rPr>
          <w:snapToGrid w:val="0"/>
        </w:rPr>
        <w:t>.</w:t>
      </w:r>
      <w:r>
        <w:rPr>
          <w:snapToGrid w:val="0"/>
        </w:rPr>
        <w:tab/>
        <w:t>Commissioner and Examiner of Titles not to practise law</w:t>
      </w:r>
      <w:bookmarkEnd w:id="17"/>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18" w:name="_Toc383511335"/>
      <w:r>
        <w:rPr>
          <w:rStyle w:val="CharSectno"/>
        </w:rPr>
        <w:t>13</w:t>
      </w:r>
      <w:r>
        <w:rPr>
          <w:snapToGrid w:val="0"/>
        </w:rPr>
        <w:t>.</w:t>
      </w:r>
      <w:r>
        <w:rPr>
          <w:snapToGrid w:val="0"/>
        </w:rPr>
        <w:tab/>
        <w:t>Oaths of office</w:t>
      </w:r>
      <w:bookmarkEnd w:id="18"/>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9" w:name="_Toc383511336"/>
      <w:r>
        <w:rPr>
          <w:rStyle w:val="CharSectno"/>
        </w:rPr>
        <w:t>14</w:t>
      </w:r>
      <w:r>
        <w:t>.</w:t>
      </w:r>
      <w:r>
        <w:tab/>
        <w:t>Digital signatures, entries etc. in parts of Register or in graphics that are in digital medium</w:t>
      </w:r>
      <w:bookmarkEnd w:id="19"/>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20" w:name="_Toc383511337"/>
      <w:r>
        <w:rPr>
          <w:rStyle w:val="CharSectno"/>
        </w:rPr>
        <w:t>15</w:t>
      </w:r>
      <w:r>
        <w:t>.</w:t>
      </w:r>
      <w:r>
        <w:tab/>
        <w:t>Delegation by Commissioner</w:t>
      </w:r>
      <w:bookmarkEnd w:id="20"/>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r>
        <w:tab/>
        <w:t>[Section 15 inserted by No. 60 of 2006 s. 112; amended by No. 21 of 2008 s. 711(7).]</w:t>
      </w:r>
    </w:p>
    <w:p>
      <w:pPr>
        <w:pStyle w:val="Heading5"/>
      </w:pPr>
      <w:bookmarkStart w:id="21" w:name="_Toc383511338"/>
      <w:r>
        <w:rPr>
          <w:rStyle w:val="CharSectno"/>
        </w:rPr>
        <w:t>15A</w:t>
      </w:r>
      <w:r>
        <w:t>.</w:t>
      </w:r>
      <w:r>
        <w:tab/>
        <w:t>Delegation by Registrar</w:t>
      </w:r>
      <w:bookmarkEnd w:id="21"/>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22" w:name="_Toc383511339"/>
      <w:r>
        <w:rPr>
          <w:rStyle w:val="CharSectno"/>
        </w:rPr>
        <w:t>16</w:t>
      </w:r>
      <w:r>
        <w:rPr>
          <w:snapToGrid w:val="0"/>
        </w:rPr>
        <w:t>.</w:t>
      </w:r>
      <w:r>
        <w:rPr>
          <w:snapToGrid w:val="0"/>
        </w:rPr>
        <w:tab/>
        <w:t>Rules relating to surveyors</w:t>
      </w:r>
      <w:bookmarkEnd w:id="22"/>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[Section 16 amended by No. 25 of 1909 s. 29; No. 17 of 1950 s. 8.]</w:t>
      </w:r>
    </w:p>
    <w:p>
      <w:pPr>
        <w:pStyle w:val="Heading5"/>
      </w:pPr>
      <w:bookmarkStart w:id="23" w:name="_Toc383511340"/>
      <w:r>
        <w:rPr>
          <w:rStyle w:val="CharSectno"/>
        </w:rPr>
        <w:t>17</w:t>
      </w:r>
      <w:r>
        <w:t>.</w:t>
      </w:r>
      <w:r>
        <w:tab/>
        <w:t>Some of Minister for Lands’ functions under this Act may be performed by authorised officer</w:t>
      </w:r>
      <w:bookmarkEnd w:id="23"/>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by No. 8 of 2010 s. 29.]</w:t>
      </w:r>
    </w:p>
    <w:p>
      <w:pPr>
        <w:pStyle w:val="Heading2"/>
      </w:pPr>
      <w:bookmarkStart w:id="24" w:name="_Toc383511341"/>
      <w:r>
        <w:rPr>
          <w:rStyle w:val="CharPartNo"/>
        </w:rPr>
        <w:t>Part II</w:t>
      </w:r>
      <w:r>
        <w:rPr>
          <w:rStyle w:val="CharDivNo"/>
        </w:rPr>
        <w:t> </w:t>
      </w:r>
      <w:r>
        <w:t>—</w:t>
      </w:r>
      <w:r>
        <w:rPr>
          <w:rStyle w:val="CharDivText"/>
        </w:rPr>
        <w:t> </w:t>
      </w:r>
      <w:r>
        <w:rPr>
          <w:rStyle w:val="CharPartText"/>
        </w:rPr>
        <w:t>Bringing land under the Act</w:t>
      </w:r>
      <w:bookmarkEnd w:id="24"/>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25" w:name="_Toc383511342"/>
      <w:r>
        <w:rPr>
          <w:rStyle w:val="CharSectno"/>
        </w:rPr>
        <w:t>20</w:t>
      </w:r>
      <w:r>
        <w:rPr>
          <w:snapToGrid w:val="0"/>
        </w:rPr>
        <w:t>.</w:t>
      </w:r>
      <w:r>
        <w:rPr>
          <w:snapToGrid w:val="0"/>
        </w:rPr>
        <w:tab/>
        <w:t>Bringing lands alienated in fee before 1 July 1875 under this Act</w:t>
      </w:r>
      <w:bookmarkEnd w:id="25"/>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Next/>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spacing w:before="120"/>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spacing w:before="120"/>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[Section 20 amended by No. 17 of 1950 s. 9; No. 81 of 1996 s. 8; No. 6 of 2003 s. 9; No. 19 of 2010 s. 51.]</w:t>
      </w:r>
    </w:p>
    <w:p>
      <w:pPr>
        <w:pStyle w:val="Heading5"/>
        <w:rPr>
          <w:snapToGrid w:val="0"/>
        </w:rPr>
      </w:pPr>
      <w:bookmarkStart w:id="26" w:name="_Toc383511343"/>
      <w:r>
        <w:rPr>
          <w:rStyle w:val="CharSectno"/>
        </w:rPr>
        <w:t>20A</w:t>
      </w:r>
      <w:r>
        <w:rPr>
          <w:snapToGrid w:val="0"/>
        </w:rPr>
        <w:t>.</w:t>
      </w:r>
      <w:r>
        <w:rPr>
          <w:snapToGrid w:val="0"/>
        </w:rPr>
        <w:tab/>
        <w:t>Evidence and restrictions of requisitions</w:t>
      </w:r>
      <w:bookmarkEnd w:id="26"/>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pPr>
      <w:r>
        <w:tab/>
        <w:t>[Section 20A inserted by No. 17 of 1950 s. 10; amended by No. 19 of 2010 s. 51.]</w:t>
      </w:r>
    </w:p>
    <w:p>
      <w:pPr>
        <w:pStyle w:val="Heading5"/>
        <w:rPr>
          <w:snapToGrid w:val="0"/>
        </w:rPr>
      </w:pPr>
      <w:bookmarkStart w:id="27" w:name="_Toc383511344"/>
      <w:r>
        <w:rPr>
          <w:rStyle w:val="CharSectno"/>
        </w:rPr>
        <w:t>21</w:t>
      </w:r>
      <w:r>
        <w:rPr>
          <w:snapToGrid w:val="0"/>
        </w:rPr>
        <w:t>.</w:t>
      </w:r>
      <w:r>
        <w:rPr>
          <w:snapToGrid w:val="0"/>
        </w:rPr>
        <w:tab/>
        <w:t>How application to be dealt with when no dealing has been registered</w:t>
      </w:r>
      <w:bookmarkEnd w:id="27"/>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8" w:name="_Toc383511345"/>
      <w:r>
        <w:rPr>
          <w:rStyle w:val="CharSectno"/>
        </w:rPr>
        <w:t>22</w:t>
      </w:r>
      <w:r>
        <w:rPr>
          <w:snapToGrid w:val="0"/>
        </w:rPr>
        <w:t>.</w:t>
      </w:r>
      <w:r>
        <w:rPr>
          <w:snapToGrid w:val="0"/>
        </w:rPr>
        <w:tab/>
        <w:t>How application to be dealt with when dealing has been registered</w:t>
      </w:r>
      <w:bookmarkEnd w:id="28"/>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pPr>
      <w:r>
        <w:tab/>
        <w:t>[Section 22 amended by No. 19 of 2010 s. 51.]</w:t>
      </w:r>
    </w:p>
    <w:p>
      <w:pPr>
        <w:pStyle w:val="Heading5"/>
        <w:rPr>
          <w:snapToGrid w:val="0"/>
        </w:rPr>
      </w:pPr>
      <w:bookmarkStart w:id="29" w:name="_Toc383511346"/>
      <w:r>
        <w:rPr>
          <w:rStyle w:val="CharSectno"/>
        </w:rPr>
        <w:t>23</w:t>
      </w:r>
      <w:r>
        <w:rPr>
          <w:snapToGrid w:val="0"/>
        </w:rPr>
        <w:t>.</w:t>
      </w:r>
      <w:r>
        <w:rPr>
          <w:snapToGrid w:val="0"/>
        </w:rPr>
        <w:tab/>
        <w:t>Notice of application to bring land under this Act and rescission of previous directions on undue delay</w:t>
      </w:r>
      <w:bookmarkEnd w:id="29"/>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 No. 19 of 2010 s. 51.]</w:t>
      </w:r>
    </w:p>
    <w:p>
      <w:pPr>
        <w:pStyle w:val="Heading5"/>
        <w:rPr>
          <w:snapToGrid w:val="0"/>
        </w:rPr>
      </w:pPr>
      <w:bookmarkStart w:id="30" w:name="_Toc383511347"/>
      <w:r>
        <w:rPr>
          <w:rStyle w:val="CharSectno"/>
        </w:rPr>
        <w:t>24</w:t>
      </w:r>
      <w:r>
        <w:rPr>
          <w:snapToGrid w:val="0"/>
        </w:rPr>
        <w:t>.</w:t>
      </w:r>
      <w:r>
        <w:rPr>
          <w:snapToGrid w:val="0"/>
        </w:rPr>
        <w:tab/>
        <w:t>Person claiming title by possession to post notice of application on land</w:t>
      </w:r>
      <w:bookmarkEnd w:id="30"/>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[Section 24 amended by No. 81 of 1996 s. 10.]</w:t>
      </w:r>
    </w:p>
    <w:p>
      <w:pPr>
        <w:pStyle w:val="Heading5"/>
        <w:rPr>
          <w:snapToGrid w:val="0"/>
        </w:rPr>
      </w:pPr>
      <w:bookmarkStart w:id="31" w:name="_Toc383511348"/>
      <w:r>
        <w:rPr>
          <w:rStyle w:val="CharSectno"/>
        </w:rPr>
        <w:t>25</w:t>
      </w:r>
      <w:r>
        <w:rPr>
          <w:snapToGrid w:val="0"/>
        </w:rPr>
        <w:t>.</w:t>
      </w:r>
      <w:r>
        <w:rPr>
          <w:snapToGrid w:val="0"/>
        </w:rPr>
        <w:tab/>
        <w:t>Land to be brought under this Act unless caveat received</w:t>
      </w:r>
      <w:bookmarkEnd w:id="31"/>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p>
    <w:p>
      <w:pPr>
        <w:pStyle w:val="Heading5"/>
        <w:rPr>
          <w:snapToGrid w:val="0"/>
        </w:rPr>
      </w:pPr>
      <w:bookmarkStart w:id="32" w:name="_Toc383511349"/>
      <w:r>
        <w:rPr>
          <w:rStyle w:val="CharSectno"/>
        </w:rPr>
        <w:t>26</w:t>
      </w:r>
      <w:r>
        <w:rPr>
          <w:snapToGrid w:val="0"/>
        </w:rPr>
        <w:t>.</w:t>
      </w:r>
      <w:r>
        <w:rPr>
          <w:snapToGrid w:val="0"/>
        </w:rPr>
        <w:tab/>
        <w:t>Land occupied may be brought under this Act by different description from that in title on special application</w:t>
      </w:r>
      <w:bookmarkEnd w:id="32"/>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33" w:name="_Toc383511350"/>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33"/>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[Section 27 amended by No. 81 of 1996 s. 12; No. 6 of 2003 s. 10.]</w:t>
      </w:r>
    </w:p>
    <w:p>
      <w:pPr>
        <w:pStyle w:val="Heading5"/>
        <w:rPr>
          <w:snapToGrid w:val="0"/>
        </w:rPr>
      </w:pPr>
      <w:bookmarkStart w:id="34" w:name="_Toc383511351"/>
      <w:r>
        <w:rPr>
          <w:rStyle w:val="CharSectno"/>
        </w:rPr>
        <w:t>28</w:t>
      </w:r>
      <w:r>
        <w:rPr>
          <w:snapToGrid w:val="0"/>
        </w:rPr>
        <w:t>.</w:t>
      </w:r>
      <w:r>
        <w:rPr>
          <w:snapToGrid w:val="0"/>
        </w:rPr>
        <w:tab/>
        <w:t>Title may be given to excess of land occupied under Crown grant over land described in Crown grant</w:t>
      </w:r>
      <w:bookmarkEnd w:id="34"/>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[Section 28 amended by No. 81 of 1996 s. 13; No. 31 of 1997 s. 95; No. 6 of 2003 s. 11.]</w:t>
      </w:r>
    </w:p>
    <w:p>
      <w:pPr>
        <w:pStyle w:val="Heading5"/>
        <w:rPr>
          <w:snapToGrid w:val="0"/>
        </w:rPr>
      </w:pPr>
      <w:bookmarkStart w:id="35" w:name="_Toc383511352"/>
      <w:r>
        <w:rPr>
          <w:rStyle w:val="CharSectno"/>
        </w:rPr>
        <w:t>29</w:t>
      </w:r>
      <w:r>
        <w:rPr>
          <w:snapToGrid w:val="0"/>
        </w:rPr>
        <w:t>.</w:t>
      </w:r>
      <w:r>
        <w:rPr>
          <w:snapToGrid w:val="0"/>
        </w:rPr>
        <w:tab/>
        <w:t>Excess of land may be apportioned between different owners or proprietors</w:t>
      </w:r>
      <w:bookmarkEnd w:id="35"/>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p>
    <w:p>
      <w:pPr>
        <w:pStyle w:val="Heading5"/>
        <w:rPr>
          <w:snapToGrid w:val="0"/>
        </w:rPr>
      </w:pPr>
      <w:bookmarkStart w:id="36" w:name="_Toc383511353"/>
      <w:r>
        <w:rPr>
          <w:rStyle w:val="CharSectno"/>
        </w:rPr>
        <w:t>30</w:t>
      </w:r>
      <w:r>
        <w:rPr>
          <w:snapToGrid w:val="0"/>
        </w:rPr>
        <w:t>.</w:t>
      </w:r>
      <w:r>
        <w:rPr>
          <w:snapToGrid w:val="0"/>
        </w:rPr>
        <w:tab/>
        <w:t>Parties interested may lodge caveat</w:t>
      </w:r>
      <w:bookmarkEnd w:id="36"/>
    </w:p>
    <w:p>
      <w:pPr>
        <w:pStyle w:val="Subsection"/>
        <w:spacing w:before="120"/>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spacing w:before="120"/>
        <w:rPr>
          <w:snapToGrid w:val="0"/>
        </w:rPr>
      </w:pPr>
      <w:r>
        <w:rPr>
          <w:snapToGrid w:val="0"/>
        </w:rPr>
        <w:tab/>
        <w:t>(2)</w:t>
      </w:r>
      <w:r>
        <w:rPr>
          <w:snapToGrid w:val="0"/>
        </w:rPr>
        <w:tab/>
        <w:t>Every such caveat shall be signed by the caveator or by his agent and shall particularise the estate or interest claimed.</w:t>
      </w:r>
    </w:p>
    <w:p>
      <w:pPr>
        <w:pStyle w:val="Subsection"/>
        <w:spacing w:before="120"/>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spacing w:before="120"/>
        <w:rPr>
          <w:snapToGrid w:val="0"/>
        </w:rPr>
      </w:pPr>
      <w:r>
        <w:rPr>
          <w:snapToGrid w:val="0"/>
        </w:rPr>
        <w:tab/>
        <w:t>(4)</w:t>
      </w:r>
      <w:r>
        <w:rPr>
          <w:snapToGrid w:val="0"/>
        </w:rPr>
        <w:tab/>
        <w:t>Unless such declaration be lodged within the time aforesaid the caveat shall lapse.</w:t>
      </w:r>
    </w:p>
    <w:p>
      <w:pPr>
        <w:pStyle w:val="Subsection"/>
        <w:spacing w:before="120"/>
        <w:rPr>
          <w:snapToGrid w:val="0"/>
        </w:rPr>
      </w:pPr>
      <w:r>
        <w:rPr>
          <w:snapToGrid w:val="0"/>
        </w:rPr>
        <w:tab/>
        <w:t>(5)</w:t>
      </w:r>
      <w:r>
        <w:rPr>
          <w:snapToGrid w:val="0"/>
        </w:rPr>
        <w:tab/>
        <w:t>A caveat under this section cannot be lodged unless it contains an address, or a number for a facsimile machine, in Australia for the service of notices in relation to the caveat.</w:t>
      </w:r>
    </w:p>
    <w:p>
      <w:pPr>
        <w:pStyle w:val="Footnotesection"/>
        <w:spacing w:before="100"/>
        <w:ind w:left="890" w:hanging="890"/>
      </w:pPr>
      <w:r>
        <w:tab/>
        <w:t>[Section 30 amended by No. 81 of 1996 s. 15; No. 19 of 2010 s. 51.]</w:t>
      </w:r>
    </w:p>
    <w:p>
      <w:pPr>
        <w:pStyle w:val="Heading5"/>
        <w:rPr>
          <w:snapToGrid w:val="0"/>
        </w:rPr>
      </w:pPr>
      <w:bookmarkStart w:id="37" w:name="_Toc383511354"/>
      <w:r>
        <w:rPr>
          <w:rStyle w:val="CharSectno"/>
        </w:rPr>
        <w:t>31</w:t>
      </w:r>
      <w:r>
        <w:rPr>
          <w:snapToGrid w:val="0"/>
        </w:rPr>
        <w:t>.</w:t>
      </w:r>
      <w:r>
        <w:rPr>
          <w:snapToGrid w:val="0"/>
        </w:rPr>
        <w:tab/>
        <w:t>If caveat received, proceedings suspended</w:t>
      </w:r>
      <w:bookmarkEnd w:id="37"/>
    </w:p>
    <w:p>
      <w:pPr>
        <w:pStyle w:val="Subsection"/>
        <w:spacing w:before="120"/>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spacing w:before="120"/>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by No. 19 of 2010 s. 51.]</w:t>
      </w:r>
    </w:p>
    <w:p>
      <w:pPr>
        <w:pStyle w:val="Heading5"/>
        <w:rPr>
          <w:snapToGrid w:val="0"/>
        </w:rPr>
      </w:pPr>
      <w:bookmarkStart w:id="38" w:name="_Toc383511355"/>
      <w:r>
        <w:rPr>
          <w:rStyle w:val="CharSectno"/>
        </w:rPr>
        <w:t>32</w:t>
      </w:r>
      <w:r>
        <w:rPr>
          <w:snapToGrid w:val="0"/>
        </w:rPr>
        <w:t>.</w:t>
      </w:r>
      <w:r>
        <w:rPr>
          <w:snapToGrid w:val="0"/>
        </w:rPr>
        <w:tab/>
        <w:t>Caveat to lapse unless proceedings taken within one month</w:t>
      </w:r>
      <w:bookmarkEnd w:id="38"/>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by No. 19 of 2010 s. 51.]</w:t>
      </w:r>
    </w:p>
    <w:p>
      <w:pPr>
        <w:pStyle w:val="Heading5"/>
        <w:rPr>
          <w:snapToGrid w:val="0"/>
        </w:rPr>
      </w:pPr>
      <w:bookmarkStart w:id="39" w:name="_Toc383511356"/>
      <w:r>
        <w:rPr>
          <w:rStyle w:val="CharSectno"/>
        </w:rPr>
        <w:t>33</w:t>
      </w:r>
      <w:r>
        <w:rPr>
          <w:snapToGrid w:val="0"/>
        </w:rPr>
        <w:t>.</w:t>
      </w:r>
      <w:r>
        <w:rPr>
          <w:snapToGrid w:val="0"/>
        </w:rPr>
        <w:tab/>
        <w:t>Judge may require production of title deeds in support of application to bring land under this Act</w:t>
      </w:r>
      <w:bookmarkEnd w:id="39"/>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16; No. 19 of 2010 s. 51.]</w:t>
      </w:r>
    </w:p>
    <w:p>
      <w:pPr>
        <w:pStyle w:val="Heading5"/>
        <w:rPr>
          <w:snapToGrid w:val="0"/>
        </w:rPr>
      </w:pPr>
      <w:bookmarkStart w:id="40" w:name="_Toc383511357"/>
      <w:r>
        <w:rPr>
          <w:rStyle w:val="CharSectno"/>
        </w:rPr>
        <w:t>34</w:t>
      </w:r>
      <w:r>
        <w:rPr>
          <w:snapToGrid w:val="0"/>
        </w:rPr>
        <w:t>.</w:t>
      </w:r>
      <w:r>
        <w:rPr>
          <w:snapToGrid w:val="0"/>
        </w:rPr>
        <w:tab/>
        <w:t>Applicant may withdraw application</w:t>
      </w:r>
      <w:bookmarkEnd w:id="40"/>
    </w:p>
    <w:p>
      <w:pPr>
        <w:pStyle w:val="Subsection"/>
        <w:spacing w:before="140"/>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spacing w:before="200"/>
        <w:rPr>
          <w:snapToGrid w:val="0"/>
        </w:rPr>
      </w:pPr>
      <w:bookmarkStart w:id="41" w:name="_Toc383511358"/>
      <w:r>
        <w:rPr>
          <w:rStyle w:val="CharSectno"/>
        </w:rPr>
        <w:t>35</w:t>
      </w:r>
      <w:r>
        <w:rPr>
          <w:snapToGrid w:val="0"/>
        </w:rPr>
        <w:t>.</w:t>
      </w:r>
      <w:r>
        <w:rPr>
          <w:snapToGrid w:val="0"/>
        </w:rPr>
        <w:tab/>
        <w:t>Documents of title</w:t>
      </w:r>
      <w:bookmarkEnd w:id="41"/>
    </w:p>
    <w:p>
      <w:pPr>
        <w:pStyle w:val="Subsection"/>
        <w:spacing w:before="130"/>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spacing w:before="130"/>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spacing w:before="130"/>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spacing w:before="130"/>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by No. 19 of 2010 s. 51.]</w:t>
      </w:r>
    </w:p>
    <w:p>
      <w:pPr>
        <w:pStyle w:val="Heading5"/>
        <w:rPr>
          <w:snapToGrid w:val="0"/>
        </w:rPr>
      </w:pPr>
      <w:bookmarkStart w:id="42" w:name="_Toc383511359"/>
      <w:r>
        <w:rPr>
          <w:rStyle w:val="CharSectno"/>
        </w:rPr>
        <w:t>36</w:t>
      </w:r>
      <w:r>
        <w:rPr>
          <w:snapToGrid w:val="0"/>
        </w:rPr>
        <w:t>.</w:t>
      </w:r>
      <w:r>
        <w:rPr>
          <w:snapToGrid w:val="0"/>
        </w:rPr>
        <w:tab/>
        <w:t>Subsisting lease to be endorsed and returned</w:t>
      </w:r>
      <w:bookmarkEnd w:id="42"/>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43" w:name="_Toc383511360"/>
      <w:r>
        <w:rPr>
          <w:rStyle w:val="CharSectno"/>
        </w:rPr>
        <w:t>37</w:t>
      </w:r>
      <w:r>
        <w:rPr>
          <w:snapToGrid w:val="0"/>
        </w:rPr>
        <w:t>.</w:t>
      </w:r>
      <w:r>
        <w:rPr>
          <w:snapToGrid w:val="0"/>
        </w:rPr>
        <w:tab/>
        <w:t>Additional evidence to be scheduled</w:t>
      </w:r>
      <w:bookmarkEnd w:id="43"/>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44" w:name="_Toc383511361"/>
      <w:r>
        <w:rPr>
          <w:rStyle w:val="CharSectno"/>
        </w:rPr>
        <w:t>38</w:t>
      </w:r>
      <w:r>
        <w:rPr>
          <w:snapToGrid w:val="0"/>
        </w:rPr>
        <w:t>.</w:t>
      </w:r>
      <w:r>
        <w:rPr>
          <w:snapToGrid w:val="0"/>
        </w:rPr>
        <w:tab/>
        <w:t>Some certificates of title to issue in name of deceased person</w:t>
      </w:r>
      <w:bookmarkEnd w:id="44"/>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p>
    <w:p>
      <w:pPr>
        <w:pStyle w:val="Heading5"/>
        <w:rPr>
          <w:snapToGrid w:val="0"/>
        </w:rPr>
      </w:pPr>
      <w:bookmarkStart w:id="45" w:name="_Toc383511362"/>
      <w:r>
        <w:rPr>
          <w:rStyle w:val="CharSectno"/>
        </w:rPr>
        <w:t>39</w:t>
      </w:r>
      <w:r>
        <w:rPr>
          <w:snapToGrid w:val="0"/>
        </w:rPr>
        <w:t>.</w:t>
      </w:r>
      <w:r>
        <w:rPr>
          <w:snapToGrid w:val="0"/>
        </w:rPr>
        <w:tab/>
        <w:t>Registration of leaseholds</w:t>
      </w:r>
      <w:bookmarkEnd w:id="45"/>
    </w:p>
    <w:p>
      <w:pPr>
        <w:pStyle w:val="Subsection"/>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by No. 19 of 2010 s. 51.]</w:t>
      </w:r>
    </w:p>
    <w:p>
      <w:pPr>
        <w:pStyle w:val="Ednotesection"/>
      </w:pPr>
      <w:r>
        <w:t>[</w:t>
      </w:r>
      <w:r>
        <w:rPr>
          <w:b/>
        </w:rPr>
        <w:t>40.</w:t>
      </w:r>
      <w:r>
        <w:tab/>
        <w:t>Deleted by No. 81 of 1996 s. 18.]</w:t>
      </w:r>
    </w:p>
    <w:p>
      <w:pPr>
        <w:pStyle w:val="Ednotesection"/>
      </w:pPr>
      <w:r>
        <w:t>[</w:t>
      </w:r>
      <w:r>
        <w:rPr>
          <w:b/>
        </w:rPr>
        <w:t>41.</w:t>
      </w:r>
      <w:r>
        <w:tab/>
        <w:t>Deleted by No. 81 of 1996 s. 19.]</w:t>
      </w:r>
    </w:p>
    <w:p>
      <w:pPr>
        <w:pStyle w:val="Heading5"/>
        <w:rPr>
          <w:snapToGrid w:val="0"/>
        </w:rPr>
      </w:pPr>
      <w:bookmarkStart w:id="46" w:name="_Toc383511363"/>
      <w:r>
        <w:rPr>
          <w:rStyle w:val="CharSectno"/>
        </w:rPr>
        <w:t>42</w:t>
      </w:r>
      <w:r>
        <w:rPr>
          <w:snapToGrid w:val="0"/>
        </w:rPr>
        <w:t>.</w:t>
      </w:r>
      <w:r>
        <w:rPr>
          <w:snapToGrid w:val="0"/>
        </w:rPr>
        <w:tab/>
        <w:t>Production of lease may be dispensed with on bringing land under this Act</w:t>
      </w:r>
      <w:bookmarkEnd w:id="46"/>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47" w:name="_Toc383511364"/>
      <w:r>
        <w:rPr>
          <w:rStyle w:val="CharSectno"/>
        </w:rPr>
        <w:t>43</w:t>
      </w:r>
      <w:r>
        <w:rPr>
          <w:snapToGrid w:val="0"/>
        </w:rPr>
        <w:t>.</w:t>
      </w:r>
      <w:r>
        <w:rPr>
          <w:snapToGrid w:val="0"/>
        </w:rPr>
        <w:tab/>
        <w:t>Certain memorials to be sufficient evidence of conveyances in fee</w:t>
      </w:r>
      <w:bookmarkEnd w:id="47"/>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p>
    <w:p>
      <w:pPr>
        <w:pStyle w:val="Ednotesection"/>
      </w:pPr>
      <w:r>
        <w:t>[</w:t>
      </w:r>
      <w:r>
        <w:rPr>
          <w:b/>
        </w:rPr>
        <w:t>44.</w:t>
      </w:r>
      <w:r>
        <w:tab/>
        <w:t>Deleted by No. 81 of 1996 s. 21.]</w:t>
      </w:r>
    </w:p>
    <w:p>
      <w:pPr>
        <w:pStyle w:val="Heading5"/>
        <w:rPr>
          <w:snapToGrid w:val="0"/>
        </w:rPr>
      </w:pPr>
      <w:bookmarkStart w:id="48" w:name="_Toc383511365"/>
      <w:r>
        <w:rPr>
          <w:rStyle w:val="CharSectno"/>
        </w:rPr>
        <w:t>45</w:t>
      </w:r>
      <w:r>
        <w:rPr>
          <w:snapToGrid w:val="0"/>
        </w:rPr>
        <w:t>.</w:t>
      </w:r>
      <w:r>
        <w:rPr>
          <w:snapToGrid w:val="0"/>
        </w:rPr>
        <w:tab/>
        <w:t>Commissioner may direct Registrar to bring land under this Act</w:t>
      </w:r>
      <w:bookmarkEnd w:id="48"/>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p>
    <w:p>
      <w:pPr>
        <w:pStyle w:val="Heading5"/>
        <w:rPr>
          <w:snapToGrid w:val="0"/>
        </w:rPr>
      </w:pPr>
      <w:bookmarkStart w:id="49" w:name="_Toc383511366"/>
      <w:r>
        <w:rPr>
          <w:rStyle w:val="CharSectno"/>
        </w:rPr>
        <w:t>46</w:t>
      </w:r>
      <w:r>
        <w:rPr>
          <w:snapToGrid w:val="0"/>
        </w:rPr>
        <w:t>.</w:t>
      </w:r>
      <w:r>
        <w:rPr>
          <w:snapToGrid w:val="0"/>
        </w:rPr>
        <w:tab/>
        <w:t>Title to land sold under order or decree may be deemed sufficient</w:t>
      </w:r>
      <w:bookmarkEnd w:id="49"/>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50" w:name="_Toc383511367"/>
      <w:r>
        <w:rPr>
          <w:rStyle w:val="CharSectno"/>
        </w:rPr>
        <w:t>47</w:t>
      </w:r>
      <w:r>
        <w:rPr>
          <w:snapToGrid w:val="0"/>
        </w:rPr>
        <w:t>.</w:t>
      </w:r>
      <w:r>
        <w:rPr>
          <w:snapToGrid w:val="0"/>
        </w:rPr>
        <w:tab/>
        <w:t>Formalities of order</w:t>
      </w:r>
      <w:bookmarkEnd w:id="50"/>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p>
    <w:p>
      <w:pPr>
        <w:pStyle w:val="Heading2"/>
      </w:pPr>
      <w:bookmarkStart w:id="51" w:name="_Toc383511368"/>
      <w:r>
        <w:rPr>
          <w:rStyle w:val="CharPartNo"/>
        </w:rPr>
        <w:t>Part III</w:t>
      </w:r>
      <w:r>
        <w:rPr>
          <w:rStyle w:val="CharDivNo"/>
        </w:rPr>
        <w:t> </w:t>
      </w:r>
      <w:r>
        <w:t>—</w:t>
      </w:r>
      <w:r>
        <w:rPr>
          <w:rStyle w:val="CharDivText"/>
        </w:rPr>
        <w:t> </w:t>
      </w:r>
      <w:r>
        <w:rPr>
          <w:rStyle w:val="CharPartText"/>
        </w:rPr>
        <w:t>Certificates of titles and registration</w:t>
      </w:r>
      <w:bookmarkEnd w:id="51"/>
    </w:p>
    <w:p>
      <w:pPr>
        <w:pStyle w:val="Heading5"/>
        <w:rPr>
          <w:snapToGrid w:val="0"/>
        </w:rPr>
      </w:pPr>
      <w:bookmarkStart w:id="52" w:name="_Toc383511369"/>
      <w:r>
        <w:rPr>
          <w:rStyle w:val="CharSectno"/>
        </w:rPr>
        <w:t>48</w:t>
      </w:r>
      <w:r>
        <w:rPr>
          <w:snapToGrid w:val="0"/>
        </w:rPr>
        <w:t>.</w:t>
      </w:r>
      <w:r>
        <w:rPr>
          <w:snapToGrid w:val="0"/>
        </w:rPr>
        <w:tab/>
        <w:t>Register</w:t>
      </w:r>
      <w:bookmarkEnd w:id="52"/>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p>
    <w:p>
      <w:pPr>
        <w:pStyle w:val="Heading5"/>
        <w:rPr>
          <w:rFonts w:ascii="Times" w:hAnsi="Times"/>
          <w:snapToGrid w:val="0"/>
        </w:rPr>
      </w:pPr>
      <w:bookmarkStart w:id="53" w:name="_Toc383511370"/>
      <w:r>
        <w:rPr>
          <w:rStyle w:val="CharSectno"/>
          <w:rFonts w:ascii="Times" w:hAnsi="Times"/>
        </w:rPr>
        <w:t>48A</w:t>
      </w:r>
      <w:r>
        <w:rPr>
          <w:rFonts w:ascii="Times" w:hAnsi="Times"/>
          <w:snapToGrid w:val="0"/>
        </w:rPr>
        <w:t>.</w:t>
      </w:r>
      <w:r>
        <w:rPr>
          <w:rFonts w:ascii="Times" w:hAnsi="Times"/>
          <w:snapToGrid w:val="0"/>
        </w:rPr>
        <w:tab/>
        <w:t>Certificates of title</w:t>
      </w:r>
      <w:bookmarkEnd w:id="53"/>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p>
    <w:p>
      <w:pPr>
        <w:pStyle w:val="Heading5"/>
        <w:rPr>
          <w:rFonts w:ascii="Times" w:hAnsi="Times"/>
          <w:snapToGrid w:val="0"/>
        </w:rPr>
      </w:pPr>
      <w:bookmarkStart w:id="54" w:name="_Toc383511371"/>
      <w:r>
        <w:rPr>
          <w:rStyle w:val="CharSectno"/>
          <w:rFonts w:ascii="Times" w:hAnsi="Times"/>
        </w:rPr>
        <w:t>48B</w:t>
      </w:r>
      <w:r>
        <w:rPr>
          <w:rFonts w:ascii="Times" w:hAnsi="Times"/>
          <w:snapToGrid w:val="0"/>
        </w:rPr>
        <w:t>.</w:t>
      </w:r>
      <w:r>
        <w:rPr>
          <w:rFonts w:ascii="Times" w:hAnsi="Times"/>
          <w:snapToGrid w:val="0"/>
        </w:rPr>
        <w:tab/>
        <w:t>Duplicate certificates of title</w:t>
      </w:r>
      <w:bookmarkEnd w:id="54"/>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The Registrar may —</w:t>
      </w:r>
    </w:p>
    <w:p>
      <w:pPr>
        <w:pStyle w:val="Indenta"/>
        <w:rPr>
          <w:rFonts w:ascii="Times" w:hAnsi="Times"/>
        </w:rPr>
      </w:pPr>
      <w:r>
        <w:rPr>
          <w:rFonts w:ascii="Times" w:hAnsi="Times"/>
        </w:rPr>
        <w:tab/>
        <w:t>(a)</w:t>
      </w:r>
      <w:r>
        <w:rPr>
          <w:rFonts w:ascii="Times" w:hAnsi="Times"/>
        </w:rPr>
        <w:tab/>
        <w:t>on the request of a proprietor of land that is the subject of a certificate of title; and</w:t>
      </w:r>
    </w:p>
    <w:p>
      <w:pPr>
        <w:pStyle w:val="Indenta"/>
        <w:keepNext/>
        <w:rPr>
          <w:rFonts w:ascii="Times" w:hAnsi="Times"/>
        </w:rPr>
      </w:pPr>
      <w:r>
        <w:rPr>
          <w:rFonts w:ascii="Times" w:hAnsi="Times"/>
        </w:rPr>
        <w:tab/>
        <w:t>(b)</w:t>
      </w:r>
      <w:r>
        <w:rPr>
          <w:rFonts w:ascii="Times" w:hAnsi="Times"/>
        </w:rPr>
        <w:tab/>
        <w:t>on delivery to the Registrar of the duplicate certificate of title for the land for retention, disposal or destruction,</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15.]</w:t>
      </w:r>
    </w:p>
    <w:p>
      <w:pPr>
        <w:pStyle w:val="Heading5"/>
        <w:spacing w:before="240"/>
        <w:rPr>
          <w:snapToGrid w:val="0"/>
        </w:rPr>
      </w:pPr>
      <w:bookmarkStart w:id="55" w:name="_Toc383511372"/>
      <w:r>
        <w:rPr>
          <w:rStyle w:val="CharSectno"/>
        </w:rPr>
        <w:t>48C</w:t>
      </w:r>
      <w:r>
        <w:rPr>
          <w:snapToGrid w:val="0"/>
        </w:rPr>
        <w:t>.</w:t>
      </w:r>
      <w:r>
        <w:rPr>
          <w:snapToGrid w:val="0"/>
        </w:rPr>
        <w:tab/>
        <w:t>Symbols</w:t>
      </w:r>
      <w:bookmarkEnd w:id="55"/>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p>
    <w:p>
      <w:pPr>
        <w:pStyle w:val="Heading5"/>
        <w:spacing w:before="240"/>
        <w:rPr>
          <w:snapToGrid w:val="0"/>
        </w:rPr>
      </w:pPr>
      <w:bookmarkStart w:id="56" w:name="_Toc383511373"/>
      <w:r>
        <w:rPr>
          <w:rStyle w:val="CharSectno"/>
        </w:rPr>
        <w:t>49</w:t>
      </w:r>
      <w:r>
        <w:rPr>
          <w:snapToGrid w:val="0"/>
        </w:rPr>
        <w:t>.</w:t>
      </w:r>
      <w:r>
        <w:rPr>
          <w:snapToGrid w:val="0"/>
        </w:rPr>
        <w:tab/>
        <w:t>One certificate may be created for lands not contiguous</w:t>
      </w:r>
      <w:bookmarkEnd w:id="56"/>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p>
    <w:p>
      <w:pPr>
        <w:pStyle w:val="Heading5"/>
        <w:rPr>
          <w:snapToGrid w:val="0"/>
        </w:rPr>
      </w:pPr>
      <w:bookmarkStart w:id="57" w:name="_Toc383511374"/>
      <w:r>
        <w:rPr>
          <w:rStyle w:val="CharSectno"/>
        </w:rPr>
        <w:t>50</w:t>
      </w:r>
      <w:r>
        <w:rPr>
          <w:snapToGrid w:val="0"/>
        </w:rPr>
        <w:t>.</w:t>
      </w:r>
      <w:r>
        <w:rPr>
          <w:snapToGrid w:val="0"/>
        </w:rPr>
        <w:tab/>
        <w:t>Area of land need not be mentioned in certificate</w:t>
      </w:r>
      <w:bookmarkEnd w:id="57"/>
    </w:p>
    <w:p>
      <w:pPr>
        <w:pStyle w:val="Subsection"/>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p>
    <w:p>
      <w:pPr>
        <w:pStyle w:val="Ednotesection"/>
      </w:pPr>
      <w:r>
        <w:t>[</w:t>
      </w:r>
      <w:r>
        <w:rPr>
          <w:b/>
        </w:rPr>
        <w:t>51.</w:t>
      </w:r>
      <w:r>
        <w:tab/>
        <w:t>Deleted by No. 81 of 1996 s. 25.]</w:t>
      </w:r>
    </w:p>
    <w:p>
      <w:pPr>
        <w:pStyle w:val="Heading5"/>
        <w:rPr>
          <w:snapToGrid w:val="0"/>
        </w:rPr>
      </w:pPr>
      <w:bookmarkStart w:id="58" w:name="_Toc383511375"/>
      <w:r>
        <w:rPr>
          <w:rStyle w:val="CharSectno"/>
        </w:rPr>
        <w:t>52</w:t>
      </w:r>
      <w:r>
        <w:rPr>
          <w:snapToGrid w:val="0"/>
        </w:rPr>
        <w:t>.</w:t>
      </w:r>
      <w:r>
        <w:rPr>
          <w:snapToGrid w:val="0"/>
        </w:rPr>
        <w:tab/>
        <w:t>Registration of certificates of title and instruments</w:t>
      </w:r>
      <w:bookmarkEnd w:id="58"/>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spacing w:before="180"/>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w:t>
      </w:r>
    </w:p>
    <w:p>
      <w:pPr>
        <w:pStyle w:val="Indenta"/>
        <w:rPr>
          <w:snapToGrid w:val="0"/>
        </w:rPr>
      </w:pPr>
      <w:r>
        <w:rPr>
          <w:snapToGrid w:val="0"/>
        </w:rPr>
        <w:tab/>
        <w:t>(a)</w:t>
      </w:r>
      <w:r>
        <w:rPr>
          <w:snapToGrid w:val="0"/>
        </w:rPr>
        <w:tab/>
        <w:t>a memorandum referred to in section 56 in relation to the original instrument has been entered in the Register on the certificate; and</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18.]</w:t>
      </w:r>
    </w:p>
    <w:p>
      <w:pPr>
        <w:pStyle w:val="Heading5"/>
        <w:spacing w:before="240"/>
        <w:rPr>
          <w:snapToGrid w:val="0"/>
        </w:rPr>
      </w:pPr>
      <w:bookmarkStart w:id="59" w:name="_Toc383511376"/>
      <w:r>
        <w:rPr>
          <w:rStyle w:val="CharSectno"/>
        </w:rPr>
        <w:t>53</w:t>
      </w:r>
      <w:r>
        <w:rPr>
          <w:snapToGrid w:val="0"/>
        </w:rPr>
        <w:t>.</w:t>
      </w:r>
      <w:r>
        <w:rPr>
          <w:snapToGrid w:val="0"/>
        </w:rPr>
        <w:tab/>
        <w:t>Priority of registration of instruments</w:t>
      </w:r>
      <w:bookmarkEnd w:id="59"/>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p>
    <w:p>
      <w:pPr>
        <w:pStyle w:val="Heading5"/>
        <w:spacing w:before="240"/>
        <w:rPr>
          <w:snapToGrid w:val="0"/>
        </w:rPr>
      </w:pPr>
      <w:bookmarkStart w:id="60" w:name="_Toc383511377"/>
      <w:r>
        <w:rPr>
          <w:rStyle w:val="CharSectno"/>
        </w:rPr>
        <w:t>54</w:t>
      </w:r>
      <w:r>
        <w:rPr>
          <w:snapToGrid w:val="0"/>
        </w:rPr>
        <w:t>.</w:t>
      </w:r>
      <w:r>
        <w:rPr>
          <w:snapToGrid w:val="0"/>
        </w:rPr>
        <w:tab/>
        <w:t>Incorporation of terms etc. of certain memoranda</w:t>
      </w:r>
      <w:bookmarkEnd w:id="60"/>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28.]</w:t>
      </w:r>
    </w:p>
    <w:p>
      <w:pPr>
        <w:pStyle w:val="Heading5"/>
        <w:rPr>
          <w:snapToGrid w:val="0"/>
        </w:rPr>
      </w:pPr>
      <w:bookmarkStart w:id="61" w:name="_Toc383511378"/>
      <w:r>
        <w:rPr>
          <w:rStyle w:val="CharSectno"/>
        </w:rPr>
        <w:t>55</w:t>
      </w:r>
      <w:r>
        <w:rPr>
          <w:snapToGrid w:val="0"/>
        </w:rPr>
        <w:t>.</w:t>
      </w:r>
      <w:r>
        <w:rPr>
          <w:snapToGrid w:val="0"/>
        </w:rPr>
        <w:tab/>
        <w:t>Trusts</w:t>
      </w:r>
      <w:bookmarkEnd w:id="61"/>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p>
    <w:p>
      <w:pPr>
        <w:pStyle w:val="Heading5"/>
        <w:rPr>
          <w:snapToGrid w:val="0"/>
        </w:rPr>
      </w:pPr>
      <w:bookmarkStart w:id="62" w:name="_Toc383511379"/>
      <w:r>
        <w:rPr>
          <w:rStyle w:val="CharSectno"/>
        </w:rPr>
        <w:t>56</w:t>
      </w:r>
      <w:r>
        <w:rPr>
          <w:snapToGrid w:val="0"/>
        </w:rPr>
        <w:t>.</w:t>
      </w:r>
      <w:r>
        <w:rPr>
          <w:snapToGrid w:val="0"/>
        </w:rPr>
        <w:tab/>
        <w:t>Memorandum to state certain particulars</w:t>
      </w:r>
      <w:bookmarkEnd w:id="62"/>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p>
    <w:p>
      <w:pPr>
        <w:pStyle w:val="Heading5"/>
        <w:rPr>
          <w:snapToGrid w:val="0"/>
        </w:rPr>
      </w:pPr>
      <w:bookmarkStart w:id="63" w:name="_Toc383511380"/>
      <w:r>
        <w:rPr>
          <w:rStyle w:val="CharSectno"/>
        </w:rPr>
        <w:t>57</w:t>
      </w:r>
      <w:r>
        <w:rPr>
          <w:snapToGrid w:val="0"/>
        </w:rPr>
        <w:t>.</w:t>
      </w:r>
      <w:r>
        <w:rPr>
          <w:snapToGrid w:val="0"/>
        </w:rPr>
        <w:tab/>
        <w:t>Memoranda of instruments and endorsements</w:t>
      </w:r>
      <w:bookmarkEnd w:id="63"/>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w:t>
      </w:r>
    </w:p>
    <w:p>
      <w:pPr>
        <w:pStyle w:val="Indenta"/>
        <w:rPr>
          <w:snapToGrid w:val="0"/>
        </w:rPr>
      </w:pPr>
      <w:r>
        <w:rPr>
          <w:snapToGrid w:val="0"/>
        </w:rPr>
        <w:tab/>
        <w:t>(a)</w:t>
      </w:r>
      <w:r>
        <w:rPr>
          <w:snapToGrid w:val="0"/>
        </w:rPr>
        <w:tab/>
        <w:t>the Registrar shall endorse the instrument to the effect that the memorandum has been entered in the Register; and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20.]</w:t>
      </w:r>
    </w:p>
    <w:p>
      <w:pPr>
        <w:pStyle w:val="Heading5"/>
        <w:rPr>
          <w:snapToGrid w:val="0"/>
        </w:rPr>
      </w:pPr>
      <w:bookmarkStart w:id="64" w:name="_Toc383511381"/>
      <w:r>
        <w:rPr>
          <w:rStyle w:val="CharSectno"/>
        </w:rPr>
        <w:t>58</w:t>
      </w:r>
      <w:r>
        <w:rPr>
          <w:snapToGrid w:val="0"/>
        </w:rPr>
        <w:t>.</w:t>
      </w:r>
      <w:r>
        <w:rPr>
          <w:snapToGrid w:val="0"/>
        </w:rPr>
        <w:tab/>
        <w:t>Instruments not effectual until registered</w:t>
      </w:r>
      <w:bookmarkEnd w:id="64"/>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p>
    <w:p>
      <w:pPr>
        <w:pStyle w:val="Heading5"/>
        <w:rPr>
          <w:snapToGrid w:val="0"/>
        </w:rPr>
      </w:pPr>
      <w:bookmarkStart w:id="65" w:name="_Toc383511382"/>
      <w:r>
        <w:rPr>
          <w:rStyle w:val="CharSectno"/>
        </w:rPr>
        <w:t>59</w:t>
      </w:r>
      <w:r>
        <w:rPr>
          <w:snapToGrid w:val="0"/>
        </w:rPr>
        <w:t>.</w:t>
      </w:r>
      <w:r>
        <w:rPr>
          <w:snapToGrid w:val="0"/>
        </w:rPr>
        <w:tab/>
        <w:t>Notations as to legal disability of proprietor</w:t>
      </w:r>
      <w:bookmarkEnd w:id="65"/>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p>
    <w:p>
      <w:pPr>
        <w:pStyle w:val="Heading5"/>
        <w:rPr>
          <w:snapToGrid w:val="0"/>
        </w:rPr>
      </w:pPr>
      <w:bookmarkStart w:id="66" w:name="_Toc383511383"/>
      <w:r>
        <w:rPr>
          <w:rStyle w:val="CharSectno"/>
        </w:rPr>
        <w:t>60</w:t>
      </w:r>
      <w:r>
        <w:rPr>
          <w:snapToGrid w:val="0"/>
        </w:rPr>
        <w:t>.</w:t>
      </w:r>
      <w:r>
        <w:rPr>
          <w:snapToGrid w:val="0"/>
        </w:rPr>
        <w:tab/>
        <w:t>Joint tenants and tenants in common</w:t>
      </w:r>
      <w:bookmarkEnd w:id="66"/>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67" w:name="_Toc383511384"/>
      <w:r>
        <w:rPr>
          <w:rStyle w:val="CharSectno"/>
        </w:rPr>
        <w:t>61.</w:t>
      </w:r>
      <w:r>
        <w:rPr>
          <w:rStyle w:val="CharSectno"/>
        </w:rPr>
        <w:tab/>
      </w:r>
      <w:r>
        <w:rPr>
          <w:snapToGrid w:val="0"/>
        </w:rPr>
        <w:t>Effect of insertion of the words “no survivorship”</w:t>
      </w:r>
      <w:bookmarkEnd w:id="67"/>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34; No. 19 of 2010 s. 51.]</w:t>
      </w:r>
    </w:p>
    <w:p>
      <w:pPr>
        <w:pStyle w:val="Heading5"/>
        <w:rPr>
          <w:snapToGrid w:val="0"/>
        </w:rPr>
      </w:pPr>
      <w:bookmarkStart w:id="68" w:name="_Toc383511385"/>
      <w:r>
        <w:rPr>
          <w:rStyle w:val="CharSectno"/>
        </w:rPr>
        <w:t>62</w:t>
      </w:r>
      <w:r>
        <w:rPr>
          <w:snapToGrid w:val="0"/>
        </w:rPr>
        <w:t>.</w:t>
      </w:r>
      <w:r>
        <w:rPr>
          <w:snapToGrid w:val="0"/>
        </w:rPr>
        <w:tab/>
        <w:t>Notice to be published before effect is given to order</w:t>
      </w:r>
      <w:bookmarkEnd w:id="68"/>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 No. 19 of 2010 s. 51.]</w:t>
      </w:r>
    </w:p>
    <w:p>
      <w:pPr>
        <w:pStyle w:val="Heading5"/>
        <w:rPr>
          <w:snapToGrid w:val="0"/>
        </w:rPr>
      </w:pPr>
      <w:bookmarkStart w:id="69" w:name="_Toc383511386"/>
      <w:r>
        <w:rPr>
          <w:rStyle w:val="CharSectno"/>
        </w:rPr>
        <w:t>63</w:t>
      </w:r>
      <w:r>
        <w:rPr>
          <w:snapToGrid w:val="0"/>
        </w:rPr>
        <w:t>.</w:t>
      </w:r>
      <w:r>
        <w:rPr>
          <w:snapToGrid w:val="0"/>
        </w:rPr>
        <w:tab/>
        <w:t>Certificate to be conclusive evidence of title</w:t>
      </w:r>
      <w:bookmarkEnd w:id="69"/>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p>
    <w:p>
      <w:pPr>
        <w:pStyle w:val="Heading5"/>
        <w:rPr>
          <w:snapToGrid w:val="0"/>
        </w:rPr>
      </w:pPr>
      <w:bookmarkStart w:id="70" w:name="_Toc383511387"/>
      <w:r>
        <w:rPr>
          <w:rStyle w:val="CharSectno"/>
        </w:rPr>
        <w:t>63A</w:t>
      </w:r>
      <w:r>
        <w:rPr>
          <w:snapToGrid w:val="0"/>
        </w:rPr>
        <w:t>.</w:t>
      </w:r>
      <w:r>
        <w:rPr>
          <w:snapToGrid w:val="0"/>
        </w:rPr>
        <w:tab/>
        <w:t>Certificates may contain statement of easements</w:t>
      </w:r>
      <w:bookmarkEnd w:id="70"/>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p>
    <w:p>
      <w:pPr>
        <w:pStyle w:val="Heading5"/>
        <w:spacing w:before="180"/>
        <w:rPr>
          <w:snapToGrid w:val="0"/>
        </w:rPr>
      </w:pPr>
      <w:bookmarkStart w:id="71" w:name="_Toc383511388"/>
      <w:r>
        <w:rPr>
          <w:rStyle w:val="CharSectno"/>
        </w:rPr>
        <w:t>64</w:t>
      </w:r>
      <w:r>
        <w:rPr>
          <w:snapToGrid w:val="0"/>
        </w:rPr>
        <w:t>.</w:t>
      </w:r>
      <w:r>
        <w:rPr>
          <w:snapToGrid w:val="0"/>
        </w:rPr>
        <w:tab/>
        <w:t>Certificate conclusive evidence as to title to easements</w:t>
      </w:r>
      <w:bookmarkEnd w:id="71"/>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by No. 6 of 2003 s. 22.]</w:t>
      </w:r>
    </w:p>
    <w:p>
      <w:pPr>
        <w:pStyle w:val="Heading5"/>
        <w:spacing w:before="240"/>
        <w:rPr>
          <w:snapToGrid w:val="0"/>
        </w:rPr>
      </w:pPr>
      <w:bookmarkStart w:id="72" w:name="_Toc383511389"/>
      <w:r>
        <w:rPr>
          <w:rStyle w:val="CharSectno"/>
        </w:rPr>
        <w:t>65</w:t>
      </w:r>
      <w:r>
        <w:rPr>
          <w:snapToGrid w:val="0"/>
        </w:rPr>
        <w:t>.</w:t>
      </w:r>
      <w:r>
        <w:rPr>
          <w:snapToGrid w:val="0"/>
        </w:rPr>
        <w:tab/>
        <w:t>Short forms etc. for easements, effect of</w:t>
      </w:r>
      <w:bookmarkEnd w:id="72"/>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12; No. 19 of 2010 s. 38(3) .]</w:t>
      </w:r>
    </w:p>
    <w:p>
      <w:pPr>
        <w:pStyle w:val="Heading5"/>
        <w:rPr>
          <w:snapToGrid w:val="0"/>
        </w:rPr>
      </w:pPr>
      <w:bookmarkStart w:id="73" w:name="_Toc383511390"/>
      <w:r>
        <w:rPr>
          <w:rStyle w:val="CharSectno"/>
        </w:rPr>
        <w:t>65A</w:t>
      </w:r>
      <w:r>
        <w:rPr>
          <w:snapToGrid w:val="0"/>
        </w:rPr>
        <w:t>.</w:t>
      </w:r>
      <w:r>
        <w:rPr>
          <w:snapToGrid w:val="0"/>
        </w:rPr>
        <w:tab/>
        <w:t>Memorandum of easement</w:t>
      </w:r>
      <w:bookmarkEnd w:id="73"/>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4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p>
    <w:p>
      <w:pPr>
        <w:pStyle w:val="Ednotesection"/>
        <w:spacing w:before="240"/>
        <w:ind w:left="890" w:hanging="890"/>
      </w:pPr>
      <w:r>
        <w:t>[</w:t>
      </w:r>
      <w:r>
        <w:rPr>
          <w:b/>
        </w:rPr>
        <w:t>66.</w:t>
      </w:r>
      <w:r>
        <w:tab/>
        <w:t>Deleted by No. 81 of 1996 s. 38.]</w:t>
      </w:r>
    </w:p>
    <w:p>
      <w:pPr>
        <w:pStyle w:val="Heading5"/>
        <w:spacing w:before="240"/>
        <w:rPr>
          <w:snapToGrid w:val="0"/>
        </w:rPr>
      </w:pPr>
      <w:bookmarkStart w:id="74" w:name="_Toc383511391"/>
      <w:r>
        <w:rPr>
          <w:rStyle w:val="CharSectno"/>
        </w:rPr>
        <w:t>66A</w:t>
      </w:r>
      <w:r>
        <w:rPr>
          <w:snapToGrid w:val="0"/>
        </w:rPr>
        <w:t>.</w:t>
      </w:r>
      <w:r>
        <w:rPr>
          <w:snapToGrid w:val="0"/>
        </w:rPr>
        <w:tab/>
        <w:t>No separate certificate for easement</w:t>
      </w:r>
      <w:bookmarkEnd w:id="74"/>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p>
    <w:p>
      <w:pPr>
        <w:pStyle w:val="Heading5"/>
        <w:spacing w:before="240"/>
        <w:rPr>
          <w:snapToGrid w:val="0"/>
        </w:rPr>
      </w:pPr>
      <w:bookmarkStart w:id="75" w:name="_Toc383511392"/>
      <w:r>
        <w:rPr>
          <w:rStyle w:val="CharSectno"/>
        </w:rPr>
        <w:t>67</w:t>
      </w:r>
      <w:r>
        <w:rPr>
          <w:snapToGrid w:val="0"/>
        </w:rPr>
        <w:t>.</w:t>
      </w:r>
      <w:r>
        <w:rPr>
          <w:snapToGrid w:val="0"/>
        </w:rPr>
        <w:tab/>
        <w:t>Certificate conclusive evidence in suit for specific performance or action for damages</w:t>
      </w:r>
      <w:bookmarkEnd w:id="75"/>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76" w:name="_Toc383511393"/>
      <w:r>
        <w:rPr>
          <w:rStyle w:val="CharSectno"/>
        </w:rPr>
        <w:t>68</w:t>
      </w:r>
      <w:r>
        <w:rPr>
          <w:snapToGrid w:val="0"/>
        </w:rPr>
        <w:t>.</w:t>
      </w:r>
      <w:r>
        <w:rPr>
          <w:snapToGrid w:val="0"/>
        </w:rPr>
        <w:tab/>
        <w:t>Estate of registered proprietor paramount</w:t>
      </w:r>
      <w:bookmarkEnd w:id="76"/>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99; No. 19 of 2010 s. 51.]</w:t>
      </w:r>
    </w:p>
    <w:p>
      <w:pPr>
        <w:pStyle w:val="Heading5"/>
        <w:rPr>
          <w:snapToGrid w:val="0"/>
        </w:rPr>
      </w:pPr>
      <w:bookmarkStart w:id="77" w:name="_Toc383511394"/>
      <w:r>
        <w:rPr>
          <w:rStyle w:val="CharSectno"/>
        </w:rPr>
        <w:t>69</w:t>
      </w:r>
      <w:r>
        <w:rPr>
          <w:snapToGrid w:val="0"/>
        </w:rPr>
        <w:t>.</w:t>
      </w:r>
      <w:r>
        <w:rPr>
          <w:snapToGrid w:val="0"/>
        </w:rPr>
        <w:tab/>
        <w:t>Certain easements and conditions to be noted as encumbrances</w:t>
      </w:r>
      <w:bookmarkEnd w:id="77"/>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by No. 81 of 1996 s. 41; No. 19 of 2010 s. 51.]</w:t>
      </w:r>
    </w:p>
    <w:p>
      <w:pPr>
        <w:pStyle w:val="Heading5"/>
        <w:spacing w:before="280"/>
        <w:rPr>
          <w:snapToGrid w:val="0"/>
        </w:rPr>
      </w:pPr>
      <w:bookmarkStart w:id="78" w:name="_Toc383511395"/>
      <w:r>
        <w:rPr>
          <w:rStyle w:val="CharSectno"/>
        </w:rPr>
        <w:t>70</w:t>
      </w:r>
      <w:r>
        <w:rPr>
          <w:snapToGrid w:val="0"/>
        </w:rPr>
        <w:t>.</w:t>
      </w:r>
      <w:r>
        <w:rPr>
          <w:snapToGrid w:val="0"/>
        </w:rPr>
        <w:tab/>
        <w:t>Reversions expectant on leases</w:t>
      </w:r>
      <w:bookmarkEnd w:id="78"/>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280"/>
        <w:rPr>
          <w:snapToGrid w:val="0"/>
        </w:rPr>
      </w:pPr>
      <w:bookmarkStart w:id="79" w:name="_Toc383511396"/>
      <w:r>
        <w:rPr>
          <w:rStyle w:val="CharSectno"/>
        </w:rPr>
        <w:t>70A</w:t>
      </w:r>
      <w:r>
        <w:rPr>
          <w:snapToGrid w:val="0"/>
        </w:rPr>
        <w:t>.</w:t>
      </w:r>
      <w:r>
        <w:rPr>
          <w:snapToGrid w:val="0"/>
        </w:rPr>
        <w:tab/>
        <w:t>Factors affecting use and enjoyment of land, notification on title</w:t>
      </w:r>
      <w:bookmarkEnd w:id="79"/>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[Section 70A inserted by No. 81 of 1996 s. 42.]</w:t>
      </w:r>
    </w:p>
    <w:p>
      <w:pPr>
        <w:pStyle w:val="Heading5"/>
        <w:rPr>
          <w:snapToGrid w:val="0"/>
        </w:rPr>
      </w:pPr>
      <w:bookmarkStart w:id="80" w:name="_Toc383511397"/>
      <w:r>
        <w:rPr>
          <w:rStyle w:val="CharSectno"/>
        </w:rPr>
        <w:t>71</w:t>
      </w:r>
      <w:r>
        <w:rPr>
          <w:snapToGrid w:val="0"/>
        </w:rPr>
        <w:t>.</w:t>
      </w:r>
      <w:r>
        <w:rPr>
          <w:snapToGrid w:val="0"/>
        </w:rPr>
        <w:tab/>
        <w:t>Single certificate may be created instead of separate ones</w:t>
      </w:r>
      <w:bookmarkEnd w:id="80"/>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by No. 81 of 1996 s. 43.]</w:t>
      </w:r>
    </w:p>
    <w:p>
      <w:pPr>
        <w:pStyle w:val="Heading5"/>
        <w:spacing w:before="240"/>
        <w:rPr>
          <w:snapToGrid w:val="0"/>
        </w:rPr>
      </w:pPr>
      <w:bookmarkStart w:id="81" w:name="_Toc383511398"/>
      <w:r>
        <w:rPr>
          <w:rStyle w:val="CharSectno"/>
        </w:rPr>
        <w:t>71A</w:t>
      </w:r>
      <w:r>
        <w:rPr>
          <w:snapToGrid w:val="0"/>
        </w:rPr>
        <w:t>.</w:t>
      </w:r>
      <w:r>
        <w:rPr>
          <w:snapToGrid w:val="0"/>
        </w:rPr>
        <w:tab/>
        <w:t>Separate certificates may be created instead of single one</w:t>
      </w:r>
      <w:bookmarkEnd w:id="81"/>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by No. 17 of 1950 s. 17; amended by No. 81 of 1996 s. 44.]</w:t>
      </w:r>
    </w:p>
    <w:p>
      <w:pPr>
        <w:pStyle w:val="Heading5"/>
        <w:spacing w:before="240"/>
        <w:rPr>
          <w:snapToGrid w:val="0"/>
        </w:rPr>
      </w:pPr>
      <w:bookmarkStart w:id="82" w:name="_Toc383511399"/>
      <w:r>
        <w:rPr>
          <w:rStyle w:val="CharSectno"/>
        </w:rPr>
        <w:t>71B</w:t>
      </w:r>
      <w:r>
        <w:rPr>
          <w:snapToGrid w:val="0"/>
        </w:rPr>
        <w:t>.</w:t>
      </w:r>
      <w:r>
        <w:rPr>
          <w:snapToGrid w:val="0"/>
        </w:rPr>
        <w:tab/>
        <w:t>Replacing duplicate certificates of title</w:t>
      </w:r>
      <w:bookmarkEnd w:id="82"/>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by No. 17 of 1950 s. 17; amended by No. 81 of 1996 s. 45.]</w:t>
      </w:r>
    </w:p>
    <w:p>
      <w:pPr>
        <w:pStyle w:val="Heading5"/>
        <w:rPr>
          <w:snapToGrid w:val="0"/>
        </w:rPr>
      </w:pPr>
      <w:bookmarkStart w:id="83" w:name="_Toc383511400"/>
      <w:r>
        <w:rPr>
          <w:rStyle w:val="CharSectno"/>
        </w:rPr>
        <w:t>72</w:t>
      </w:r>
      <w:r>
        <w:rPr>
          <w:snapToGrid w:val="0"/>
        </w:rPr>
        <w:t>.</w:t>
      </w:r>
      <w:r>
        <w:rPr>
          <w:snapToGrid w:val="0"/>
        </w:rPr>
        <w:tab/>
        <w:t>History of dealings to be preserved</w:t>
      </w:r>
      <w:bookmarkEnd w:id="83"/>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by No. 81 of 1996 s. 145(1); No. 6 of 2003 s. 23.]</w:t>
      </w:r>
    </w:p>
    <w:p>
      <w:pPr>
        <w:pStyle w:val="Ednotesection"/>
      </w:pPr>
      <w:r>
        <w:t>[</w:t>
      </w:r>
      <w:r>
        <w:rPr>
          <w:b/>
        </w:rPr>
        <w:t>73.</w:t>
      </w:r>
      <w:r>
        <w:tab/>
        <w:t>Deleted by No. 31 of 1997 s. 100.]</w:t>
      </w:r>
    </w:p>
    <w:p>
      <w:pPr>
        <w:pStyle w:val="Heading5"/>
        <w:rPr>
          <w:snapToGrid w:val="0"/>
        </w:rPr>
      </w:pPr>
      <w:bookmarkStart w:id="84" w:name="_Toc383511401"/>
      <w:r>
        <w:rPr>
          <w:rStyle w:val="CharSectno"/>
        </w:rPr>
        <w:t>74</w:t>
      </w:r>
      <w:r>
        <w:rPr>
          <w:snapToGrid w:val="0"/>
        </w:rPr>
        <w:t>.</w:t>
      </w:r>
      <w:r>
        <w:rPr>
          <w:snapToGrid w:val="0"/>
        </w:rPr>
        <w:tab/>
        <w:t>Duplicate may be dispensed with in certain cases</w:t>
      </w:r>
      <w:bookmarkEnd w:id="84"/>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[Section 74 amended by No. 81 of 1996 s. 46 and 145(1); No. 6 of 2003 s. 24; No. 19 of 2010 s. 51.]</w:t>
      </w:r>
    </w:p>
    <w:p>
      <w:pPr>
        <w:pStyle w:val="Heading5"/>
        <w:spacing w:before="280"/>
        <w:rPr>
          <w:snapToGrid w:val="0"/>
        </w:rPr>
      </w:pPr>
      <w:bookmarkStart w:id="85" w:name="_Toc383511402"/>
      <w:r>
        <w:rPr>
          <w:rStyle w:val="CharSectno"/>
        </w:rPr>
        <w:t>74A</w:t>
      </w:r>
      <w:r>
        <w:rPr>
          <w:snapToGrid w:val="0"/>
        </w:rPr>
        <w:t>.</w:t>
      </w:r>
      <w:r>
        <w:rPr>
          <w:snapToGrid w:val="0"/>
        </w:rPr>
        <w:tab/>
        <w:t>Substitute certificates of title</w:t>
      </w:r>
      <w:bookmarkEnd w:id="85"/>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p>
    <w:p>
      <w:pPr>
        <w:pStyle w:val="Heading5"/>
        <w:rPr>
          <w:snapToGrid w:val="0"/>
        </w:rPr>
      </w:pPr>
      <w:bookmarkStart w:id="86" w:name="_Toc383511403"/>
      <w:r>
        <w:rPr>
          <w:rStyle w:val="CharSectno"/>
        </w:rPr>
        <w:t>74B</w:t>
      </w:r>
      <w:r>
        <w:rPr>
          <w:snapToGrid w:val="0"/>
        </w:rPr>
        <w:t>.</w:t>
      </w:r>
      <w:r>
        <w:rPr>
          <w:snapToGrid w:val="0"/>
        </w:rPr>
        <w:tab/>
        <w:t>New duplicate certificates of title</w:t>
      </w:r>
      <w:bookmarkEnd w:id="86"/>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[Section 74B inserted by No. 81 of 1996 s. 47; amended by No. 6 of 2003 s. 26.]</w:t>
      </w:r>
    </w:p>
    <w:p>
      <w:pPr>
        <w:pStyle w:val="Heading5"/>
        <w:rPr>
          <w:snapToGrid w:val="0"/>
        </w:rPr>
      </w:pPr>
      <w:bookmarkStart w:id="87" w:name="_Toc383511404"/>
      <w:r>
        <w:rPr>
          <w:rStyle w:val="CharSectno"/>
        </w:rPr>
        <w:t>75</w:t>
      </w:r>
      <w:r>
        <w:rPr>
          <w:snapToGrid w:val="0"/>
        </w:rPr>
        <w:t>.</w:t>
      </w:r>
      <w:r>
        <w:rPr>
          <w:snapToGrid w:val="0"/>
        </w:rPr>
        <w:tab/>
        <w:t>Where duplicate certificate lost, destroyed or obliterated</w:t>
      </w:r>
      <w:bookmarkEnd w:id="87"/>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keepNext/>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27; No. 19 of 2010 s. 51.]</w:t>
      </w:r>
    </w:p>
    <w:p>
      <w:pPr>
        <w:pStyle w:val="Heading5"/>
        <w:rPr>
          <w:snapToGrid w:val="0"/>
        </w:rPr>
      </w:pPr>
      <w:bookmarkStart w:id="88" w:name="_Toc383511405"/>
      <w:r>
        <w:rPr>
          <w:rStyle w:val="CharSectno"/>
        </w:rPr>
        <w:t>76</w:t>
      </w:r>
      <w:r>
        <w:rPr>
          <w:snapToGrid w:val="0"/>
        </w:rPr>
        <w:t>.</w:t>
      </w:r>
      <w:r>
        <w:rPr>
          <w:snapToGrid w:val="0"/>
        </w:rPr>
        <w:tab/>
        <w:t>Duplicate certificates etc. issued in error etc., powers to recover</w:t>
      </w:r>
      <w:bookmarkEnd w:id="88"/>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p>
    <w:p>
      <w:pPr>
        <w:pStyle w:val="Heading5"/>
        <w:spacing w:before="280"/>
        <w:rPr>
          <w:snapToGrid w:val="0"/>
        </w:rPr>
      </w:pPr>
      <w:bookmarkStart w:id="89" w:name="_Toc383511406"/>
      <w:r>
        <w:rPr>
          <w:rStyle w:val="CharSectno"/>
        </w:rPr>
        <w:t>77</w:t>
      </w:r>
      <w:r>
        <w:rPr>
          <w:snapToGrid w:val="0"/>
        </w:rPr>
        <w:t>.</w:t>
      </w:r>
      <w:r>
        <w:rPr>
          <w:snapToGrid w:val="0"/>
        </w:rPr>
        <w:tab/>
        <w:t>Procedure when person summoned etc. under s. 76</w:t>
      </w:r>
      <w:bookmarkEnd w:id="89"/>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p>
    <w:p>
      <w:pPr>
        <w:pStyle w:val="Heading5"/>
        <w:rPr>
          <w:snapToGrid w:val="0"/>
        </w:rPr>
      </w:pPr>
      <w:bookmarkStart w:id="90" w:name="_Toc383511407"/>
      <w:r>
        <w:rPr>
          <w:rStyle w:val="CharSectno"/>
        </w:rPr>
        <w:t>78</w:t>
      </w:r>
      <w:r>
        <w:rPr>
          <w:snapToGrid w:val="0"/>
        </w:rPr>
        <w:t>.</w:t>
      </w:r>
      <w:r>
        <w:rPr>
          <w:snapToGrid w:val="0"/>
        </w:rPr>
        <w:tab/>
        <w:t>Registrar may call in duplicate certificate etc.</w:t>
      </w:r>
      <w:bookmarkEnd w:id="90"/>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p>
    <w:p>
      <w:pPr>
        <w:pStyle w:val="Heading5"/>
        <w:rPr>
          <w:snapToGrid w:val="0"/>
        </w:rPr>
      </w:pPr>
      <w:bookmarkStart w:id="91" w:name="_Toc383511408"/>
      <w:r>
        <w:rPr>
          <w:rStyle w:val="CharSectno"/>
        </w:rPr>
        <w:t>79</w:t>
      </w:r>
      <w:r>
        <w:rPr>
          <w:snapToGrid w:val="0"/>
        </w:rPr>
        <w:t>.</w:t>
      </w:r>
      <w:r>
        <w:rPr>
          <w:snapToGrid w:val="0"/>
        </w:rPr>
        <w:tab/>
        <w:t>Person who fails to bring in duplicate certificate etc. may be brought before Supreme Court</w:t>
      </w:r>
      <w:bookmarkEnd w:id="91"/>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p>
    <w:p>
      <w:pPr>
        <w:pStyle w:val="Heading5"/>
        <w:rPr>
          <w:snapToGrid w:val="0"/>
        </w:rPr>
      </w:pPr>
      <w:bookmarkStart w:id="92" w:name="_Toc383511409"/>
      <w:r>
        <w:rPr>
          <w:rStyle w:val="CharSectno"/>
        </w:rPr>
        <w:t>81</w:t>
      </w:r>
      <w:r>
        <w:rPr>
          <w:snapToGrid w:val="0"/>
        </w:rPr>
        <w:t>.</w:t>
      </w:r>
      <w:r>
        <w:rPr>
          <w:snapToGrid w:val="0"/>
        </w:rPr>
        <w:tab/>
        <w:t>Words of inheritance or succession to be implied</w:t>
      </w:r>
      <w:bookmarkEnd w:id="92"/>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93" w:name="_Toc383511410"/>
      <w:r>
        <w:rPr>
          <w:rStyle w:val="CharPartNo"/>
        </w:rPr>
        <w:t>Part IIIA</w:t>
      </w:r>
      <w:r>
        <w:rPr>
          <w:rStyle w:val="CharDivNo"/>
        </w:rPr>
        <w:t> </w:t>
      </w:r>
      <w:r>
        <w:t>—</w:t>
      </w:r>
      <w:r>
        <w:rPr>
          <w:rStyle w:val="CharDivText"/>
        </w:rPr>
        <w:t> </w:t>
      </w:r>
      <w:r>
        <w:rPr>
          <w:rStyle w:val="CharPartText"/>
        </w:rPr>
        <w:t>Crown leases</w:t>
      </w:r>
      <w:bookmarkEnd w:id="93"/>
    </w:p>
    <w:p>
      <w:pPr>
        <w:pStyle w:val="Footnoteheading"/>
      </w:pPr>
      <w:r>
        <w:tab/>
        <w:t>[Heading inserted by No. 54 of 1909 s. 2A (as amended by No. 17 of 1950 s. 75).]</w:t>
      </w:r>
    </w:p>
    <w:p>
      <w:pPr>
        <w:pStyle w:val="Heading5"/>
        <w:spacing w:before="260"/>
        <w:rPr>
          <w:snapToGrid w:val="0"/>
        </w:rPr>
      </w:pPr>
      <w:bookmarkStart w:id="94" w:name="_Toc383511411"/>
      <w:r>
        <w:rPr>
          <w:rStyle w:val="CharSectno"/>
        </w:rPr>
        <w:t>81A</w:t>
      </w:r>
      <w:r>
        <w:rPr>
          <w:snapToGrid w:val="0"/>
        </w:rPr>
        <w:t>.</w:t>
      </w:r>
      <w:r>
        <w:rPr>
          <w:snapToGrid w:val="0"/>
        </w:rPr>
        <w:tab/>
        <w:t>Registration of Crown leases issued on or after 2 May 1910</w:t>
      </w:r>
      <w:bookmarkEnd w:id="94"/>
    </w:p>
    <w:p>
      <w:pPr>
        <w:pStyle w:val="Subsection"/>
        <w:spacing w:before="2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200"/>
        <w:rPr>
          <w:snapToGrid w:val="0"/>
        </w:rPr>
      </w:pPr>
      <w:r>
        <w:rPr>
          <w:snapToGrid w:val="0"/>
        </w:rPr>
        <w:tab/>
        <w:t>(2)</w:t>
      </w:r>
      <w:r>
        <w:rPr>
          <w:snapToGrid w:val="0"/>
        </w:rPr>
        <w:tab/>
        <w:t>The Registrar shall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[Section 81A inserted by No. 54 of 1909 s. 3 (as amended by No. 17 of 1950 s. 75); amended by No. 81 of 1996 s. 52; No. 31 of 1997 s. 103.]</w:t>
      </w:r>
    </w:p>
    <w:p>
      <w:pPr>
        <w:pStyle w:val="Heading5"/>
        <w:spacing w:before="260"/>
        <w:rPr>
          <w:snapToGrid w:val="0"/>
        </w:rPr>
      </w:pPr>
      <w:bookmarkStart w:id="95" w:name="_Toc383511412"/>
      <w:r>
        <w:rPr>
          <w:rStyle w:val="CharSectno"/>
        </w:rPr>
        <w:t>81B</w:t>
      </w:r>
      <w:r>
        <w:rPr>
          <w:snapToGrid w:val="0"/>
        </w:rPr>
        <w:t>.</w:t>
      </w:r>
      <w:r>
        <w:rPr>
          <w:snapToGrid w:val="0"/>
        </w:rPr>
        <w:tab/>
        <w:t>Registration of Crown leases issued before 2 May 1910</w:t>
      </w:r>
      <w:bookmarkEnd w:id="95"/>
    </w:p>
    <w:p>
      <w:pPr>
        <w:pStyle w:val="Subsection"/>
        <w:spacing w:before="2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p>
    <w:p>
      <w:pPr>
        <w:pStyle w:val="Heading5"/>
        <w:rPr>
          <w:snapToGrid w:val="0"/>
        </w:rPr>
      </w:pPr>
      <w:bookmarkStart w:id="96" w:name="_Toc383511413"/>
      <w:r>
        <w:rPr>
          <w:rStyle w:val="CharSectno"/>
        </w:rPr>
        <w:t>81C</w:t>
      </w:r>
      <w:r>
        <w:rPr>
          <w:snapToGrid w:val="0"/>
        </w:rPr>
        <w:t>.</w:t>
      </w:r>
      <w:r>
        <w:rPr>
          <w:snapToGrid w:val="0"/>
        </w:rPr>
        <w:tab/>
        <w:t>Effect of registration</w:t>
      </w:r>
      <w:bookmarkEnd w:id="96"/>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p>
    <w:p>
      <w:pPr>
        <w:pStyle w:val="Heading5"/>
        <w:rPr>
          <w:snapToGrid w:val="0"/>
        </w:rPr>
      </w:pPr>
      <w:bookmarkStart w:id="97" w:name="_Toc383511414"/>
      <w:r>
        <w:rPr>
          <w:rStyle w:val="CharSectno"/>
        </w:rPr>
        <w:t>81D</w:t>
      </w:r>
      <w:r>
        <w:rPr>
          <w:snapToGrid w:val="0"/>
        </w:rPr>
        <w:t>.</w:t>
      </w:r>
      <w:r>
        <w:rPr>
          <w:snapToGrid w:val="0"/>
        </w:rPr>
        <w:tab/>
        <w:t>Registration of transfer etc.</w:t>
      </w:r>
      <w:bookmarkEnd w:id="97"/>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 No. 8 of 2010 s. 30.]</w:t>
      </w:r>
    </w:p>
    <w:p>
      <w:pPr>
        <w:pStyle w:val="Heading5"/>
        <w:tabs>
          <w:tab w:val="clear" w:pos="879"/>
          <w:tab w:val="left" w:pos="851"/>
        </w:tabs>
        <w:ind w:left="851" w:hanging="851"/>
        <w:rPr>
          <w:snapToGrid w:val="0"/>
        </w:rPr>
      </w:pPr>
      <w:bookmarkStart w:id="98" w:name="_Toc383511415"/>
      <w:r>
        <w:rPr>
          <w:rStyle w:val="CharSectno"/>
        </w:rPr>
        <w:t>81E</w:t>
      </w:r>
      <w:r>
        <w:rPr>
          <w:snapToGrid w:val="0"/>
        </w:rPr>
        <w:t>.</w:t>
      </w:r>
      <w:r>
        <w:rPr>
          <w:snapToGrid w:val="0"/>
        </w:rPr>
        <w:tab/>
        <w:t>No foreclosure without consent of Minister for Lands</w:t>
      </w:r>
      <w:bookmarkEnd w:id="98"/>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by No. 54 of 1909 s. 7 (as amended by No. 17 of 1950 s. 75).]</w:t>
      </w:r>
    </w:p>
    <w:p>
      <w:pPr>
        <w:pStyle w:val="Heading5"/>
        <w:rPr>
          <w:snapToGrid w:val="0"/>
        </w:rPr>
      </w:pPr>
      <w:bookmarkStart w:id="99" w:name="_Toc383511416"/>
      <w:r>
        <w:rPr>
          <w:rStyle w:val="CharSectno"/>
        </w:rPr>
        <w:t>81F</w:t>
      </w:r>
      <w:r>
        <w:rPr>
          <w:snapToGrid w:val="0"/>
        </w:rPr>
        <w:t>.</w:t>
      </w:r>
      <w:r>
        <w:rPr>
          <w:snapToGrid w:val="0"/>
        </w:rPr>
        <w:tab/>
        <w:t>Entry of forfeiture</w:t>
      </w:r>
      <w:bookmarkEnd w:id="99"/>
    </w:p>
    <w:p>
      <w:pPr>
        <w:pStyle w:val="Subsection"/>
        <w:spacing w:before="15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5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50"/>
        <w:rPr>
          <w:snapToGrid w:val="0"/>
        </w:rPr>
      </w:pPr>
      <w:r>
        <w:rPr>
          <w:snapToGrid w:val="0"/>
        </w:rPr>
        <w:tab/>
        <w:t>(3)</w:t>
      </w:r>
      <w:r>
        <w:rPr>
          <w:snapToGrid w:val="0"/>
        </w:rPr>
        <w:tab/>
        <w:t>The Minister for Lands may, by notice to the Registrar, allow a longer period than 30 days.</w:t>
      </w:r>
    </w:p>
    <w:p>
      <w:pPr>
        <w:pStyle w:val="Subsection"/>
        <w:spacing w:before="15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100"/>
        <w:ind w:left="890" w:hanging="890"/>
      </w:pPr>
      <w:r>
        <w:tab/>
        <w:t>[Section 81F inserted by No. 54 of 1909 s. 8 (as amended by No. 17 of 1950 s. 75); amended by No. 81 of 1996 s. 54.]</w:t>
      </w:r>
    </w:p>
    <w:p>
      <w:pPr>
        <w:pStyle w:val="Heading5"/>
        <w:rPr>
          <w:snapToGrid w:val="0"/>
        </w:rPr>
      </w:pPr>
      <w:bookmarkStart w:id="100" w:name="_Toc383511417"/>
      <w:r>
        <w:rPr>
          <w:rStyle w:val="CharSectno"/>
        </w:rPr>
        <w:t>81G</w:t>
      </w:r>
      <w:r>
        <w:rPr>
          <w:snapToGrid w:val="0"/>
        </w:rPr>
        <w:t>.</w:t>
      </w:r>
      <w:r>
        <w:rPr>
          <w:snapToGrid w:val="0"/>
        </w:rPr>
        <w:tab/>
        <w:t>Crown lessee to be deemed of full age</w:t>
      </w:r>
      <w:bookmarkEnd w:id="100"/>
    </w:p>
    <w:p>
      <w:pPr>
        <w:pStyle w:val="Subsection"/>
        <w:spacing w:before="15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[Section 81G inserted by No. 54 of 1909 s. 9 (as amended by No. 17 of 1950 s. 75).]</w:t>
      </w:r>
    </w:p>
    <w:p>
      <w:pPr>
        <w:pStyle w:val="Heading5"/>
        <w:rPr>
          <w:snapToGrid w:val="0"/>
        </w:rPr>
      </w:pPr>
      <w:bookmarkStart w:id="101" w:name="_Toc383511418"/>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101"/>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p>
    <w:p>
      <w:pPr>
        <w:pStyle w:val="Heading5"/>
        <w:rPr>
          <w:snapToGrid w:val="0"/>
        </w:rPr>
      </w:pPr>
      <w:bookmarkStart w:id="102" w:name="_Toc383511419"/>
      <w:r>
        <w:rPr>
          <w:rStyle w:val="CharSectno"/>
        </w:rPr>
        <w:t>81I</w:t>
      </w:r>
      <w:r>
        <w:rPr>
          <w:snapToGrid w:val="0"/>
        </w:rPr>
        <w:t>.</w:t>
      </w:r>
      <w:r>
        <w:rPr>
          <w:snapToGrid w:val="0"/>
        </w:rPr>
        <w:tab/>
        <w:t>Mortgage of Crown lease to be transferred to Crown grant</w:t>
      </w:r>
      <w:bookmarkEnd w:id="102"/>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p>
    <w:p>
      <w:pPr>
        <w:pStyle w:val="Heading2"/>
      </w:pPr>
      <w:bookmarkStart w:id="103" w:name="_Toc383511420"/>
      <w:r>
        <w:rPr>
          <w:rStyle w:val="CharPartNo"/>
        </w:rPr>
        <w:t>Part IIIB</w:t>
      </w:r>
      <w:r>
        <w:t> — </w:t>
      </w:r>
      <w:r>
        <w:rPr>
          <w:rStyle w:val="CharPartText"/>
        </w:rPr>
        <w:t>Registration and recording in relation to Crown land</w:t>
      </w:r>
      <w:bookmarkEnd w:id="103"/>
    </w:p>
    <w:p>
      <w:pPr>
        <w:pStyle w:val="Footnoteheading"/>
      </w:pPr>
      <w:r>
        <w:tab/>
        <w:t>[Heading inserted by No. 31 of 1997 s. 104(1).]</w:t>
      </w:r>
    </w:p>
    <w:p>
      <w:pPr>
        <w:pStyle w:val="Heading3"/>
      </w:pPr>
      <w:bookmarkStart w:id="104" w:name="_Toc383511421"/>
      <w:r>
        <w:rPr>
          <w:rStyle w:val="CharDivNo"/>
        </w:rPr>
        <w:t>Division 1</w:t>
      </w:r>
      <w:r>
        <w:t> — </w:t>
      </w:r>
      <w:r>
        <w:rPr>
          <w:rStyle w:val="CharDivText"/>
        </w:rPr>
        <w:t>General</w:t>
      </w:r>
      <w:bookmarkEnd w:id="104"/>
    </w:p>
    <w:p>
      <w:pPr>
        <w:pStyle w:val="Footnoteheading"/>
      </w:pPr>
      <w:r>
        <w:tab/>
        <w:t>[Heading inserted by No. 31 of 1997 s. 104(1).]</w:t>
      </w:r>
    </w:p>
    <w:p>
      <w:pPr>
        <w:pStyle w:val="Heading5"/>
      </w:pPr>
      <w:bookmarkStart w:id="105" w:name="_Toc383511422"/>
      <w:r>
        <w:rPr>
          <w:rStyle w:val="CharSectno"/>
        </w:rPr>
        <w:t>81J</w:t>
      </w:r>
      <w:r>
        <w:t>.</w:t>
      </w:r>
      <w:r>
        <w:tab/>
        <w:t>Application of this Part</w:t>
      </w:r>
      <w:bookmarkEnd w:id="105"/>
    </w:p>
    <w:p>
      <w:pPr>
        <w:pStyle w:val="Subsection"/>
      </w:pPr>
      <w:r>
        <w:tab/>
      </w:r>
      <w:r>
        <w:tab/>
        <w:t>This Part applies solely to Crown land.</w:t>
      </w:r>
    </w:p>
    <w:p>
      <w:pPr>
        <w:pStyle w:val="Footnotesection"/>
      </w:pPr>
      <w:r>
        <w:tab/>
        <w:t>[Section 81J inserted by No. 31 of 1997 s. 104(1).]</w:t>
      </w:r>
    </w:p>
    <w:p>
      <w:pPr>
        <w:pStyle w:val="Heading5"/>
      </w:pPr>
      <w:bookmarkStart w:id="106" w:name="_Toc383511423"/>
      <w:r>
        <w:rPr>
          <w:rStyle w:val="CharSectno"/>
        </w:rPr>
        <w:t>81K</w:t>
      </w:r>
      <w:r>
        <w:t>.</w:t>
      </w:r>
      <w:r>
        <w:tab/>
        <w:t>Terms used</w:t>
      </w:r>
      <w:bookmarkEnd w:id="106"/>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107" w:name="_Toc383511424"/>
      <w:r>
        <w:rPr>
          <w:rStyle w:val="CharSectno"/>
        </w:rPr>
        <w:t>81L</w:t>
      </w:r>
      <w:r>
        <w:t>.</w:t>
      </w:r>
      <w:r>
        <w:tab/>
        <w:t>Creation and registration of certificates of Crown land title and qualified certificates of Crown land title</w:t>
      </w:r>
      <w:bookmarkEnd w:id="107"/>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108" w:name="_Toc383511425"/>
      <w:r>
        <w:rPr>
          <w:rStyle w:val="CharSectno"/>
        </w:rPr>
        <w:t>81M</w:t>
      </w:r>
      <w:r>
        <w:t>.</w:t>
      </w:r>
      <w:r>
        <w:tab/>
        <w:t>Lodging etc. of management orders</w:t>
      </w:r>
      <w:bookmarkEnd w:id="108"/>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109" w:name="_Toc383511426"/>
      <w:r>
        <w:rPr>
          <w:rStyle w:val="CharSectno"/>
        </w:rPr>
        <w:t>81N</w:t>
      </w:r>
      <w:r>
        <w:t>.</w:t>
      </w:r>
      <w:r>
        <w:tab/>
        <w:t>Crown surveys</w:t>
      </w:r>
      <w:bookmarkEnd w:id="109"/>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110" w:name="_Toc383511427"/>
      <w:r>
        <w:rPr>
          <w:rStyle w:val="CharSectno"/>
        </w:rPr>
        <w:t>81O</w:t>
      </w:r>
      <w:r>
        <w:t>.</w:t>
      </w:r>
      <w:r>
        <w:tab/>
        <w:t>No duplicate certificates of Crown land title or duplicate qualified certificates of Crown land title to be issued</w:t>
      </w:r>
      <w:bookmarkEnd w:id="110"/>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111" w:name="_Toc383511428"/>
      <w:r>
        <w:rPr>
          <w:rStyle w:val="CharSectno"/>
        </w:rPr>
        <w:t>81P</w:t>
      </w:r>
      <w:r>
        <w:t>.</w:t>
      </w:r>
      <w:r>
        <w:tab/>
        <w:t>Endorsements on certificates of Crown land title and qualified certificates of Crown land title</w:t>
      </w:r>
      <w:bookmarkEnd w:id="111"/>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112" w:name="_Toc383511429"/>
      <w:r>
        <w:rPr>
          <w:rStyle w:val="CharSectno"/>
        </w:rPr>
        <w:t>81Q</w:t>
      </w:r>
      <w:r>
        <w:t>.</w:t>
      </w:r>
      <w:r>
        <w:tab/>
        <w:t>Leases and subleases of Crown land, registration of</w:t>
      </w:r>
      <w:bookmarkEnd w:id="112"/>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113" w:name="_Toc383511430"/>
      <w:r>
        <w:rPr>
          <w:rStyle w:val="CharSectno"/>
        </w:rPr>
        <w:t>81R</w:t>
      </w:r>
      <w:r>
        <w:t>.</w:t>
      </w:r>
      <w:r>
        <w:tab/>
        <w:t>Profits à prendre, registration of</w:t>
      </w:r>
      <w:bookmarkEnd w:id="113"/>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114" w:name="_Toc383511431"/>
      <w:r>
        <w:rPr>
          <w:rStyle w:val="CharSectno"/>
        </w:rPr>
        <w:t>81RA</w:t>
      </w:r>
      <w:r>
        <w:t>.</w:t>
      </w:r>
      <w:r>
        <w:tab/>
        <w:t>Other encumbrances in respect of fee simple in Crown land</w:t>
      </w:r>
      <w:bookmarkEnd w:id="114"/>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115" w:name="_Toc383511432"/>
      <w:r>
        <w:rPr>
          <w:rStyle w:val="CharSectno"/>
        </w:rPr>
        <w:t>81S</w:t>
      </w:r>
      <w:r>
        <w:t>.</w:t>
      </w:r>
      <w:r>
        <w:tab/>
        <w:t>Prerequisites to registering dealings as to Crown land</w:t>
      </w:r>
      <w:bookmarkEnd w:id="115"/>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116" w:name="_Toc383511433"/>
      <w:r>
        <w:rPr>
          <w:rStyle w:val="CharSectno"/>
        </w:rPr>
        <w:t>81T</w:t>
      </w:r>
      <w:r>
        <w:t>.</w:t>
      </w:r>
      <w:r>
        <w:tab/>
        <w:t>Registered proprietors etc. protected against ejectment except in certain cases</w:t>
      </w:r>
      <w:bookmarkEnd w:id="116"/>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117" w:name="_Toc383511434"/>
      <w:r>
        <w:rPr>
          <w:rStyle w:val="CharDivNo"/>
        </w:rPr>
        <w:t>Division 2</w:t>
      </w:r>
      <w:r>
        <w:t> — </w:t>
      </w:r>
      <w:r>
        <w:rPr>
          <w:rStyle w:val="CharDivText"/>
        </w:rPr>
        <w:t>Transitional</w:t>
      </w:r>
      <w:bookmarkEnd w:id="117"/>
    </w:p>
    <w:p>
      <w:pPr>
        <w:pStyle w:val="Footnoteheading"/>
        <w:keepNext/>
        <w:keepLines/>
      </w:pPr>
      <w:r>
        <w:tab/>
        <w:t>[Heading inserted by No. 31 of 1997 s. 104(1).]</w:t>
      </w:r>
    </w:p>
    <w:p>
      <w:pPr>
        <w:pStyle w:val="Heading5"/>
      </w:pPr>
      <w:bookmarkStart w:id="118" w:name="_Toc383511435"/>
      <w:r>
        <w:rPr>
          <w:rStyle w:val="CharSectno"/>
        </w:rPr>
        <w:t>81U</w:t>
      </w:r>
      <w:r>
        <w:t>.</w:t>
      </w:r>
      <w:r>
        <w:tab/>
        <w:t>Registrar may accept for registration signed and stamped duplicate original documents</w:t>
      </w:r>
      <w:bookmarkEnd w:id="118"/>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Sch. 1 cl. 38(1).]</w:t>
      </w:r>
    </w:p>
    <w:p>
      <w:pPr>
        <w:pStyle w:val="Heading5"/>
      </w:pPr>
      <w:bookmarkStart w:id="119" w:name="_Toc383511436"/>
      <w:r>
        <w:rPr>
          <w:rStyle w:val="CharSectno"/>
        </w:rPr>
        <w:t>81V</w:t>
      </w:r>
      <w:r>
        <w:t>.</w:t>
      </w:r>
      <w:r>
        <w:tab/>
        <w:t>Minister for Lands may apply for cancellation, creation etc. of certificates of Crown land title etc.</w:t>
      </w:r>
      <w:bookmarkEnd w:id="119"/>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20" w:name="_Toc383511437"/>
      <w:r>
        <w:rPr>
          <w:rStyle w:val="CharSectno"/>
        </w:rPr>
        <w:t>81W</w:t>
      </w:r>
      <w:r>
        <w:t>.</w:t>
      </w:r>
      <w:r>
        <w:tab/>
        <w:t>Procedure when applications referred to Commissioner</w:t>
      </w:r>
      <w:bookmarkEnd w:id="120"/>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00"/>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0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00"/>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21" w:name="_Toc383511438"/>
      <w:r>
        <w:rPr>
          <w:rStyle w:val="CharSectno"/>
        </w:rPr>
        <w:t>81X</w:t>
      </w:r>
      <w:r>
        <w:t>.</w:t>
      </w:r>
      <w:r>
        <w:tab/>
        <w:t>Procedure on lodging of caveat under s. 81W(6)</w:t>
      </w:r>
      <w:bookmarkEnd w:id="121"/>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22" w:name="_Toc383511439"/>
      <w:r>
        <w:rPr>
          <w:rStyle w:val="CharSectno"/>
        </w:rPr>
        <w:t>81Y</w:t>
      </w:r>
      <w:r>
        <w:t>.</w:t>
      </w:r>
      <w:r>
        <w:tab/>
        <w:t>Registrar’s duties when applications made under s. 81V(1)(a) granted</w:t>
      </w:r>
      <w:bookmarkEnd w:id="122"/>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23" w:name="_Toc383511440"/>
      <w:r>
        <w:rPr>
          <w:rStyle w:val="CharSectno"/>
        </w:rPr>
        <w:t>81Z</w:t>
      </w:r>
      <w:r>
        <w:t>.</w:t>
      </w:r>
      <w:r>
        <w:tab/>
        <w:t>Registrar’s duties when applications made under s. 81V(1)(b) granted</w:t>
      </w:r>
      <w:bookmarkEnd w:id="123"/>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24" w:name="_Toc383511441"/>
      <w:r>
        <w:rPr>
          <w:rStyle w:val="CharSectno"/>
        </w:rPr>
        <w:t>81ZA</w:t>
      </w:r>
      <w:r>
        <w:t>.</w:t>
      </w:r>
      <w:r>
        <w:tab/>
        <w:t>Procedure for registering interests for which no certificate of Crown land title or qualified certificate of Crown land title exists</w:t>
      </w:r>
      <w:bookmarkEnd w:id="124"/>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25" w:name="_Toc383511442"/>
      <w:r>
        <w:rPr>
          <w:rStyle w:val="CharSectno"/>
        </w:rPr>
        <w:t>81ZB</w:t>
      </w:r>
      <w:r>
        <w:t>.</w:t>
      </w:r>
      <w:r>
        <w:tab/>
        <w:t>Qualified certificates of Crown land title, general matters</w:t>
      </w:r>
      <w:bookmarkEnd w:id="125"/>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26" w:name="_Toc383511443"/>
      <w:r>
        <w:rPr>
          <w:rStyle w:val="CharSectno"/>
        </w:rPr>
        <w:t>81ZC</w:t>
      </w:r>
      <w:r>
        <w:t>.</w:t>
      </w:r>
      <w:r>
        <w:tab/>
        <w:t>Interests in Crown land not registered within transitional period void as against registered interests in Crown land etc.</w:t>
      </w:r>
      <w:bookmarkEnd w:id="126"/>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27" w:name="_Toc383511444"/>
      <w:r>
        <w:rPr>
          <w:rStyle w:val="CharSectno"/>
        </w:rPr>
        <w:t>81ZD</w:t>
      </w:r>
      <w:r>
        <w:t>.</w:t>
      </w:r>
      <w:r>
        <w:tab/>
        <w:t>Registrar may convert Crown leases into leases registered under s. 81Q</w:t>
      </w:r>
      <w:bookmarkEnd w:id="127"/>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28" w:name="_Toc383511445"/>
      <w:r>
        <w:rPr>
          <w:rStyle w:val="CharPartNo"/>
        </w:rPr>
        <w:t>Part IV</w:t>
      </w:r>
      <w:r>
        <w:t> — </w:t>
      </w:r>
      <w:r>
        <w:rPr>
          <w:rStyle w:val="CharPartText"/>
        </w:rPr>
        <w:t>Dealings with land</w:t>
      </w:r>
      <w:bookmarkEnd w:id="128"/>
    </w:p>
    <w:p>
      <w:pPr>
        <w:pStyle w:val="Heading3"/>
        <w:spacing w:before="260"/>
      </w:pPr>
      <w:bookmarkStart w:id="129" w:name="_Toc383511446"/>
      <w:r>
        <w:rPr>
          <w:rStyle w:val="CharDivNo"/>
        </w:rPr>
        <w:t>Division 1</w:t>
      </w:r>
      <w:r>
        <w:rPr>
          <w:snapToGrid w:val="0"/>
        </w:rPr>
        <w:t> — </w:t>
      </w:r>
      <w:r>
        <w:rPr>
          <w:rStyle w:val="CharDivText"/>
        </w:rPr>
        <w:t>Transfers</w:t>
      </w:r>
      <w:bookmarkEnd w:id="129"/>
    </w:p>
    <w:p>
      <w:pPr>
        <w:pStyle w:val="Heading5"/>
        <w:spacing w:before="260"/>
        <w:rPr>
          <w:snapToGrid w:val="0"/>
        </w:rPr>
      </w:pPr>
      <w:bookmarkStart w:id="130" w:name="_Toc383511447"/>
      <w:r>
        <w:rPr>
          <w:rStyle w:val="CharSectno"/>
        </w:rPr>
        <w:t>82</w:t>
      </w:r>
      <w:r>
        <w:rPr>
          <w:snapToGrid w:val="0"/>
        </w:rPr>
        <w:t>.</w:t>
      </w:r>
      <w:r>
        <w:rPr>
          <w:snapToGrid w:val="0"/>
        </w:rPr>
        <w:tab/>
        <w:t>Transfers</w:t>
      </w:r>
      <w:bookmarkEnd w:id="130"/>
    </w:p>
    <w:p>
      <w:pPr>
        <w:pStyle w:val="Subsection"/>
        <w:spacing w:before="180"/>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spacing w:before="180"/>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8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[Section 82 amended by No. 17 of 1950 s. 20; No. 81 of 1996 s. 56; No. 6 of 2003 s. 30; No. 19 of 2010 s. 51.]</w:t>
      </w:r>
    </w:p>
    <w:p>
      <w:pPr>
        <w:pStyle w:val="Heading5"/>
        <w:spacing w:before="260"/>
        <w:rPr>
          <w:snapToGrid w:val="0"/>
        </w:rPr>
      </w:pPr>
      <w:bookmarkStart w:id="131" w:name="_Toc383511448"/>
      <w:r>
        <w:rPr>
          <w:rStyle w:val="CharSectno"/>
        </w:rPr>
        <w:t>83</w:t>
      </w:r>
      <w:r>
        <w:rPr>
          <w:snapToGrid w:val="0"/>
        </w:rPr>
        <w:t>.</w:t>
      </w:r>
      <w:r>
        <w:rPr>
          <w:snapToGrid w:val="0"/>
        </w:rPr>
        <w:tab/>
        <w:t>Transfer to include right to sue thereunder</w:t>
      </w:r>
      <w:bookmarkEnd w:id="131"/>
    </w:p>
    <w:p>
      <w:pPr>
        <w:pStyle w:val="Subsection"/>
        <w:spacing w:before="180"/>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spacing w:before="180"/>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r>
        <w:tab/>
        <w:t>[Section 83 amended by No. 19 of 2010 s. 51.]</w:t>
      </w:r>
    </w:p>
    <w:p>
      <w:pPr>
        <w:pStyle w:val="Heading5"/>
        <w:spacing w:before="280"/>
        <w:rPr>
          <w:snapToGrid w:val="0"/>
        </w:rPr>
      </w:pPr>
      <w:bookmarkStart w:id="132" w:name="_Toc383511449"/>
      <w:r>
        <w:rPr>
          <w:rStyle w:val="CharSectno"/>
        </w:rPr>
        <w:t>84</w:t>
      </w:r>
      <w:r>
        <w:rPr>
          <w:snapToGrid w:val="0"/>
        </w:rPr>
        <w:t>.</w:t>
      </w:r>
      <w:r>
        <w:rPr>
          <w:snapToGrid w:val="0"/>
        </w:rPr>
        <w:tab/>
        <w:t>Transfers may be to proprietor and others jointly etc.</w:t>
      </w:r>
      <w:bookmarkEnd w:id="132"/>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160"/>
        <w:ind w:left="890" w:hanging="890"/>
      </w:pPr>
      <w:r>
        <w:tab/>
        <w:t>[Section 84 amended by No. 28 of 2003 s. 129(3).]</w:t>
      </w:r>
    </w:p>
    <w:p>
      <w:pPr>
        <w:pStyle w:val="Heading5"/>
        <w:spacing w:before="280"/>
        <w:rPr>
          <w:snapToGrid w:val="0"/>
        </w:rPr>
      </w:pPr>
      <w:bookmarkStart w:id="133" w:name="_Toc383511450"/>
      <w:r>
        <w:rPr>
          <w:rStyle w:val="CharSectno"/>
        </w:rPr>
        <w:t>85</w:t>
      </w:r>
      <w:r>
        <w:rPr>
          <w:snapToGrid w:val="0"/>
        </w:rPr>
        <w:t>.</w:t>
      </w:r>
      <w:r>
        <w:rPr>
          <w:snapToGrid w:val="0"/>
        </w:rPr>
        <w:tab/>
        <w:t>Signed and registered instruments have efficacy of deeds</w:t>
      </w:r>
      <w:bookmarkEnd w:id="133"/>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[Section 85 amended by No. 81 of 1996 s. 145(1); No. 28 of 2003 s. 129(4).]</w:t>
      </w:r>
    </w:p>
    <w:p>
      <w:pPr>
        <w:pStyle w:val="Heading5"/>
        <w:rPr>
          <w:snapToGrid w:val="0"/>
        </w:rPr>
      </w:pPr>
      <w:bookmarkStart w:id="134" w:name="_Toc383511451"/>
      <w:r>
        <w:rPr>
          <w:rStyle w:val="CharSectno"/>
        </w:rPr>
        <w:t>86</w:t>
      </w:r>
      <w:r>
        <w:rPr>
          <w:snapToGrid w:val="0"/>
        </w:rPr>
        <w:t>.</w:t>
      </w:r>
      <w:r>
        <w:rPr>
          <w:snapToGrid w:val="0"/>
        </w:rPr>
        <w:tab/>
        <w:t>Duplicate certificate to be delivered to Registrar on transfer</w:t>
      </w:r>
      <w:bookmarkEnd w:id="134"/>
    </w:p>
    <w:p>
      <w:pPr>
        <w:pStyle w:val="Subsection"/>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[Section 86 inserted by No. 81 of 1996 s. 57; amended by No. 6 of 2003 s. 31.]</w:t>
      </w:r>
    </w:p>
    <w:p>
      <w:pPr>
        <w:pStyle w:val="Heading5"/>
      </w:pPr>
      <w:bookmarkStart w:id="135" w:name="_Toc383511452"/>
      <w:r>
        <w:rPr>
          <w:rStyle w:val="CharSectno"/>
        </w:rPr>
        <w:t>87</w:t>
      </w:r>
      <w:r>
        <w:t>.</w:t>
      </w:r>
      <w:r>
        <w:tab/>
        <w:t>Total transfer by endorsement on paper title or by entering transferee’s name on digital title</w:t>
      </w:r>
      <w:bookmarkEnd w:id="135"/>
    </w:p>
    <w:p>
      <w:pPr>
        <w:pStyle w:val="Subsection"/>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p>
    <w:p>
      <w:pPr>
        <w:pStyle w:val="Heading5"/>
        <w:rPr>
          <w:snapToGrid w:val="0"/>
        </w:rPr>
      </w:pPr>
      <w:bookmarkStart w:id="136" w:name="_Toc383511453"/>
      <w:r>
        <w:rPr>
          <w:rStyle w:val="CharSectno"/>
        </w:rPr>
        <w:t>88</w:t>
      </w:r>
      <w:r>
        <w:rPr>
          <w:snapToGrid w:val="0"/>
        </w:rPr>
        <w:t>.</w:t>
      </w:r>
      <w:r>
        <w:rPr>
          <w:snapToGrid w:val="0"/>
        </w:rPr>
        <w:tab/>
        <w:t>Transferee of encumbered land to indemnify transferor</w:t>
      </w:r>
      <w:bookmarkEnd w:id="136"/>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37" w:name="_Toc383511454"/>
      <w:r>
        <w:rPr>
          <w:rStyle w:val="CharSectno"/>
        </w:rPr>
        <w:t>88A</w:t>
      </w:r>
      <w:r>
        <w:rPr>
          <w:snapToGrid w:val="0"/>
        </w:rPr>
        <w:t>.</w:t>
      </w:r>
      <w:r>
        <w:rPr>
          <w:snapToGrid w:val="0"/>
        </w:rPr>
        <w:tab/>
        <w:t>Memorial of easements to be registered</w:t>
      </w:r>
      <w:bookmarkEnd w:id="137"/>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p>
    <w:p>
      <w:pPr>
        <w:pStyle w:val="Ednotesection"/>
        <w:ind w:left="890" w:hanging="890"/>
      </w:pPr>
      <w:r>
        <w:t>[</w:t>
      </w:r>
      <w:r>
        <w:rPr>
          <w:b/>
        </w:rPr>
        <w:t>89.</w:t>
      </w:r>
      <w:r>
        <w:tab/>
        <w:t>Deleted by No. 26 of 1999 s. 106(3).]</w:t>
      </w:r>
    </w:p>
    <w:p>
      <w:pPr>
        <w:pStyle w:val="Ednotesection"/>
        <w:ind w:left="890" w:hanging="890"/>
      </w:pPr>
      <w:r>
        <w:t>[</w:t>
      </w:r>
      <w:r>
        <w:rPr>
          <w:b/>
        </w:rPr>
        <w:t>90.</w:t>
      </w:r>
      <w:r>
        <w:tab/>
        <w:t>Deleted by No. 59 of 2004 s. 140.]</w:t>
      </w:r>
    </w:p>
    <w:p>
      <w:pPr>
        <w:pStyle w:val="Heading3"/>
        <w:spacing w:before="260"/>
      </w:pPr>
      <w:bookmarkStart w:id="138" w:name="_Toc383511455"/>
      <w:r>
        <w:rPr>
          <w:rStyle w:val="CharDivNo"/>
        </w:rPr>
        <w:t>Division 2</w:t>
      </w:r>
      <w:r>
        <w:t> — </w:t>
      </w:r>
      <w:r>
        <w:rPr>
          <w:rStyle w:val="CharDivText"/>
        </w:rPr>
        <w:t>Leases and subleases</w:t>
      </w:r>
      <w:bookmarkEnd w:id="138"/>
    </w:p>
    <w:p>
      <w:pPr>
        <w:pStyle w:val="Heading5"/>
        <w:keepLines w:val="0"/>
        <w:spacing w:before="240"/>
        <w:rPr>
          <w:snapToGrid w:val="0"/>
        </w:rPr>
      </w:pPr>
      <w:bookmarkStart w:id="139" w:name="_Toc383511456"/>
      <w:r>
        <w:rPr>
          <w:rStyle w:val="CharSectno"/>
        </w:rPr>
        <w:t>91</w:t>
      </w:r>
      <w:r>
        <w:rPr>
          <w:snapToGrid w:val="0"/>
        </w:rPr>
        <w:t>.</w:t>
      </w:r>
      <w:r>
        <w:rPr>
          <w:snapToGrid w:val="0"/>
        </w:rPr>
        <w:tab/>
        <w:t>Leases</w:t>
      </w:r>
      <w:bookmarkEnd w:id="139"/>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p>
    <w:p>
      <w:pPr>
        <w:pStyle w:val="Heading5"/>
        <w:rPr>
          <w:snapToGrid w:val="0"/>
        </w:rPr>
      </w:pPr>
      <w:bookmarkStart w:id="140" w:name="_Toc383511457"/>
      <w:r>
        <w:rPr>
          <w:rStyle w:val="CharSectno"/>
        </w:rPr>
        <w:t>92</w:t>
      </w:r>
      <w:r>
        <w:rPr>
          <w:snapToGrid w:val="0"/>
        </w:rPr>
        <w:t>.</w:t>
      </w:r>
      <w:r>
        <w:rPr>
          <w:snapToGrid w:val="0"/>
        </w:rPr>
        <w:tab/>
        <w:t>Covenants by lessee implied in leases</w:t>
      </w:r>
      <w:bookmarkEnd w:id="140"/>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 by No. 19 of 2010 s. 51.]</w:t>
      </w:r>
    </w:p>
    <w:p>
      <w:pPr>
        <w:pStyle w:val="Heading5"/>
        <w:spacing w:before="240"/>
        <w:rPr>
          <w:snapToGrid w:val="0"/>
        </w:rPr>
      </w:pPr>
      <w:bookmarkStart w:id="141" w:name="_Toc383511458"/>
      <w:r>
        <w:rPr>
          <w:rStyle w:val="CharSectno"/>
        </w:rPr>
        <w:t>93</w:t>
      </w:r>
      <w:r>
        <w:rPr>
          <w:snapToGrid w:val="0"/>
        </w:rPr>
        <w:t>.</w:t>
      </w:r>
      <w:r>
        <w:rPr>
          <w:snapToGrid w:val="0"/>
        </w:rPr>
        <w:tab/>
        <w:t>Lessor’s powers implied in leases</w:t>
      </w:r>
      <w:bookmarkEnd w:id="141"/>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by No. 19 of 2010 s. 51.]</w:t>
      </w:r>
    </w:p>
    <w:p>
      <w:pPr>
        <w:pStyle w:val="Heading5"/>
        <w:spacing w:before="240"/>
        <w:rPr>
          <w:snapToGrid w:val="0"/>
        </w:rPr>
      </w:pPr>
      <w:bookmarkStart w:id="142" w:name="_Toc383511459"/>
      <w:r>
        <w:rPr>
          <w:rStyle w:val="CharSectno"/>
        </w:rPr>
        <w:t>94</w:t>
      </w:r>
      <w:r>
        <w:rPr>
          <w:snapToGrid w:val="0"/>
        </w:rPr>
        <w:t>.</w:t>
      </w:r>
      <w:r>
        <w:rPr>
          <w:snapToGrid w:val="0"/>
        </w:rPr>
        <w:tab/>
        <w:t>Short forms of covenants by lessees</w:t>
      </w:r>
      <w:bookmarkEnd w:id="142"/>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by No. 19 of 2010 s. 51.]</w:t>
      </w:r>
    </w:p>
    <w:p>
      <w:pPr>
        <w:pStyle w:val="Heading5"/>
        <w:spacing w:before="240"/>
        <w:rPr>
          <w:snapToGrid w:val="0"/>
        </w:rPr>
      </w:pPr>
      <w:bookmarkStart w:id="143" w:name="_Toc383511460"/>
      <w:r>
        <w:rPr>
          <w:rStyle w:val="CharSectno"/>
        </w:rPr>
        <w:t>95</w:t>
      </w:r>
      <w:r>
        <w:rPr>
          <w:snapToGrid w:val="0"/>
        </w:rPr>
        <w:t>.</w:t>
      </w:r>
      <w:r>
        <w:rPr>
          <w:snapToGrid w:val="0"/>
        </w:rPr>
        <w:tab/>
        <w:t>Covenant to be implied on transfer of lease</w:t>
      </w:r>
      <w:bookmarkEnd w:id="143"/>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144" w:name="_Toc383511461"/>
      <w:r>
        <w:rPr>
          <w:rStyle w:val="CharSectno"/>
        </w:rPr>
        <w:t>96</w:t>
      </w:r>
      <w:r>
        <w:rPr>
          <w:snapToGrid w:val="0"/>
        </w:rPr>
        <w:t>.</w:t>
      </w:r>
      <w:r>
        <w:rPr>
          <w:snapToGrid w:val="0"/>
        </w:rPr>
        <w:tab/>
        <w:t>Recovery of possession by lessors to be entered in Register</w:t>
      </w:r>
      <w:bookmarkEnd w:id="144"/>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p>
    <w:p>
      <w:pPr>
        <w:pStyle w:val="Heading5"/>
        <w:keepLines w:val="0"/>
        <w:rPr>
          <w:snapToGrid w:val="0"/>
        </w:rPr>
      </w:pPr>
      <w:bookmarkStart w:id="145" w:name="_Toc383511462"/>
      <w:r>
        <w:rPr>
          <w:rStyle w:val="CharSectno"/>
        </w:rPr>
        <w:t>97</w:t>
      </w:r>
      <w:r>
        <w:rPr>
          <w:snapToGrid w:val="0"/>
        </w:rPr>
        <w:t>.</w:t>
      </w:r>
      <w:r>
        <w:rPr>
          <w:snapToGrid w:val="0"/>
        </w:rPr>
        <w:tab/>
        <w:t>Mortgagee of interest of bankrupt lessee may apply to be entered as transferee of lease and on default lessor may apply</w:t>
      </w:r>
      <w:bookmarkEnd w:id="145"/>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p>
    <w:p>
      <w:pPr>
        <w:pStyle w:val="Heading5"/>
        <w:keepLines w:val="0"/>
        <w:rPr>
          <w:snapToGrid w:val="0"/>
        </w:rPr>
      </w:pPr>
      <w:bookmarkStart w:id="146" w:name="_Toc383511463"/>
      <w:r>
        <w:rPr>
          <w:rStyle w:val="CharSectno"/>
        </w:rPr>
        <w:t>98</w:t>
      </w:r>
      <w:r>
        <w:rPr>
          <w:snapToGrid w:val="0"/>
        </w:rPr>
        <w:t>.</w:t>
      </w:r>
      <w:r>
        <w:rPr>
          <w:snapToGrid w:val="0"/>
        </w:rPr>
        <w:tab/>
        <w:t>Surrendering leases</w:t>
      </w:r>
      <w:bookmarkEnd w:id="146"/>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33; No. 19 of 2010 s. 51.]</w:t>
      </w:r>
    </w:p>
    <w:p>
      <w:pPr>
        <w:pStyle w:val="Heading5"/>
        <w:spacing w:before="180"/>
        <w:rPr>
          <w:snapToGrid w:val="0"/>
        </w:rPr>
      </w:pPr>
      <w:bookmarkStart w:id="147" w:name="_Toc383511464"/>
      <w:r>
        <w:rPr>
          <w:rStyle w:val="CharSectno"/>
        </w:rPr>
        <w:t>99</w:t>
      </w:r>
      <w:r>
        <w:rPr>
          <w:snapToGrid w:val="0"/>
        </w:rPr>
        <w:t>.</w:t>
      </w:r>
      <w:r>
        <w:rPr>
          <w:snapToGrid w:val="0"/>
        </w:rPr>
        <w:tab/>
        <w:t>Lessee may sublet</w:t>
      </w:r>
      <w:bookmarkEnd w:id="147"/>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p>
    <w:p>
      <w:pPr>
        <w:pStyle w:val="Heading5"/>
      </w:pPr>
      <w:bookmarkStart w:id="148" w:name="_Toc383511465"/>
      <w:r>
        <w:rPr>
          <w:rStyle w:val="CharSectno"/>
        </w:rPr>
        <w:t>100</w:t>
      </w:r>
      <w:r>
        <w:t>.</w:t>
      </w:r>
      <w:r>
        <w:tab/>
        <w:t>Registration of subleases</w:t>
      </w:r>
      <w:bookmarkEnd w:id="148"/>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149" w:name="_Toc383511466"/>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149"/>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p>
    <w:p>
      <w:pPr>
        <w:pStyle w:val="Heading5"/>
        <w:rPr>
          <w:snapToGrid w:val="0"/>
        </w:rPr>
      </w:pPr>
      <w:bookmarkStart w:id="150" w:name="_Toc383511467"/>
      <w:r>
        <w:rPr>
          <w:rStyle w:val="CharSectno"/>
        </w:rPr>
        <w:t>103</w:t>
      </w:r>
      <w:r>
        <w:rPr>
          <w:snapToGrid w:val="0"/>
        </w:rPr>
        <w:t>.</w:t>
      </w:r>
      <w:r>
        <w:rPr>
          <w:snapToGrid w:val="0"/>
        </w:rPr>
        <w:tab/>
        <w:t>Covenants implied in subleases</w:t>
      </w:r>
      <w:bookmarkEnd w:id="150"/>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by No. 19 of 2010 s. 51.]</w:t>
      </w:r>
    </w:p>
    <w:p>
      <w:pPr>
        <w:pStyle w:val="Heading5"/>
        <w:keepLines w:val="0"/>
        <w:rPr>
          <w:snapToGrid w:val="0"/>
        </w:rPr>
      </w:pPr>
      <w:bookmarkStart w:id="151" w:name="_Toc383511468"/>
      <w:r>
        <w:rPr>
          <w:rStyle w:val="CharSectno"/>
        </w:rPr>
        <w:t>104</w:t>
      </w:r>
      <w:r>
        <w:rPr>
          <w:snapToGrid w:val="0"/>
        </w:rPr>
        <w:t>.</w:t>
      </w:r>
      <w:r>
        <w:rPr>
          <w:snapToGrid w:val="0"/>
        </w:rPr>
        <w:tab/>
        <w:t>Determination of lease or sublease by re</w:t>
      </w:r>
      <w:r>
        <w:rPr>
          <w:snapToGrid w:val="0"/>
        </w:rPr>
        <w:noBreakHyphen/>
        <w:t>entry to be entered in Register</w:t>
      </w:r>
      <w:bookmarkEnd w:id="151"/>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37; No. 19 of 2010 s. 51.]</w:t>
      </w:r>
    </w:p>
    <w:p>
      <w:pPr>
        <w:pStyle w:val="Heading3"/>
        <w:keepLines/>
      </w:pPr>
      <w:bookmarkStart w:id="152" w:name="_Toc383511469"/>
      <w:r>
        <w:rPr>
          <w:rStyle w:val="CharDivNo"/>
        </w:rPr>
        <w:t>Division 2A</w:t>
      </w:r>
      <w:r>
        <w:t> — </w:t>
      </w:r>
      <w:r>
        <w:rPr>
          <w:rStyle w:val="CharDivText"/>
        </w:rPr>
        <w:t>Carbon rights and carbon covenants</w:t>
      </w:r>
      <w:bookmarkEnd w:id="152"/>
    </w:p>
    <w:p>
      <w:pPr>
        <w:pStyle w:val="Footnoteheading"/>
        <w:keepNext/>
        <w:keepLines/>
      </w:pPr>
      <w:r>
        <w:tab/>
        <w:t>[Heading inserted by No. 56 of 2003 s. 14.]</w:t>
      </w:r>
    </w:p>
    <w:p>
      <w:pPr>
        <w:pStyle w:val="Heading5"/>
      </w:pPr>
      <w:bookmarkStart w:id="153" w:name="_Toc383511470"/>
      <w:r>
        <w:rPr>
          <w:rStyle w:val="CharSectno"/>
        </w:rPr>
        <w:t>104A</w:t>
      </w:r>
      <w:r>
        <w:t>.</w:t>
      </w:r>
      <w:r>
        <w:tab/>
        <w:t>Terms used</w:t>
      </w:r>
      <w:bookmarkEnd w:id="153"/>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54" w:name="_Toc383511471"/>
      <w:r>
        <w:rPr>
          <w:rStyle w:val="CharSectno"/>
        </w:rPr>
        <w:t>104B</w:t>
      </w:r>
      <w:r>
        <w:t>.</w:t>
      </w:r>
      <w:r>
        <w:tab/>
        <w:t>Registration of carbon right form</w:t>
      </w:r>
      <w:bookmarkEnd w:id="154"/>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55" w:name="_Toc383511472"/>
      <w:r>
        <w:rPr>
          <w:rStyle w:val="CharSectno"/>
        </w:rPr>
        <w:t>104C</w:t>
      </w:r>
      <w:r>
        <w:t>.</w:t>
      </w:r>
      <w:r>
        <w:tab/>
        <w:t>Extension of carbon right</w:t>
      </w:r>
      <w:bookmarkEnd w:id="155"/>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56" w:name="_Toc383511473"/>
      <w:r>
        <w:rPr>
          <w:rStyle w:val="CharSectno"/>
        </w:rPr>
        <w:t>104D</w:t>
      </w:r>
      <w:r>
        <w:t>.</w:t>
      </w:r>
      <w:r>
        <w:tab/>
        <w:t>Transfer of carbon right</w:t>
      </w:r>
      <w:bookmarkEnd w:id="156"/>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57" w:name="_Toc383511474"/>
      <w:r>
        <w:rPr>
          <w:rStyle w:val="CharSectno"/>
        </w:rPr>
        <w:t>104E</w:t>
      </w:r>
      <w:r>
        <w:t>.</w:t>
      </w:r>
      <w:r>
        <w:tab/>
        <w:t>Mortgage of carbon right</w:t>
      </w:r>
      <w:bookmarkEnd w:id="157"/>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58" w:name="_Toc383511475"/>
      <w:r>
        <w:rPr>
          <w:rStyle w:val="CharSectno"/>
        </w:rPr>
        <w:t>104F</w:t>
      </w:r>
      <w:r>
        <w:t>.</w:t>
      </w:r>
      <w:r>
        <w:tab/>
        <w:t>Surrender of carbon right</w:t>
      </w:r>
      <w:bookmarkEnd w:id="158"/>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59" w:name="_Toc383511476"/>
      <w:r>
        <w:rPr>
          <w:rStyle w:val="CharSectno"/>
        </w:rPr>
        <w:t>104G</w:t>
      </w:r>
      <w:r>
        <w:t>.</w:t>
      </w:r>
      <w:r>
        <w:tab/>
        <w:t>Registration of carbon covenant form</w:t>
      </w:r>
      <w:bookmarkEnd w:id="159"/>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60" w:name="_Toc383511477"/>
      <w:r>
        <w:rPr>
          <w:rStyle w:val="CharSectno"/>
        </w:rPr>
        <w:t>104H</w:t>
      </w:r>
      <w:r>
        <w:t>.</w:t>
      </w:r>
      <w:r>
        <w:tab/>
        <w:t>Extension of carbon covenant</w:t>
      </w:r>
      <w:bookmarkEnd w:id="160"/>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61" w:name="_Toc383511478"/>
      <w:r>
        <w:rPr>
          <w:rStyle w:val="CharSectno"/>
        </w:rPr>
        <w:t>104I</w:t>
      </w:r>
      <w:r>
        <w:t>.</w:t>
      </w:r>
      <w:r>
        <w:tab/>
        <w:t>Variation of carbon covenant</w:t>
      </w:r>
      <w:bookmarkEnd w:id="161"/>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62" w:name="_Toc383511479"/>
      <w:r>
        <w:rPr>
          <w:rStyle w:val="CharSectno"/>
        </w:rPr>
        <w:t>104J</w:t>
      </w:r>
      <w:r>
        <w:t>.</w:t>
      </w:r>
      <w:r>
        <w:tab/>
        <w:t>Transfer of benefits under carbon covenant</w:t>
      </w:r>
      <w:bookmarkEnd w:id="162"/>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63" w:name="_Toc383511480"/>
      <w:r>
        <w:rPr>
          <w:rStyle w:val="CharSectno"/>
        </w:rPr>
        <w:t>104K</w:t>
      </w:r>
      <w:r>
        <w:t>.</w:t>
      </w:r>
      <w:r>
        <w:tab/>
        <w:t>Mortgage of carbon covenant</w:t>
      </w:r>
      <w:bookmarkEnd w:id="163"/>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64" w:name="_Toc383511481"/>
      <w:r>
        <w:rPr>
          <w:rStyle w:val="CharSectno"/>
        </w:rPr>
        <w:t>104L</w:t>
      </w:r>
      <w:r>
        <w:t>.</w:t>
      </w:r>
      <w:r>
        <w:tab/>
        <w:t>Surrender of carbon covenant</w:t>
      </w:r>
      <w:bookmarkEnd w:id="164"/>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65" w:name="_Toc383511482"/>
      <w:r>
        <w:rPr>
          <w:rStyle w:val="CharDivNo"/>
        </w:rPr>
        <w:t>Division 2B</w:t>
      </w:r>
      <w:r>
        <w:t> — </w:t>
      </w:r>
      <w:r>
        <w:rPr>
          <w:rStyle w:val="CharDivText"/>
        </w:rPr>
        <w:t>Tree plantation agreements and plantation interests</w:t>
      </w:r>
      <w:bookmarkEnd w:id="165"/>
    </w:p>
    <w:p>
      <w:pPr>
        <w:pStyle w:val="Footnoteheading"/>
      </w:pPr>
      <w:r>
        <w:tab/>
        <w:t>[Heading inserted by No. 56 of 2003 s. 14.]</w:t>
      </w:r>
    </w:p>
    <w:p>
      <w:pPr>
        <w:pStyle w:val="Heading5"/>
      </w:pPr>
      <w:bookmarkStart w:id="166" w:name="_Toc383511483"/>
      <w:r>
        <w:rPr>
          <w:rStyle w:val="CharSectno"/>
        </w:rPr>
        <w:t>104M</w:t>
      </w:r>
      <w:r>
        <w:t>.</w:t>
      </w:r>
      <w:r>
        <w:tab/>
        <w:t>Terms used</w:t>
      </w:r>
      <w:bookmarkEnd w:id="166"/>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67" w:name="_Toc383511484"/>
      <w:r>
        <w:rPr>
          <w:rStyle w:val="CharSectno"/>
        </w:rPr>
        <w:t>104N</w:t>
      </w:r>
      <w:r>
        <w:t>.</w:t>
      </w:r>
      <w:r>
        <w:tab/>
        <w:t>Registration of tree plantation agreement</w:t>
      </w:r>
      <w:bookmarkEnd w:id="167"/>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68" w:name="_Toc383511485"/>
      <w:r>
        <w:rPr>
          <w:rStyle w:val="CharSectno"/>
        </w:rPr>
        <w:t>104O</w:t>
      </w:r>
      <w:r>
        <w:t>.</w:t>
      </w:r>
      <w:r>
        <w:tab/>
        <w:t>Extension of plantation interest</w:t>
      </w:r>
      <w:bookmarkEnd w:id="168"/>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69" w:name="_Toc383511486"/>
      <w:r>
        <w:rPr>
          <w:rStyle w:val="CharSectno"/>
        </w:rPr>
        <w:t>104P</w:t>
      </w:r>
      <w:r>
        <w:t>.</w:t>
      </w:r>
      <w:r>
        <w:tab/>
        <w:t>Variation of agreement</w:t>
      </w:r>
      <w:bookmarkEnd w:id="169"/>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70" w:name="_Toc383511487"/>
      <w:r>
        <w:rPr>
          <w:rStyle w:val="CharSectno"/>
        </w:rPr>
        <w:t>104Q</w:t>
      </w:r>
      <w:r>
        <w:t>.</w:t>
      </w:r>
      <w:r>
        <w:tab/>
        <w:t>Transfer of plantation interests</w:t>
      </w:r>
      <w:bookmarkEnd w:id="170"/>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71" w:name="_Toc383511488"/>
      <w:r>
        <w:rPr>
          <w:rStyle w:val="CharSectno"/>
        </w:rPr>
        <w:t>104R</w:t>
      </w:r>
      <w:r>
        <w:t>.</w:t>
      </w:r>
      <w:r>
        <w:tab/>
        <w:t>Mortgage of plantation interests</w:t>
      </w:r>
      <w:bookmarkEnd w:id="171"/>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72" w:name="_Toc383511489"/>
      <w:r>
        <w:rPr>
          <w:rStyle w:val="CharSectno"/>
        </w:rPr>
        <w:t>104S</w:t>
      </w:r>
      <w:r>
        <w:t>.</w:t>
      </w:r>
      <w:r>
        <w:tab/>
        <w:t>Surrender of plantation interests</w:t>
      </w:r>
      <w:bookmarkEnd w:id="172"/>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173" w:name="_Toc383511490"/>
      <w:r>
        <w:rPr>
          <w:rStyle w:val="CharDivNo"/>
        </w:rPr>
        <w:t>Division 3</w:t>
      </w:r>
      <w:r>
        <w:rPr>
          <w:snapToGrid w:val="0"/>
        </w:rPr>
        <w:t> — </w:t>
      </w:r>
      <w:r>
        <w:rPr>
          <w:rStyle w:val="CharDivText"/>
        </w:rPr>
        <w:t>Mortgages and annuities</w:t>
      </w:r>
      <w:bookmarkEnd w:id="173"/>
    </w:p>
    <w:p>
      <w:pPr>
        <w:pStyle w:val="Heading5"/>
        <w:spacing w:before="260"/>
        <w:rPr>
          <w:snapToGrid w:val="0"/>
        </w:rPr>
      </w:pPr>
      <w:bookmarkStart w:id="174" w:name="_Toc383511491"/>
      <w:r>
        <w:rPr>
          <w:rStyle w:val="CharSectno"/>
        </w:rPr>
        <w:t>105</w:t>
      </w:r>
      <w:r>
        <w:rPr>
          <w:snapToGrid w:val="0"/>
        </w:rPr>
        <w:t>.</w:t>
      </w:r>
      <w:r>
        <w:rPr>
          <w:snapToGrid w:val="0"/>
        </w:rPr>
        <w:tab/>
        <w:t>Mortgages and charges for annuities, creating</w:t>
      </w:r>
      <w:bookmarkEnd w:id="174"/>
    </w:p>
    <w:p>
      <w:pPr>
        <w:pStyle w:val="Subsection"/>
        <w:spacing w:before="200"/>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[Section 105 inserted by No. 81 of 1996 s. 65.]</w:t>
      </w:r>
    </w:p>
    <w:p>
      <w:pPr>
        <w:pStyle w:val="Heading5"/>
        <w:spacing w:before="260"/>
        <w:rPr>
          <w:snapToGrid w:val="0"/>
        </w:rPr>
      </w:pPr>
      <w:bookmarkStart w:id="175" w:name="_Toc383511492"/>
      <w:r>
        <w:rPr>
          <w:rStyle w:val="CharSectno"/>
        </w:rPr>
        <w:t>105A</w:t>
      </w:r>
      <w:r>
        <w:rPr>
          <w:snapToGrid w:val="0"/>
        </w:rPr>
        <w:t>.</w:t>
      </w:r>
      <w:r>
        <w:rPr>
          <w:snapToGrid w:val="0"/>
        </w:rPr>
        <w:tab/>
        <w:t>Extension of mortgage, charge or lease</w:t>
      </w:r>
      <w:bookmarkEnd w:id="175"/>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118(1).]</w:t>
      </w:r>
    </w:p>
    <w:p>
      <w:pPr>
        <w:pStyle w:val="Heading5"/>
        <w:rPr>
          <w:snapToGrid w:val="0"/>
        </w:rPr>
      </w:pPr>
      <w:bookmarkStart w:id="176" w:name="_Toc383511493"/>
      <w:r>
        <w:rPr>
          <w:rStyle w:val="CharSectno"/>
        </w:rPr>
        <w:t>106</w:t>
      </w:r>
      <w:r>
        <w:rPr>
          <w:snapToGrid w:val="0"/>
        </w:rPr>
        <w:t>.</w:t>
      </w:r>
      <w:r>
        <w:rPr>
          <w:snapToGrid w:val="0"/>
        </w:rPr>
        <w:tab/>
        <w:t>Mortgage or charge not to operate as transfer; default procedures</w:t>
      </w:r>
      <w:bookmarkEnd w:id="176"/>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p>
    <w:p>
      <w:pPr>
        <w:pStyle w:val="Heading5"/>
        <w:rPr>
          <w:snapToGrid w:val="0"/>
        </w:rPr>
      </w:pPr>
      <w:bookmarkStart w:id="177" w:name="_Toc383511494"/>
      <w:r>
        <w:rPr>
          <w:rStyle w:val="CharSectno"/>
        </w:rPr>
        <w:t>107</w:t>
      </w:r>
      <w:r>
        <w:rPr>
          <w:snapToGrid w:val="0"/>
        </w:rPr>
        <w:t>.</w:t>
      </w:r>
      <w:r>
        <w:rPr>
          <w:snapToGrid w:val="0"/>
        </w:rPr>
        <w:tab/>
        <w:t>Written demand equivalent to written notice</w:t>
      </w:r>
      <w:bookmarkEnd w:id="177"/>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78" w:name="_Toc383511495"/>
      <w:r>
        <w:rPr>
          <w:rStyle w:val="CharSectno"/>
        </w:rPr>
        <w:t>108</w:t>
      </w:r>
      <w:r>
        <w:rPr>
          <w:snapToGrid w:val="0"/>
        </w:rPr>
        <w:t>.</w:t>
      </w:r>
      <w:r>
        <w:rPr>
          <w:snapToGrid w:val="0"/>
        </w:rPr>
        <w:tab/>
        <w:t>Power to sell in cases of continuing default</w:t>
      </w:r>
      <w:bookmarkEnd w:id="178"/>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[Section 108 amended by No. 17 of 1950 s. 25; No. 31 of 1997 s. 110.]</w:t>
      </w:r>
    </w:p>
    <w:p>
      <w:pPr>
        <w:pStyle w:val="Heading5"/>
        <w:rPr>
          <w:snapToGrid w:val="0"/>
        </w:rPr>
      </w:pPr>
      <w:bookmarkStart w:id="179" w:name="_Toc383511496"/>
      <w:r>
        <w:rPr>
          <w:rStyle w:val="CharSectno"/>
        </w:rPr>
        <w:t>109</w:t>
      </w:r>
      <w:r>
        <w:rPr>
          <w:snapToGrid w:val="0"/>
        </w:rPr>
        <w:t>.</w:t>
      </w:r>
      <w:r>
        <w:rPr>
          <w:snapToGrid w:val="0"/>
        </w:rPr>
        <w:tab/>
        <w:t>Application of purchase money</w:t>
      </w:r>
      <w:bookmarkEnd w:id="179"/>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behalf;</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 No. 19 of 2010 s. 51.]</w:t>
      </w:r>
    </w:p>
    <w:p>
      <w:pPr>
        <w:pStyle w:val="Heading5"/>
        <w:spacing w:before="240"/>
        <w:rPr>
          <w:snapToGrid w:val="0"/>
        </w:rPr>
      </w:pPr>
      <w:bookmarkStart w:id="180" w:name="_Toc383511497"/>
      <w:r>
        <w:rPr>
          <w:rStyle w:val="CharSectno"/>
        </w:rPr>
        <w:t>110</w:t>
      </w:r>
      <w:r>
        <w:rPr>
          <w:snapToGrid w:val="0"/>
        </w:rPr>
        <w:t>.</w:t>
      </w:r>
      <w:r>
        <w:rPr>
          <w:snapToGrid w:val="0"/>
        </w:rPr>
        <w:tab/>
        <w:t>Transfer after sale by mortgagee etc., effect of</w:t>
      </w:r>
      <w:bookmarkEnd w:id="180"/>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p>
    <w:p>
      <w:pPr>
        <w:pStyle w:val="Heading5"/>
        <w:spacing w:before="240"/>
        <w:rPr>
          <w:snapToGrid w:val="0"/>
        </w:rPr>
      </w:pPr>
      <w:bookmarkStart w:id="181" w:name="_Toc383511498"/>
      <w:r>
        <w:rPr>
          <w:rStyle w:val="CharSectno"/>
        </w:rPr>
        <w:t>111</w:t>
      </w:r>
      <w:r>
        <w:rPr>
          <w:snapToGrid w:val="0"/>
        </w:rPr>
        <w:t>.</w:t>
      </w:r>
      <w:r>
        <w:rPr>
          <w:snapToGrid w:val="0"/>
        </w:rPr>
        <w:tab/>
        <w:t>Remedies of mortgagee or annuitant in cases of default</w:t>
      </w:r>
      <w:bookmarkEnd w:id="181"/>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p>
    <w:p>
      <w:pPr>
        <w:pStyle w:val="Heading5"/>
        <w:spacing w:before="240"/>
        <w:rPr>
          <w:snapToGrid w:val="0"/>
        </w:rPr>
      </w:pPr>
      <w:bookmarkStart w:id="182" w:name="_Toc383511499"/>
      <w:r>
        <w:rPr>
          <w:rStyle w:val="CharSectno"/>
        </w:rPr>
        <w:t>112</w:t>
      </w:r>
      <w:r>
        <w:rPr>
          <w:snapToGrid w:val="0"/>
        </w:rPr>
        <w:t>.</w:t>
      </w:r>
      <w:r>
        <w:rPr>
          <w:snapToGrid w:val="0"/>
        </w:rPr>
        <w:tab/>
        <w:t>Further remedies of mortgagee or annuitant</w:t>
      </w:r>
      <w:bookmarkEnd w:id="182"/>
    </w:p>
    <w:p>
      <w:pPr>
        <w:pStyle w:val="Subsection"/>
        <w:spacing w:before="180"/>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spacing w:before="180"/>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spacing w:before="180"/>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[Section 112 amended by No. 17 of 1950 s. 28; No. 19 of 2010 s. 51.]</w:t>
      </w:r>
    </w:p>
    <w:p>
      <w:pPr>
        <w:pStyle w:val="Heading5"/>
        <w:spacing w:before="240"/>
        <w:rPr>
          <w:snapToGrid w:val="0"/>
        </w:rPr>
      </w:pPr>
      <w:bookmarkStart w:id="183" w:name="_Toc383511500"/>
      <w:r>
        <w:rPr>
          <w:rStyle w:val="CharSectno"/>
        </w:rPr>
        <w:t>112A</w:t>
      </w:r>
      <w:r>
        <w:rPr>
          <w:snapToGrid w:val="0"/>
        </w:rPr>
        <w:t>.</w:t>
      </w:r>
      <w:r>
        <w:rPr>
          <w:snapToGrid w:val="0"/>
        </w:rPr>
        <w:tab/>
        <w:t>Abolition of power of distress</w:t>
      </w:r>
      <w:bookmarkEnd w:id="183"/>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p>
    <w:p>
      <w:pPr>
        <w:pStyle w:val="Heading5"/>
        <w:spacing w:before="240"/>
        <w:rPr>
          <w:snapToGrid w:val="0"/>
        </w:rPr>
      </w:pPr>
      <w:bookmarkStart w:id="184" w:name="_Toc383511501"/>
      <w:r>
        <w:rPr>
          <w:rStyle w:val="CharSectno"/>
        </w:rPr>
        <w:t>113</w:t>
      </w:r>
      <w:r>
        <w:rPr>
          <w:snapToGrid w:val="0"/>
        </w:rPr>
        <w:t>.</w:t>
      </w:r>
      <w:r>
        <w:rPr>
          <w:snapToGrid w:val="0"/>
        </w:rPr>
        <w:tab/>
        <w:t>Covenants implied in mortgages</w:t>
      </w:r>
      <w:bookmarkEnd w:id="184"/>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85" w:name="_Toc383511502"/>
      <w:r>
        <w:rPr>
          <w:rStyle w:val="CharSectno"/>
        </w:rPr>
        <w:t>114</w:t>
      </w:r>
      <w:r>
        <w:rPr>
          <w:snapToGrid w:val="0"/>
        </w:rPr>
        <w:t>.</w:t>
      </w:r>
      <w:r>
        <w:rPr>
          <w:snapToGrid w:val="0"/>
        </w:rPr>
        <w:tab/>
        <w:t>Mortgagee or annuitant of leasehold entering into possession become liable to lessor</w:t>
      </w:r>
      <w:bookmarkEnd w:id="185"/>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86" w:name="_Toc383511503"/>
      <w:r>
        <w:rPr>
          <w:rStyle w:val="CharSectno"/>
        </w:rPr>
        <w:t>115</w:t>
      </w:r>
      <w:r>
        <w:rPr>
          <w:snapToGrid w:val="0"/>
        </w:rPr>
        <w:t>.</w:t>
      </w:r>
      <w:r>
        <w:rPr>
          <w:snapToGrid w:val="0"/>
        </w:rPr>
        <w:tab/>
        <w:t>Short form of covenant by mortgagor to insure</w:t>
      </w:r>
      <w:bookmarkEnd w:id="186"/>
    </w:p>
    <w:p>
      <w:pPr>
        <w:pStyle w:val="Subsection"/>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by No. 19 of 2010 s. 51.]</w:t>
      </w:r>
    </w:p>
    <w:p>
      <w:pPr>
        <w:pStyle w:val="Heading5"/>
        <w:rPr>
          <w:snapToGrid w:val="0"/>
        </w:rPr>
      </w:pPr>
      <w:bookmarkStart w:id="187" w:name="_Toc383511504"/>
      <w:r>
        <w:rPr>
          <w:rStyle w:val="CharSectno"/>
        </w:rPr>
        <w:t>116</w:t>
      </w:r>
      <w:r>
        <w:rPr>
          <w:snapToGrid w:val="0"/>
        </w:rPr>
        <w:t>.</w:t>
      </w:r>
      <w:r>
        <w:rPr>
          <w:snapToGrid w:val="0"/>
        </w:rPr>
        <w:tab/>
        <w:t>Rights of mortgagees generally</w:t>
      </w:r>
      <w:bookmarkEnd w:id="187"/>
    </w:p>
    <w:p>
      <w:pPr>
        <w:pStyle w:val="Subsection"/>
        <w:spacing w:before="20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spacing w:before="200"/>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[Section 116 amended by No. 81 of 1996 s. 145(1); No. 59 of 2004 s. 140; No. 19 of 2010 s. 51.]</w:t>
      </w:r>
    </w:p>
    <w:p>
      <w:pPr>
        <w:pStyle w:val="Heading5"/>
        <w:rPr>
          <w:snapToGrid w:val="0"/>
        </w:rPr>
      </w:pPr>
      <w:bookmarkStart w:id="188" w:name="_Toc383511505"/>
      <w:r>
        <w:rPr>
          <w:rStyle w:val="CharSectno"/>
        </w:rPr>
        <w:t>117</w:t>
      </w:r>
      <w:r>
        <w:rPr>
          <w:snapToGrid w:val="0"/>
        </w:rPr>
        <w:t>.</w:t>
      </w:r>
      <w:r>
        <w:rPr>
          <w:snapToGrid w:val="0"/>
        </w:rPr>
        <w:tab/>
        <w:t>Mortgagor not to sue on cause of action available to mortgagee without mortgagee’s consent</w:t>
      </w:r>
      <w:bookmarkEnd w:id="188"/>
    </w:p>
    <w:p>
      <w:pPr>
        <w:pStyle w:val="Subsection"/>
        <w:spacing w:before="200"/>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spacing w:before="200"/>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by No. 19 of 2010 s. 51.]</w:t>
      </w:r>
    </w:p>
    <w:p>
      <w:pPr>
        <w:pStyle w:val="Heading5"/>
        <w:spacing w:before="260"/>
        <w:rPr>
          <w:snapToGrid w:val="0"/>
        </w:rPr>
      </w:pPr>
      <w:bookmarkStart w:id="189" w:name="_Toc383511506"/>
      <w:r>
        <w:rPr>
          <w:rStyle w:val="CharSectno"/>
        </w:rPr>
        <w:t>118</w:t>
      </w:r>
      <w:r>
        <w:t>.</w:t>
      </w:r>
      <w:r>
        <w:rPr>
          <w:rStyle w:val="CharSectno"/>
        </w:rPr>
        <w:tab/>
      </w:r>
      <w:r>
        <w:rPr>
          <w:snapToGrid w:val="0"/>
        </w:rPr>
        <w:t>Application of money obtained by mortgagor in action for waste of or damage to mortgaged lands</w:t>
      </w:r>
      <w:bookmarkEnd w:id="189"/>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90" w:name="_Toc383511507"/>
      <w:r>
        <w:rPr>
          <w:rStyle w:val="CharSectno"/>
        </w:rPr>
        <w:t>119</w:t>
      </w:r>
      <w:r>
        <w:rPr>
          <w:snapToGrid w:val="0"/>
        </w:rPr>
        <w:t>.</w:t>
      </w:r>
      <w:r>
        <w:rPr>
          <w:snapToGrid w:val="0"/>
        </w:rPr>
        <w:tab/>
        <w:t>Mortgagee may seek court order as to money recovered by mortgagor in action</w:t>
      </w:r>
      <w:bookmarkEnd w:id="190"/>
    </w:p>
    <w:p>
      <w:pPr>
        <w:pStyle w:val="Subsection"/>
        <w:spacing w:before="200"/>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by No. 113 of 1965 s. 4; No. 59 of 2004 s. 140; No. 19 of 2010 s. 51.]</w:t>
      </w:r>
    </w:p>
    <w:p>
      <w:pPr>
        <w:pStyle w:val="Heading5"/>
        <w:rPr>
          <w:snapToGrid w:val="0"/>
        </w:rPr>
      </w:pPr>
      <w:bookmarkStart w:id="191" w:name="_Toc383511508"/>
      <w:r>
        <w:rPr>
          <w:rStyle w:val="CharSectno"/>
        </w:rPr>
        <w:t>120</w:t>
      </w:r>
      <w:r>
        <w:rPr>
          <w:snapToGrid w:val="0"/>
        </w:rPr>
        <w:t>.</w:t>
      </w:r>
      <w:r>
        <w:rPr>
          <w:snapToGrid w:val="0"/>
        </w:rPr>
        <w:tab/>
        <w:t>Application of moneys obtained by mortgagee in action</w:t>
      </w:r>
      <w:bookmarkEnd w:id="191"/>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192" w:name="_Toc383511509"/>
      <w:r>
        <w:rPr>
          <w:rStyle w:val="CharSectno"/>
        </w:rPr>
        <w:t>121</w:t>
      </w:r>
      <w:r>
        <w:rPr>
          <w:snapToGrid w:val="0"/>
        </w:rPr>
        <w:t>.</w:t>
      </w:r>
      <w:r>
        <w:rPr>
          <w:snapToGrid w:val="0"/>
        </w:rPr>
        <w:tab/>
        <w:t>Foreclosure, application for order for</w:t>
      </w:r>
      <w:bookmarkEnd w:id="192"/>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 No. 19 of 2010 s. 51.]</w:t>
      </w:r>
    </w:p>
    <w:p>
      <w:pPr>
        <w:pStyle w:val="Heading5"/>
        <w:keepLines w:val="0"/>
        <w:spacing w:before="260"/>
        <w:rPr>
          <w:snapToGrid w:val="0"/>
        </w:rPr>
      </w:pPr>
      <w:bookmarkStart w:id="193" w:name="_Toc383511510"/>
      <w:r>
        <w:rPr>
          <w:rStyle w:val="CharSectno"/>
        </w:rPr>
        <w:t>122</w:t>
      </w:r>
      <w:r>
        <w:rPr>
          <w:snapToGrid w:val="0"/>
        </w:rPr>
        <w:t>.</w:t>
      </w:r>
      <w:r>
        <w:rPr>
          <w:snapToGrid w:val="0"/>
        </w:rPr>
        <w:tab/>
        <w:t>Application for foreclosure to be advertised</w:t>
      </w:r>
      <w:bookmarkEnd w:id="193"/>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[Section 122 amended by No. 81 of 1996 s. 69 and 145(1).]</w:t>
      </w:r>
    </w:p>
    <w:p>
      <w:pPr>
        <w:pStyle w:val="Heading5"/>
        <w:spacing w:before="260"/>
        <w:rPr>
          <w:snapToGrid w:val="0"/>
        </w:rPr>
      </w:pPr>
      <w:bookmarkStart w:id="194" w:name="_Toc383511511"/>
      <w:r>
        <w:rPr>
          <w:rStyle w:val="CharSectno"/>
        </w:rPr>
        <w:t>123</w:t>
      </w:r>
      <w:r>
        <w:rPr>
          <w:snapToGrid w:val="0"/>
        </w:rPr>
        <w:t>.</w:t>
      </w:r>
      <w:r>
        <w:rPr>
          <w:snapToGrid w:val="0"/>
        </w:rPr>
        <w:tab/>
        <w:t>Discharge of mortgages and annuities</w:t>
      </w:r>
      <w:bookmarkEnd w:id="194"/>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p>
    <w:p>
      <w:pPr>
        <w:pStyle w:val="Heading5"/>
        <w:rPr>
          <w:snapToGrid w:val="0"/>
        </w:rPr>
      </w:pPr>
      <w:bookmarkStart w:id="195" w:name="_Toc383511512"/>
      <w:r>
        <w:rPr>
          <w:rStyle w:val="CharSectno"/>
        </w:rPr>
        <w:t>124</w:t>
      </w:r>
      <w:r>
        <w:rPr>
          <w:snapToGrid w:val="0"/>
        </w:rPr>
        <w:t>.</w:t>
      </w:r>
      <w:r>
        <w:rPr>
          <w:snapToGrid w:val="0"/>
        </w:rPr>
        <w:tab/>
        <w:t>Mortgages etc. made before land brought under this Act</w:t>
      </w:r>
      <w:bookmarkEnd w:id="195"/>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p>
    <w:p>
      <w:pPr>
        <w:pStyle w:val="Heading5"/>
        <w:rPr>
          <w:snapToGrid w:val="0"/>
        </w:rPr>
      </w:pPr>
      <w:bookmarkStart w:id="196" w:name="_Toc383511513"/>
      <w:r>
        <w:rPr>
          <w:rStyle w:val="CharSectno"/>
        </w:rPr>
        <w:t>125</w:t>
      </w:r>
      <w:r>
        <w:rPr>
          <w:snapToGrid w:val="0"/>
        </w:rPr>
        <w:t>.</w:t>
      </w:r>
      <w:r>
        <w:rPr>
          <w:snapToGrid w:val="0"/>
        </w:rPr>
        <w:tab/>
        <w:t>Entry of satisfaction of annuity</w:t>
      </w:r>
      <w:bookmarkEnd w:id="196"/>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p>
    <w:p>
      <w:pPr>
        <w:pStyle w:val="Heading5"/>
        <w:rPr>
          <w:snapToGrid w:val="0"/>
        </w:rPr>
      </w:pPr>
      <w:bookmarkStart w:id="197" w:name="_Toc383511514"/>
      <w:r>
        <w:rPr>
          <w:rStyle w:val="CharSectno"/>
        </w:rPr>
        <w:t>126</w:t>
      </w:r>
      <w:r>
        <w:rPr>
          <w:snapToGrid w:val="0"/>
        </w:rPr>
        <w:t>.</w:t>
      </w:r>
      <w:r>
        <w:rPr>
          <w:snapToGrid w:val="0"/>
        </w:rPr>
        <w:tab/>
        <w:t>Payments under and discharge of mortgages when mortgagee absent from State etc.</w:t>
      </w:r>
      <w:bookmarkEnd w:id="197"/>
    </w:p>
    <w:p>
      <w:pPr>
        <w:pStyle w:val="Subsection"/>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4; No. 19 of 2010 s. 51.]</w:t>
      </w:r>
    </w:p>
    <w:p>
      <w:pPr>
        <w:pStyle w:val="Heading5"/>
        <w:spacing w:before="180"/>
        <w:rPr>
          <w:snapToGrid w:val="0"/>
        </w:rPr>
      </w:pPr>
      <w:bookmarkStart w:id="198" w:name="_Toc383511515"/>
      <w:r>
        <w:rPr>
          <w:rStyle w:val="CharSectno"/>
        </w:rPr>
        <w:t>127</w:t>
      </w:r>
      <w:r>
        <w:rPr>
          <w:snapToGrid w:val="0"/>
        </w:rPr>
        <w:t>.</w:t>
      </w:r>
      <w:r>
        <w:rPr>
          <w:snapToGrid w:val="0"/>
        </w:rPr>
        <w:tab/>
        <w:t>First mortgagee to produce title for registration of subsequent instrument</w:t>
      </w:r>
      <w:bookmarkEnd w:id="198"/>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99" w:name="_Toc383511516"/>
      <w:r>
        <w:rPr>
          <w:rStyle w:val="CharSectno"/>
        </w:rPr>
        <w:t>128</w:t>
      </w:r>
      <w:r>
        <w:rPr>
          <w:snapToGrid w:val="0"/>
        </w:rPr>
        <w:t>.</w:t>
      </w:r>
      <w:r>
        <w:rPr>
          <w:snapToGrid w:val="0"/>
        </w:rPr>
        <w:tab/>
        <w:t>Land brought under this Act subject to mortgage, rights of mortgagee etc.</w:t>
      </w:r>
      <w:bookmarkEnd w:id="199"/>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200" w:name="_Toc383511517"/>
      <w:r>
        <w:rPr>
          <w:rStyle w:val="CharSectno"/>
        </w:rPr>
        <w:t>128A</w:t>
      </w:r>
      <w:r>
        <w:rPr>
          <w:snapToGrid w:val="0"/>
        </w:rPr>
        <w:t>.</w:t>
      </w:r>
      <w:r>
        <w:rPr>
          <w:snapToGrid w:val="0"/>
        </w:rPr>
        <w:tab/>
        <w:t>Another mortgagee may tender payment</w:t>
      </w:r>
      <w:bookmarkEnd w:id="200"/>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p>
    <w:p>
      <w:pPr>
        <w:pStyle w:val="Ednotesection"/>
        <w:spacing w:before="240"/>
        <w:ind w:left="890" w:hanging="890"/>
      </w:pPr>
      <w:r>
        <w:t>[</w:t>
      </w:r>
      <w:r>
        <w:rPr>
          <w:b/>
        </w:rPr>
        <w:t>129.</w:t>
      </w:r>
      <w:r>
        <w:tab/>
        <w:t>Deleted by No. 26 of 1999 s. 106(4).]</w:t>
      </w:r>
    </w:p>
    <w:p>
      <w:pPr>
        <w:pStyle w:val="Heading3"/>
        <w:spacing w:before="260"/>
      </w:pPr>
      <w:bookmarkStart w:id="201" w:name="_Toc383511518"/>
      <w:r>
        <w:rPr>
          <w:rStyle w:val="CharDivNo"/>
        </w:rPr>
        <w:t>Division 3A</w:t>
      </w:r>
      <w:r>
        <w:rPr>
          <w:snapToGrid w:val="0"/>
        </w:rPr>
        <w:t> — </w:t>
      </w:r>
      <w:r>
        <w:rPr>
          <w:rStyle w:val="CharDivText"/>
        </w:rPr>
        <w:t>Restrictive covenants and the modification, discharge and enforcement of restrictive covenants and easements</w:t>
      </w:r>
      <w:bookmarkEnd w:id="201"/>
    </w:p>
    <w:p>
      <w:pPr>
        <w:pStyle w:val="Footnoteheading"/>
        <w:spacing w:before="160"/>
        <w:rPr>
          <w:snapToGrid w:val="0"/>
        </w:rPr>
      </w:pPr>
      <w:r>
        <w:rPr>
          <w:snapToGrid w:val="0"/>
        </w:rPr>
        <w:tab/>
        <w:t>[Heading inserted by No. 81 of 1996 s. 73.]</w:t>
      </w:r>
    </w:p>
    <w:p>
      <w:pPr>
        <w:pStyle w:val="Heading5"/>
        <w:spacing w:before="240"/>
        <w:rPr>
          <w:snapToGrid w:val="0"/>
        </w:rPr>
      </w:pPr>
      <w:bookmarkStart w:id="202" w:name="_Toc383511519"/>
      <w:r>
        <w:rPr>
          <w:rStyle w:val="CharSectno"/>
        </w:rPr>
        <w:t>129A</w:t>
      </w:r>
      <w:r>
        <w:rPr>
          <w:snapToGrid w:val="0"/>
        </w:rPr>
        <w:t>.</w:t>
      </w:r>
      <w:r>
        <w:rPr>
          <w:snapToGrid w:val="0"/>
        </w:rPr>
        <w:tab/>
        <w:t>Creation of restrictive covenants</w:t>
      </w:r>
      <w:bookmarkEnd w:id="202"/>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3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3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30"/>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16.]</w:t>
      </w:r>
    </w:p>
    <w:p>
      <w:pPr>
        <w:pStyle w:val="Heading5"/>
        <w:keepLines w:val="0"/>
        <w:spacing w:before="180"/>
        <w:rPr>
          <w:snapToGrid w:val="0"/>
        </w:rPr>
      </w:pPr>
      <w:bookmarkStart w:id="203" w:name="_Toc383511520"/>
      <w:r>
        <w:rPr>
          <w:rStyle w:val="CharSectno"/>
        </w:rPr>
        <w:t>129B</w:t>
      </w:r>
      <w:r>
        <w:rPr>
          <w:snapToGrid w:val="0"/>
        </w:rPr>
        <w:t>.</w:t>
      </w:r>
      <w:r>
        <w:rPr>
          <w:snapToGrid w:val="0"/>
        </w:rPr>
        <w:tab/>
        <w:t>Discharge and modification of restrictive covenants</w:t>
      </w:r>
      <w:bookmarkEnd w:id="203"/>
    </w:p>
    <w:p>
      <w:pPr>
        <w:pStyle w:val="Subsection"/>
        <w:spacing w:before="13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3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[Section 129B inserted by No. 17 of 1950 s. 34; amended by No. 81 of 1996 s. 75.]</w:t>
      </w:r>
    </w:p>
    <w:p>
      <w:pPr>
        <w:pStyle w:val="Heading5"/>
        <w:spacing w:before="180"/>
        <w:rPr>
          <w:snapToGrid w:val="0"/>
        </w:rPr>
      </w:pPr>
      <w:bookmarkStart w:id="204" w:name="_Toc383511521"/>
      <w:r>
        <w:rPr>
          <w:rStyle w:val="CharSectno"/>
        </w:rPr>
        <w:t>129BA</w:t>
      </w:r>
      <w:r>
        <w:rPr>
          <w:snapToGrid w:val="0"/>
        </w:rPr>
        <w:t>.</w:t>
      </w:r>
      <w:r>
        <w:rPr>
          <w:snapToGrid w:val="0"/>
        </w:rPr>
        <w:tab/>
        <w:t>Restrictive covenants benefiting local governments and public authorities</w:t>
      </w:r>
      <w:bookmarkEnd w:id="204"/>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p>
    <w:p>
      <w:pPr>
        <w:pStyle w:val="Heading5"/>
        <w:keepLines w:val="0"/>
        <w:spacing w:before="180"/>
      </w:pPr>
      <w:bookmarkStart w:id="205" w:name="_Toc383511522"/>
      <w:r>
        <w:rPr>
          <w:rStyle w:val="CharSectno"/>
        </w:rPr>
        <w:t>129BB</w:t>
      </w:r>
      <w:r>
        <w:t>.</w:t>
      </w:r>
      <w:r>
        <w:tab/>
        <w:t>Discharge and modification of s. 129BA covenants</w:t>
      </w:r>
      <w:bookmarkEnd w:id="205"/>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spacing w:before="60"/>
        <w:rPr>
          <w:snapToGrid w:val="0"/>
        </w:rPr>
      </w:pPr>
      <w:r>
        <w:rPr>
          <w:snapToGrid w:val="0"/>
        </w:rPr>
        <w:tab/>
        <w:t>(a)</w:t>
      </w:r>
      <w:r>
        <w:rPr>
          <w:snapToGrid w:val="0"/>
        </w:rPr>
        <w:tab/>
        <w:t>the written consent of —</w:t>
      </w:r>
    </w:p>
    <w:p>
      <w:pPr>
        <w:pStyle w:val="Indenti"/>
        <w:spacing w:before="60"/>
        <w:rPr>
          <w:snapToGrid w:val="0"/>
        </w:rPr>
      </w:pPr>
      <w:r>
        <w:rPr>
          <w:snapToGrid w:val="0"/>
        </w:rPr>
        <w:tab/>
        <w:t>(i)</w:t>
      </w:r>
      <w:r>
        <w:rPr>
          <w:snapToGrid w:val="0"/>
        </w:rPr>
        <w:tab/>
        <w:t xml:space="preserve">the </w:t>
      </w:r>
      <w:r>
        <w:t>relevant</w:t>
      </w:r>
      <w:r>
        <w:rPr>
          <w:snapToGrid w:val="0"/>
        </w:rPr>
        <w:t xml:space="preserve"> authority; and</w:t>
      </w:r>
    </w:p>
    <w:p>
      <w:pPr>
        <w:pStyle w:val="Indenti"/>
        <w:spacing w:before="60"/>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spacing w:before="60"/>
        <w:rPr>
          <w:snapToGrid w:val="0"/>
        </w:rPr>
      </w:pPr>
      <w:r>
        <w:rPr>
          <w:snapToGrid w:val="0"/>
        </w:rPr>
        <w:tab/>
      </w:r>
      <w:r>
        <w:rPr>
          <w:snapToGrid w:val="0"/>
        </w:rPr>
        <w:tab/>
        <w:t>to the discharge or the modification of the restrictive covenant as proposed; or</w:t>
      </w:r>
    </w:p>
    <w:p>
      <w:pPr>
        <w:pStyle w:val="Indenta"/>
        <w:spacing w:before="60"/>
        <w:rPr>
          <w:snapToGrid w:val="0"/>
        </w:rPr>
      </w:pPr>
      <w:r>
        <w:rPr>
          <w:snapToGrid w:val="0"/>
        </w:rPr>
        <w:tab/>
        <w:t>(b)</w:t>
      </w:r>
      <w:r>
        <w:rPr>
          <w:snapToGrid w:val="0"/>
        </w:rPr>
        <w:tab/>
        <w:t>the documents referred to in subsection (3).</w:t>
      </w:r>
    </w:p>
    <w:p>
      <w:pPr>
        <w:pStyle w:val="Subsection"/>
        <w:spacing w:before="100"/>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spacing w:before="60"/>
        <w:rPr>
          <w:snapToGrid w:val="0"/>
        </w:rPr>
      </w:pPr>
      <w:r>
        <w:rPr>
          <w:snapToGrid w:val="0"/>
        </w:rPr>
        <w:tab/>
        <w:t>(a)</w:t>
      </w:r>
      <w:r>
        <w:rPr>
          <w:snapToGrid w:val="0"/>
        </w:rPr>
        <w:tab/>
        <w:t>the applicant’s statutory declaration to the effect that —</w:t>
      </w:r>
    </w:p>
    <w:p>
      <w:pPr>
        <w:pStyle w:val="Indenti"/>
        <w:spacing w:before="60"/>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w:t>
      </w:r>
    </w:p>
    <w:p>
      <w:pPr>
        <w:pStyle w:val="IndentI0"/>
        <w:spacing w:before="60"/>
        <w:rPr>
          <w:snapToGrid w:val="0"/>
        </w:rPr>
      </w:pPr>
      <w:r>
        <w:rPr>
          <w:snapToGrid w:val="0"/>
        </w:rPr>
        <w:tab/>
        <w:t>(I)</w:t>
      </w:r>
      <w:r>
        <w:rPr>
          <w:snapToGrid w:val="0"/>
        </w:rPr>
        <w:tab/>
        <w:t>at least 28 days before the day on which the application is made;</w:t>
      </w:r>
    </w:p>
    <w:p>
      <w:pPr>
        <w:pStyle w:val="IndentI0"/>
        <w:spacing w:before="60"/>
        <w:rPr>
          <w:snapToGrid w:val="0"/>
        </w:rPr>
      </w:pPr>
      <w:r>
        <w:rPr>
          <w:snapToGrid w:val="0"/>
        </w:rPr>
        <w:tab/>
        <w:t>(II)</w:t>
      </w:r>
      <w:r>
        <w:rPr>
          <w:snapToGrid w:val="0"/>
        </w:rPr>
        <w:tab/>
        <w:t>in a newspaper circulating either throughout the State or in the district where the land is situated;</w:t>
      </w:r>
    </w:p>
    <w:p>
      <w:pPr>
        <w:pStyle w:val="Indenti"/>
        <w:spacing w:before="60"/>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[Section 129BB inserted by No. 81 of 1996 s. 76.]</w:t>
      </w:r>
    </w:p>
    <w:p>
      <w:pPr>
        <w:pStyle w:val="Heading5"/>
        <w:rPr>
          <w:snapToGrid w:val="0"/>
        </w:rPr>
      </w:pPr>
      <w:bookmarkStart w:id="206" w:name="_Toc383511523"/>
      <w:r>
        <w:rPr>
          <w:rStyle w:val="CharSectno"/>
        </w:rPr>
        <w:t>129C</w:t>
      </w:r>
      <w:r>
        <w:rPr>
          <w:snapToGrid w:val="0"/>
        </w:rPr>
        <w:t>.</w:t>
      </w:r>
      <w:r>
        <w:rPr>
          <w:snapToGrid w:val="0"/>
        </w:rPr>
        <w:tab/>
        <w:t>Supreme Court’s powers as to easements etc.</w:t>
      </w:r>
      <w:bookmarkEnd w:id="206"/>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p>
    <w:p>
      <w:pPr>
        <w:pStyle w:val="Heading3"/>
      </w:pPr>
      <w:bookmarkStart w:id="207" w:name="_Toc383511524"/>
      <w:r>
        <w:rPr>
          <w:rStyle w:val="CharDivNo"/>
        </w:rPr>
        <w:t>Division 4</w:t>
      </w:r>
      <w:r>
        <w:rPr>
          <w:snapToGrid w:val="0"/>
        </w:rPr>
        <w:t> — </w:t>
      </w:r>
      <w:r>
        <w:rPr>
          <w:rStyle w:val="CharDivText"/>
        </w:rPr>
        <w:t>Miscellaneous</w:t>
      </w:r>
      <w:bookmarkEnd w:id="207"/>
    </w:p>
    <w:p>
      <w:pPr>
        <w:pStyle w:val="Heading5"/>
        <w:spacing w:before="200"/>
        <w:rPr>
          <w:snapToGrid w:val="0"/>
        </w:rPr>
      </w:pPr>
      <w:bookmarkStart w:id="208" w:name="_Toc383511525"/>
      <w:r>
        <w:rPr>
          <w:rStyle w:val="CharSectno"/>
        </w:rPr>
        <w:t>130</w:t>
      </w:r>
      <w:r>
        <w:rPr>
          <w:snapToGrid w:val="0"/>
        </w:rPr>
        <w:t>.</w:t>
      </w:r>
      <w:r>
        <w:rPr>
          <w:snapToGrid w:val="0"/>
        </w:rPr>
        <w:tab/>
        <w:t>Seal of corporation substitute for signature</w:t>
      </w:r>
      <w:bookmarkEnd w:id="208"/>
    </w:p>
    <w:p>
      <w:pPr>
        <w:pStyle w:val="Subsection"/>
        <w:spacing w:before="120"/>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100"/>
        <w:ind w:left="890" w:hanging="890"/>
      </w:pPr>
      <w:r>
        <w:tab/>
        <w:t>[Section 130 amended No. 19 of 2010 s. 51.]</w:t>
      </w:r>
    </w:p>
    <w:p>
      <w:pPr>
        <w:pStyle w:val="Heading5"/>
        <w:spacing w:before="200"/>
        <w:rPr>
          <w:snapToGrid w:val="0"/>
        </w:rPr>
      </w:pPr>
      <w:bookmarkStart w:id="209" w:name="_Toc383511526"/>
      <w:r>
        <w:rPr>
          <w:rStyle w:val="CharSectno"/>
        </w:rPr>
        <w:t>131</w:t>
      </w:r>
      <w:r>
        <w:rPr>
          <w:snapToGrid w:val="0"/>
        </w:rPr>
        <w:t>.</w:t>
      </w:r>
      <w:r>
        <w:rPr>
          <w:snapToGrid w:val="0"/>
        </w:rPr>
        <w:tab/>
        <w:t>Implied covenants and powers may be modified or negatived</w:t>
      </w:r>
      <w:bookmarkEnd w:id="209"/>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100"/>
        <w:ind w:left="890" w:hanging="890"/>
      </w:pPr>
      <w:r>
        <w:tab/>
        <w:t>[Section 131 amended by No. 17 of 1950 s. 35.]</w:t>
      </w:r>
    </w:p>
    <w:p>
      <w:pPr>
        <w:pStyle w:val="Ednotesection"/>
      </w:pPr>
      <w:r>
        <w:t>[</w:t>
      </w:r>
      <w:r>
        <w:rPr>
          <w:b/>
        </w:rPr>
        <w:t>132.</w:t>
      </w:r>
      <w:r>
        <w:tab/>
        <w:t>Deleted by No. 17 of 1950 s. 36.]</w:t>
      </w:r>
    </w:p>
    <w:p>
      <w:pPr>
        <w:pStyle w:val="Heading5"/>
      </w:pPr>
      <w:bookmarkStart w:id="210" w:name="_Toc383511527"/>
      <w:r>
        <w:rPr>
          <w:rStyle w:val="CharSectno"/>
        </w:rPr>
        <w:t>133</w:t>
      </w:r>
      <w:r>
        <w:t>.</w:t>
      </w:r>
      <w:r>
        <w:tab/>
        <w:t>Property (seizure and sale) order, registration of etc.</w:t>
      </w:r>
      <w:bookmarkEnd w:id="210"/>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by No. 59 of 2004 s. 138; amended by No. 5 of 2008 s. 122.]</w:t>
      </w:r>
    </w:p>
    <w:p>
      <w:pPr>
        <w:pStyle w:val="Heading5"/>
        <w:rPr>
          <w:snapToGrid w:val="0"/>
        </w:rPr>
      </w:pPr>
      <w:bookmarkStart w:id="211" w:name="_Toc383511528"/>
      <w:r>
        <w:rPr>
          <w:rStyle w:val="CharSectno"/>
        </w:rPr>
        <w:t>134</w:t>
      </w:r>
      <w:r>
        <w:rPr>
          <w:snapToGrid w:val="0"/>
        </w:rPr>
        <w:t>.</w:t>
      </w:r>
      <w:r>
        <w:rPr>
          <w:snapToGrid w:val="0"/>
        </w:rPr>
        <w:tab/>
        <w:t>Purchaser from registered proprietor not required to inquire into title and not affected by notice of unregistered interest etc.</w:t>
      </w:r>
      <w:bookmarkEnd w:id="211"/>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p>
    <w:p>
      <w:pPr>
        <w:pStyle w:val="Heading5"/>
        <w:rPr>
          <w:snapToGrid w:val="0"/>
        </w:rPr>
      </w:pPr>
      <w:bookmarkStart w:id="212" w:name="_Toc383511529"/>
      <w:r>
        <w:rPr>
          <w:rStyle w:val="CharSectno"/>
        </w:rPr>
        <w:t>135</w:t>
      </w:r>
      <w:r>
        <w:rPr>
          <w:snapToGrid w:val="0"/>
        </w:rPr>
        <w:t>.</w:t>
      </w:r>
      <w:r>
        <w:rPr>
          <w:snapToGrid w:val="0"/>
        </w:rPr>
        <w:tab/>
        <w:t>Transferee of tenant in tail may be registered for larger estate which tenant in tail can confer</w:t>
      </w:r>
      <w:bookmarkEnd w:id="212"/>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p>
    <w:p>
      <w:pPr>
        <w:pStyle w:val="Heading5"/>
        <w:rPr>
          <w:snapToGrid w:val="0"/>
        </w:rPr>
      </w:pPr>
      <w:bookmarkStart w:id="213" w:name="_Toc383511530"/>
      <w:r>
        <w:rPr>
          <w:rStyle w:val="CharSectno"/>
        </w:rPr>
        <w:t>136</w:t>
      </w:r>
      <w:r>
        <w:rPr>
          <w:snapToGrid w:val="0"/>
        </w:rPr>
        <w:t>.</w:t>
      </w:r>
      <w:r>
        <w:rPr>
          <w:snapToGrid w:val="0"/>
        </w:rPr>
        <w:tab/>
        <w:t>Registrar to furnish plan showing land dealt with where memorandum on certificate does not describe the land</w:t>
      </w:r>
      <w:bookmarkEnd w:id="213"/>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42; No. 19 of 2010 s. 51.]</w:t>
      </w:r>
    </w:p>
    <w:p>
      <w:pPr>
        <w:pStyle w:val="Heading2"/>
      </w:pPr>
      <w:bookmarkStart w:id="214" w:name="_Toc383511531"/>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214"/>
    </w:p>
    <w:p>
      <w:pPr>
        <w:pStyle w:val="Footnoteheading"/>
        <w:rPr>
          <w:snapToGrid w:val="0"/>
        </w:rPr>
      </w:pPr>
      <w:r>
        <w:rPr>
          <w:snapToGrid w:val="0"/>
        </w:rPr>
        <w:tab/>
        <w:t>[Heading inserted by No. 81 of 1996 s. 81.]</w:t>
      </w:r>
    </w:p>
    <w:p>
      <w:pPr>
        <w:pStyle w:val="Heading5"/>
        <w:spacing w:before="180"/>
        <w:rPr>
          <w:snapToGrid w:val="0"/>
        </w:rPr>
      </w:pPr>
      <w:bookmarkStart w:id="215" w:name="_Toc383511532"/>
      <w:r>
        <w:rPr>
          <w:rStyle w:val="CharSectno"/>
        </w:rPr>
        <w:t>136A</w:t>
      </w:r>
      <w:r>
        <w:rPr>
          <w:snapToGrid w:val="0"/>
        </w:rPr>
        <w:t>.</w:t>
      </w:r>
      <w:r>
        <w:rPr>
          <w:snapToGrid w:val="0"/>
        </w:rPr>
        <w:tab/>
        <w:t>Term used: plan</w:t>
      </w:r>
      <w:bookmarkEnd w:id="215"/>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spacing w:before="60"/>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p>
    <w:p>
      <w:pPr>
        <w:pStyle w:val="Heading5"/>
        <w:spacing w:before="180"/>
        <w:rPr>
          <w:snapToGrid w:val="0"/>
        </w:rPr>
      </w:pPr>
      <w:bookmarkStart w:id="216" w:name="_Toc383511533"/>
      <w:r>
        <w:rPr>
          <w:rStyle w:val="CharSectno"/>
        </w:rPr>
        <w:t>136B</w:t>
      </w:r>
      <w:r>
        <w:rPr>
          <w:snapToGrid w:val="0"/>
        </w:rPr>
        <w:t>.</w:t>
      </w:r>
      <w:r>
        <w:rPr>
          <w:snapToGrid w:val="0"/>
        </w:rPr>
        <w:tab/>
        <w:t>Application of this Part</w:t>
      </w:r>
      <w:bookmarkEnd w:id="216"/>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by No. 81 of 1996 s. 81.]</w:t>
      </w:r>
    </w:p>
    <w:p>
      <w:pPr>
        <w:pStyle w:val="Heading5"/>
        <w:spacing w:before="180"/>
        <w:rPr>
          <w:snapToGrid w:val="0"/>
        </w:rPr>
      </w:pPr>
      <w:bookmarkStart w:id="217" w:name="_Toc383511534"/>
      <w:r>
        <w:rPr>
          <w:rStyle w:val="CharSectno"/>
        </w:rPr>
        <w:t>136C</w:t>
      </w:r>
      <w:r>
        <w:rPr>
          <w:snapToGrid w:val="0"/>
        </w:rPr>
        <w:t>.</w:t>
      </w:r>
      <w:r>
        <w:rPr>
          <w:snapToGrid w:val="0"/>
        </w:rPr>
        <w:tab/>
        <w:t>Notation of easements on subdivision plans</w:t>
      </w:r>
      <w:bookmarkEnd w:id="217"/>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p>
    <w:p>
      <w:pPr>
        <w:pStyle w:val="Heading5"/>
        <w:rPr>
          <w:snapToGrid w:val="0"/>
        </w:rPr>
      </w:pPr>
      <w:bookmarkStart w:id="218" w:name="_Toc383511535"/>
      <w:r>
        <w:rPr>
          <w:rStyle w:val="CharSectno"/>
        </w:rPr>
        <w:t>136D</w:t>
      </w:r>
      <w:r>
        <w:rPr>
          <w:snapToGrid w:val="0"/>
        </w:rPr>
        <w:t>.</w:t>
      </w:r>
      <w:r>
        <w:rPr>
          <w:snapToGrid w:val="0"/>
        </w:rPr>
        <w:tab/>
        <w:t>Notation of restrictive covenants on subdivision plans</w:t>
      </w:r>
      <w:bookmarkEnd w:id="218"/>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by No. 81 of 1996 s. 81; amended by No. 6 of 2003 s. 45.]</w:t>
      </w:r>
    </w:p>
    <w:p>
      <w:pPr>
        <w:pStyle w:val="Heading5"/>
        <w:rPr>
          <w:snapToGrid w:val="0"/>
        </w:rPr>
      </w:pPr>
      <w:bookmarkStart w:id="219" w:name="_Toc383511536"/>
      <w:r>
        <w:rPr>
          <w:rStyle w:val="CharSectno"/>
        </w:rPr>
        <w:t>136E</w:t>
      </w:r>
      <w:r>
        <w:rPr>
          <w:snapToGrid w:val="0"/>
        </w:rPr>
        <w:t>.</w:t>
      </w:r>
      <w:r>
        <w:rPr>
          <w:snapToGrid w:val="0"/>
        </w:rPr>
        <w:tab/>
        <w:t>Consent of certain persons required to creation of easements and restrictive covenants</w:t>
      </w:r>
      <w:bookmarkEnd w:id="219"/>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p>
    <w:p>
      <w:pPr>
        <w:pStyle w:val="Heading5"/>
        <w:rPr>
          <w:snapToGrid w:val="0"/>
        </w:rPr>
      </w:pPr>
      <w:bookmarkStart w:id="220" w:name="_Toc383511537"/>
      <w:r>
        <w:rPr>
          <w:rStyle w:val="CharSectno"/>
        </w:rPr>
        <w:t>136F</w:t>
      </w:r>
      <w:r>
        <w:rPr>
          <w:snapToGrid w:val="0"/>
        </w:rPr>
        <w:t>.</w:t>
      </w:r>
      <w:r>
        <w:rPr>
          <w:snapToGrid w:val="0"/>
        </w:rPr>
        <w:tab/>
        <w:t>When easements and restrictive covenants under this Part have effect</w:t>
      </w:r>
      <w:bookmarkEnd w:id="220"/>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p>
    <w:p>
      <w:pPr>
        <w:pStyle w:val="Heading5"/>
        <w:spacing w:before="240"/>
        <w:rPr>
          <w:snapToGrid w:val="0"/>
        </w:rPr>
      </w:pPr>
      <w:bookmarkStart w:id="221" w:name="_Toc383511538"/>
      <w:r>
        <w:rPr>
          <w:rStyle w:val="CharSectno"/>
        </w:rPr>
        <w:t>136G</w:t>
      </w:r>
      <w:r>
        <w:rPr>
          <w:snapToGrid w:val="0"/>
        </w:rPr>
        <w:t>.</w:t>
      </w:r>
      <w:r>
        <w:rPr>
          <w:snapToGrid w:val="0"/>
        </w:rPr>
        <w:tab/>
        <w:t>Easements and restrictive covenants under this Part may be effective for specified term only</w:t>
      </w:r>
      <w:bookmarkEnd w:id="221"/>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p>
    <w:p>
      <w:pPr>
        <w:pStyle w:val="Heading5"/>
        <w:spacing w:before="240"/>
        <w:rPr>
          <w:snapToGrid w:val="0"/>
        </w:rPr>
      </w:pPr>
      <w:bookmarkStart w:id="222" w:name="_Toc383511539"/>
      <w:r>
        <w:rPr>
          <w:rStyle w:val="CharSectno"/>
        </w:rPr>
        <w:t>136H</w:t>
      </w:r>
      <w:r>
        <w:rPr>
          <w:snapToGrid w:val="0"/>
        </w:rPr>
        <w:t>.</w:t>
      </w:r>
      <w:r>
        <w:rPr>
          <w:snapToGrid w:val="0"/>
        </w:rPr>
        <w:tab/>
        <w:t>Easements and restrictive covenants under this Part may both burden and benefit land of same proprietor</w:t>
      </w:r>
      <w:bookmarkEnd w:id="222"/>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p>
    <w:p>
      <w:pPr>
        <w:pStyle w:val="Heading5"/>
        <w:spacing w:before="240"/>
        <w:rPr>
          <w:snapToGrid w:val="0"/>
        </w:rPr>
      </w:pPr>
      <w:bookmarkStart w:id="223" w:name="_Toc383511540"/>
      <w:r>
        <w:rPr>
          <w:rStyle w:val="CharSectno"/>
        </w:rPr>
        <w:t>136I</w:t>
      </w:r>
      <w:r>
        <w:rPr>
          <w:snapToGrid w:val="0"/>
        </w:rPr>
        <w:t>.</w:t>
      </w:r>
      <w:r>
        <w:rPr>
          <w:snapToGrid w:val="0"/>
        </w:rPr>
        <w:tab/>
        <w:t>Recordings in Register</w:t>
      </w:r>
      <w:bookmarkEnd w:id="223"/>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p>
    <w:p>
      <w:pPr>
        <w:pStyle w:val="Heading5"/>
        <w:rPr>
          <w:snapToGrid w:val="0"/>
        </w:rPr>
      </w:pPr>
      <w:bookmarkStart w:id="224" w:name="_Toc383511541"/>
      <w:r>
        <w:rPr>
          <w:rStyle w:val="CharSectno"/>
        </w:rPr>
        <w:t>136J</w:t>
      </w:r>
      <w:r>
        <w:rPr>
          <w:snapToGrid w:val="0"/>
        </w:rPr>
        <w:t>.</w:t>
      </w:r>
      <w:r>
        <w:rPr>
          <w:snapToGrid w:val="0"/>
        </w:rPr>
        <w:tab/>
        <w:t>Discharge and modification of easements and restrictive covenants under this Part</w:t>
      </w:r>
      <w:bookmarkEnd w:id="224"/>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p>
    <w:p>
      <w:pPr>
        <w:pStyle w:val="Heading2"/>
      </w:pPr>
      <w:bookmarkStart w:id="225" w:name="_Toc383511542"/>
      <w:r>
        <w:rPr>
          <w:rStyle w:val="CharPartNo"/>
        </w:rPr>
        <w:t>Part V</w:t>
      </w:r>
      <w:r>
        <w:rPr>
          <w:rStyle w:val="CharDivNo"/>
        </w:rPr>
        <w:t> </w:t>
      </w:r>
      <w:r>
        <w:t>—</w:t>
      </w:r>
      <w:r>
        <w:rPr>
          <w:rStyle w:val="CharDivText"/>
        </w:rPr>
        <w:t> </w:t>
      </w:r>
      <w:r>
        <w:rPr>
          <w:rStyle w:val="CharPartText"/>
        </w:rPr>
        <w:t>Caveats</w:t>
      </w:r>
      <w:bookmarkEnd w:id="225"/>
    </w:p>
    <w:p>
      <w:pPr>
        <w:pStyle w:val="Heading5"/>
        <w:rPr>
          <w:snapToGrid w:val="0"/>
        </w:rPr>
      </w:pPr>
      <w:bookmarkStart w:id="226" w:name="_Toc383511543"/>
      <w:r>
        <w:rPr>
          <w:rStyle w:val="CharSectno"/>
        </w:rPr>
        <w:t>136K</w:t>
      </w:r>
      <w:r>
        <w:rPr>
          <w:snapToGrid w:val="0"/>
        </w:rPr>
        <w:t>.</w:t>
      </w:r>
      <w:r>
        <w:rPr>
          <w:snapToGrid w:val="0"/>
        </w:rPr>
        <w:tab/>
        <w:t>Term used: section 138A caveat; application of this Part</w:t>
      </w:r>
      <w:bookmarkEnd w:id="226"/>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p>
    <w:p>
      <w:pPr>
        <w:pStyle w:val="Heading5"/>
        <w:rPr>
          <w:snapToGrid w:val="0"/>
        </w:rPr>
      </w:pPr>
      <w:bookmarkStart w:id="227" w:name="_Toc383511544"/>
      <w:r>
        <w:rPr>
          <w:rStyle w:val="CharSectno"/>
        </w:rPr>
        <w:t>137</w:t>
      </w:r>
      <w:r>
        <w:rPr>
          <w:snapToGrid w:val="0"/>
        </w:rPr>
        <w:t>.</w:t>
      </w:r>
      <w:r>
        <w:rPr>
          <w:snapToGrid w:val="0"/>
        </w:rPr>
        <w:tab/>
        <w:t>Lodging caveats for land already under this Act</w:t>
      </w:r>
      <w:bookmarkEnd w:id="227"/>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rPr>
          <w:snapToGrid w:val="0"/>
        </w:rPr>
      </w:pPr>
      <w:r>
        <w:rPr>
          <w:snapToGrid w:val="0"/>
        </w:rPr>
        <w:tab/>
        <w:t>(1D)</w:t>
      </w:r>
      <w:r>
        <w:rPr>
          <w:snapToGrid w:val="0"/>
        </w:rPr>
        <w:tab/>
        <w:t>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17; No. 19 of 2010 s. 51.]</w:t>
      </w:r>
    </w:p>
    <w:p>
      <w:pPr>
        <w:pStyle w:val="Heading5"/>
        <w:rPr>
          <w:snapToGrid w:val="0"/>
        </w:rPr>
      </w:pPr>
      <w:bookmarkStart w:id="228" w:name="_Toc383511545"/>
      <w:r>
        <w:rPr>
          <w:rStyle w:val="CharSectno"/>
        </w:rPr>
        <w:t>138</w:t>
      </w:r>
      <w:r>
        <w:rPr>
          <w:snapToGrid w:val="0"/>
        </w:rPr>
        <w:t>.</w:t>
      </w:r>
      <w:r>
        <w:rPr>
          <w:snapToGrid w:val="0"/>
        </w:rPr>
        <w:tab/>
        <w:t>Consequences of lodging caveat</w:t>
      </w:r>
      <w:bookmarkEnd w:id="228"/>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[Section 138 amended by No. 17 of 1950 s. 39; No. 81 of 1996 s. 145(1); No. 59 of 2004 s. 139; No. 5 of 2008 s. 123.]</w:t>
      </w:r>
    </w:p>
    <w:p>
      <w:pPr>
        <w:pStyle w:val="Heading5"/>
        <w:rPr>
          <w:snapToGrid w:val="0"/>
        </w:rPr>
      </w:pPr>
      <w:bookmarkStart w:id="229" w:name="_Toc383511546"/>
      <w:r>
        <w:rPr>
          <w:rStyle w:val="CharSectno"/>
        </w:rPr>
        <w:t>138A</w:t>
      </w:r>
      <w:r>
        <w:rPr>
          <w:snapToGrid w:val="0"/>
        </w:rPr>
        <w:t>.</w:t>
      </w:r>
      <w:r>
        <w:rPr>
          <w:snapToGrid w:val="0"/>
        </w:rPr>
        <w:tab/>
        <w:t>Caveats to which s. 138B to 138D apply</w:t>
      </w:r>
      <w:bookmarkEnd w:id="229"/>
    </w:p>
    <w:p>
      <w:pPr>
        <w:pStyle w:val="Subsection"/>
        <w:spacing w:before="120"/>
        <w:rPr>
          <w:snapToGrid w:val="0"/>
        </w:rPr>
      </w:pPr>
      <w:r>
        <w:rPr>
          <w:snapToGrid w:val="0"/>
        </w:rPr>
        <w:tab/>
      </w:r>
      <w:r>
        <w:rPr>
          <w:snapToGrid w:val="0"/>
        </w:rPr>
        <w:tab/>
        <w:t>A caveat that has not been lodged —</w:t>
      </w:r>
    </w:p>
    <w:p>
      <w:pPr>
        <w:pStyle w:val="Indenta"/>
        <w:spacing w:before="60"/>
        <w:rPr>
          <w:snapToGrid w:val="0"/>
        </w:rPr>
      </w:pPr>
      <w:r>
        <w:rPr>
          <w:snapToGrid w:val="0"/>
        </w:rPr>
        <w:tab/>
        <w:t>(a)</w:t>
      </w:r>
      <w:r>
        <w:rPr>
          <w:snapToGrid w:val="0"/>
        </w:rPr>
        <w:tab/>
        <w:t>under section 30, 176 or 223A; or</w:t>
      </w:r>
    </w:p>
    <w:p>
      <w:pPr>
        <w:pStyle w:val="Indenta"/>
        <w:spacing w:before="60"/>
        <w:rPr>
          <w:snapToGrid w:val="0"/>
        </w:rPr>
      </w:pPr>
      <w:r>
        <w:rPr>
          <w:snapToGrid w:val="0"/>
        </w:rPr>
        <w:tab/>
        <w:t>(b)</w:t>
      </w:r>
      <w:r>
        <w:rPr>
          <w:snapToGrid w:val="0"/>
        </w:rPr>
        <w:tab/>
        <w:t>by or on behalf of a beneficiary claiming under a will or settlement; or</w:t>
      </w:r>
    </w:p>
    <w:p>
      <w:pPr>
        <w:pStyle w:val="Indenta"/>
        <w:spacing w:before="60"/>
        <w:rPr>
          <w:snapToGrid w:val="0"/>
        </w:rPr>
      </w:pPr>
      <w:r>
        <w:rPr>
          <w:snapToGrid w:val="0"/>
        </w:rPr>
        <w:tab/>
        <w:t>(c)</w:t>
      </w:r>
      <w:r>
        <w:rPr>
          <w:snapToGrid w:val="0"/>
        </w:rPr>
        <w:tab/>
        <w:t>under a court order; or</w:t>
      </w:r>
    </w:p>
    <w:p>
      <w:pPr>
        <w:pStyle w:val="Indenta"/>
        <w:spacing w:before="60"/>
        <w:rPr>
          <w:snapToGrid w:val="0"/>
        </w:rPr>
      </w:pPr>
      <w:r>
        <w:rPr>
          <w:snapToGrid w:val="0"/>
        </w:rPr>
        <w:tab/>
        <w:t>(d)</w:t>
      </w:r>
      <w:r>
        <w:rPr>
          <w:snapToGrid w:val="0"/>
        </w:rPr>
        <w:tab/>
        <w:t>by the Registrar on the direction of the Commissioner; or</w:t>
      </w:r>
    </w:p>
    <w:p>
      <w:pPr>
        <w:pStyle w:val="Indenta"/>
        <w:spacing w:before="60"/>
        <w:rPr>
          <w:snapToGrid w:val="0"/>
        </w:rPr>
      </w:pPr>
      <w:r>
        <w:rPr>
          <w:snapToGrid w:val="0"/>
        </w:rPr>
        <w:tab/>
        <w:t>(e)</w:t>
      </w:r>
      <w:r>
        <w:rPr>
          <w:snapToGrid w:val="0"/>
        </w:rPr>
        <w:tab/>
        <w:t>under any written law other than this Act; or</w:t>
      </w:r>
    </w:p>
    <w:p>
      <w:pPr>
        <w:pStyle w:val="Indenta"/>
        <w:spacing w:before="60"/>
        <w:rPr>
          <w:snapToGrid w:val="0"/>
        </w:rPr>
      </w:pPr>
      <w:r>
        <w:rPr>
          <w:snapToGrid w:val="0"/>
        </w:rPr>
        <w:tab/>
        <w:t>(f)</w:t>
      </w:r>
      <w:r>
        <w:rPr>
          <w:snapToGrid w:val="0"/>
        </w:rPr>
        <w:tab/>
        <w:t>under any Commonwealth Act; or</w:t>
      </w:r>
    </w:p>
    <w:p>
      <w:pPr>
        <w:pStyle w:val="Indenta"/>
        <w:spacing w:before="60"/>
        <w:rPr>
          <w:snapToGrid w:val="0"/>
        </w:rPr>
      </w:pPr>
      <w:r>
        <w:rPr>
          <w:snapToGrid w:val="0"/>
        </w:rPr>
        <w:tab/>
        <w:t>(g)</w:t>
      </w:r>
      <w:r>
        <w:rPr>
          <w:snapToGrid w:val="0"/>
        </w:rPr>
        <w:tab/>
        <w:t>by or on behalf, or with the consent, of the Minister for Lands,</w:t>
      </w:r>
    </w:p>
    <w:p>
      <w:pPr>
        <w:pStyle w:val="Subsection"/>
        <w:spacing w:before="80"/>
        <w:rPr>
          <w:snapToGrid w:val="0"/>
        </w:rPr>
      </w:pPr>
      <w:r>
        <w:rPr>
          <w:snapToGrid w:val="0"/>
        </w:rPr>
        <w:tab/>
      </w:r>
      <w:r>
        <w:rPr>
          <w:snapToGrid w:val="0"/>
        </w:rPr>
        <w:tab/>
        <w:t>is a caveat for the purposes of sections 138B to 138D.</w:t>
      </w:r>
    </w:p>
    <w:p>
      <w:pPr>
        <w:pStyle w:val="Footnotesection"/>
        <w:spacing w:before="80"/>
        <w:ind w:left="890" w:hanging="890"/>
      </w:pPr>
      <w:r>
        <w:tab/>
        <w:t>[Section 138A inserted by No. 81 of 1996 s. 84.]</w:t>
      </w:r>
    </w:p>
    <w:p>
      <w:pPr>
        <w:pStyle w:val="Heading5"/>
        <w:spacing w:before="180"/>
        <w:rPr>
          <w:snapToGrid w:val="0"/>
        </w:rPr>
      </w:pPr>
      <w:bookmarkStart w:id="230" w:name="_Toc383511547"/>
      <w:r>
        <w:rPr>
          <w:rStyle w:val="CharSectno"/>
        </w:rPr>
        <w:t>138B</w:t>
      </w:r>
      <w:r>
        <w:rPr>
          <w:snapToGrid w:val="0"/>
        </w:rPr>
        <w:t>.</w:t>
      </w:r>
      <w:r>
        <w:rPr>
          <w:snapToGrid w:val="0"/>
        </w:rPr>
        <w:tab/>
        <w:t>Requiring caveator to seek court order extending s. 138A caveat</w:t>
      </w:r>
      <w:bookmarkEnd w:id="230"/>
    </w:p>
    <w:p>
      <w:pPr>
        <w:pStyle w:val="Subsection"/>
        <w:spacing w:before="120"/>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spacing w:before="120"/>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spacing w:before="60"/>
      </w:pPr>
      <w:r>
        <w:tab/>
        <w:t>(a)</w:t>
      </w:r>
      <w:r>
        <w:tab/>
        <w:t>obtained from the Supreme Court an order extending the operation of the caveat —</w:t>
      </w:r>
    </w:p>
    <w:p>
      <w:pPr>
        <w:pStyle w:val="Indenti"/>
        <w:spacing w:before="60"/>
        <w:rPr>
          <w:snapToGrid w:val="0"/>
        </w:rPr>
      </w:pPr>
      <w:r>
        <w:rPr>
          <w:snapToGrid w:val="0"/>
        </w:rPr>
        <w:tab/>
        <w:t>(i)</w:t>
      </w:r>
      <w:r>
        <w:rPr>
          <w:snapToGrid w:val="0"/>
        </w:rPr>
        <w:tab/>
        <w:t>for such further period as is specified in the order; or</w:t>
      </w:r>
    </w:p>
    <w:p>
      <w:pPr>
        <w:pStyle w:val="Indenti"/>
        <w:spacing w:before="60"/>
        <w:rPr>
          <w:snapToGrid w:val="0"/>
        </w:rPr>
      </w:pPr>
      <w:r>
        <w:rPr>
          <w:snapToGrid w:val="0"/>
        </w:rPr>
        <w:tab/>
        <w:t>(ii)</w:t>
      </w:r>
      <w:r>
        <w:rPr>
          <w:snapToGrid w:val="0"/>
        </w:rPr>
        <w:tab/>
        <w:t>until the further order of the court;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lodged with the Registrar a copy of the order.</w:t>
      </w:r>
    </w:p>
    <w:p>
      <w:pPr>
        <w:pStyle w:val="Footnotesection"/>
        <w:spacing w:before="100"/>
        <w:ind w:left="890" w:hanging="890"/>
      </w:pPr>
      <w:r>
        <w:tab/>
        <w:t>[Section 138B inserted by No. 81 of 1996 s. 84; amended by No. 59 of 2004 s. 140.]</w:t>
      </w:r>
    </w:p>
    <w:p>
      <w:pPr>
        <w:pStyle w:val="Heading5"/>
        <w:rPr>
          <w:snapToGrid w:val="0"/>
        </w:rPr>
      </w:pPr>
      <w:bookmarkStart w:id="231" w:name="_Toc383511548"/>
      <w:r>
        <w:rPr>
          <w:rStyle w:val="CharSectno"/>
        </w:rPr>
        <w:t>138C</w:t>
      </w:r>
      <w:r>
        <w:rPr>
          <w:snapToGrid w:val="0"/>
        </w:rPr>
        <w:t>.</w:t>
      </w:r>
      <w:r>
        <w:rPr>
          <w:snapToGrid w:val="0"/>
        </w:rPr>
        <w:tab/>
        <w:t>Supreme Court’s powers on application by caveator</w:t>
      </w:r>
      <w:bookmarkEnd w:id="231"/>
    </w:p>
    <w:p>
      <w:pPr>
        <w:pStyle w:val="Subsection"/>
        <w:spacing w:before="140"/>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spacing w:before="140"/>
        <w:rPr>
          <w:snapToGrid w:val="0"/>
        </w:rPr>
      </w:pPr>
      <w:r>
        <w:rPr>
          <w:snapToGrid w:val="0"/>
        </w:rPr>
        <w:tab/>
        <w:t>(2)</w:t>
      </w:r>
      <w:r>
        <w:rPr>
          <w:snapToGrid w:val="0"/>
        </w:rPr>
        <w:tab/>
        <w:t>On the hearing of an application under subsection (1), the Supreme Court —</w:t>
      </w:r>
    </w:p>
    <w:p>
      <w:pPr>
        <w:pStyle w:val="Indenta"/>
        <w:spacing w:before="60"/>
        <w:rPr>
          <w:snapToGrid w:val="0"/>
        </w:rPr>
      </w:pPr>
      <w:r>
        <w:rPr>
          <w:snapToGrid w:val="0"/>
        </w:rPr>
        <w:tab/>
        <w:t>(a)</w:t>
      </w:r>
      <w:r>
        <w:rPr>
          <w:snapToGrid w:val="0"/>
        </w:rPr>
        <w:tab/>
        <w:t>if satisfied that the caveator’s claim has or may have substance —</w:t>
      </w:r>
    </w:p>
    <w:p>
      <w:pPr>
        <w:pStyle w:val="Indenti"/>
        <w:spacing w:before="60"/>
        <w:rPr>
          <w:snapToGrid w:val="0"/>
        </w:rPr>
      </w:pPr>
      <w:r>
        <w:rPr>
          <w:snapToGrid w:val="0"/>
        </w:rPr>
        <w:tab/>
        <w:t>(i)</w:t>
      </w:r>
      <w:r>
        <w:rPr>
          <w:snapToGrid w:val="0"/>
        </w:rPr>
        <w:tab/>
        <w:t>may make an order extending the operation of the caveat for such period as is specified in the order; or</w:t>
      </w:r>
    </w:p>
    <w:p>
      <w:pPr>
        <w:pStyle w:val="Indenti"/>
        <w:spacing w:before="60"/>
        <w:rPr>
          <w:snapToGrid w:val="0"/>
        </w:rPr>
      </w:pPr>
      <w:r>
        <w:rPr>
          <w:snapToGrid w:val="0"/>
        </w:rPr>
        <w:tab/>
        <w:t>(ii)</w:t>
      </w:r>
      <w:r>
        <w:rPr>
          <w:snapToGrid w:val="0"/>
        </w:rPr>
        <w:tab/>
        <w:t>may make an order extending the operation of the caveat until the further order of the court; or</w:t>
      </w:r>
    </w:p>
    <w:p>
      <w:pPr>
        <w:pStyle w:val="Indenti"/>
        <w:spacing w:before="60"/>
        <w:rPr>
          <w:snapToGrid w:val="0"/>
        </w:rPr>
      </w:pPr>
      <w:r>
        <w:rPr>
          <w:snapToGrid w:val="0"/>
        </w:rPr>
        <w:tab/>
        <w:t>(iii)</w:t>
      </w:r>
      <w:r>
        <w:rPr>
          <w:snapToGrid w:val="0"/>
        </w:rPr>
        <w:tab/>
        <w:t>may make such other orders as it thinks fit concerning the caveat or the land in respect of which the caveat was lodged;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spacing w:before="140"/>
        <w:rPr>
          <w:snapToGrid w:val="0"/>
        </w:rPr>
      </w:pPr>
      <w:r>
        <w:rPr>
          <w:snapToGrid w:val="0"/>
        </w:rPr>
        <w:tab/>
        <w:t>(3)</w:t>
      </w:r>
      <w:r>
        <w:rPr>
          <w:snapToGrid w:val="0"/>
        </w:rPr>
        <w:tab/>
        <w:t>An interim order under this section may be made ex parte unless the court orders otherwise.</w:t>
      </w:r>
    </w:p>
    <w:p>
      <w:pPr>
        <w:pStyle w:val="Subsection"/>
        <w:spacing w:before="140"/>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spacing w:before="100"/>
        <w:ind w:left="890" w:hanging="890"/>
      </w:pPr>
      <w:r>
        <w:tab/>
        <w:t>[Section 138C inserted by No. 81 of 1996 s. 84.]</w:t>
      </w:r>
    </w:p>
    <w:p>
      <w:pPr>
        <w:pStyle w:val="Heading5"/>
        <w:rPr>
          <w:snapToGrid w:val="0"/>
        </w:rPr>
      </w:pPr>
      <w:bookmarkStart w:id="232" w:name="_Toc383511549"/>
      <w:r>
        <w:rPr>
          <w:rStyle w:val="CharSectno"/>
        </w:rPr>
        <w:t>138D</w:t>
      </w:r>
      <w:r>
        <w:rPr>
          <w:snapToGrid w:val="0"/>
        </w:rPr>
        <w:t>.</w:t>
      </w:r>
      <w:r>
        <w:rPr>
          <w:snapToGrid w:val="0"/>
        </w:rPr>
        <w:tab/>
        <w:t>Restrictions on caveators lodging further s. 138A caveats</w:t>
      </w:r>
      <w:bookmarkEnd w:id="232"/>
    </w:p>
    <w:p>
      <w:pPr>
        <w:pStyle w:val="Subsection"/>
        <w:rPr>
          <w:snapToGrid w:val="0"/>
        </w:rPr>
      </w:pPr>
      <w:r>
        <w:rPr>
          <w:snapToGrid w:val="0"/>
        </w:rPr>
        <w:tab/>
        <w:t>(1)</w:t>
      </w:r>
      <w:r>
        <w:rPr>
          <w:snapToGrid w:val="0"/>
        </w:rPr>
        <w:tab/>
        <w:t>If a section 138A caveat —</w:t>
      </w:r>
    </w:p>
    <w:p>
      <w:pPr>
        <w:pStyle w:val="Indenta"/>
        <w:spacing w:before="60"/>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spacing w:before="60"/>
        <w:rPr>
          <w:snapToGrid w:val="0"/>
        </w:rPr>
      </w:pPr>
      <w:r>
        <w:rPr>
          <w:snapToGrid w:val="0"/>
        </w:rPr>
        <w:tab/>
        <w:t>(b)</w:t>
      </w:r>
      <w:r>
        <w:rPr>
          <w:snapToGrid w:val="0"/>
        </w:rPr>
        <w:tab/>
        <w:t>has lapsed under section 138B(2); or</w:t>
      </w:r>
    </w:p>
    <w:p>
      <w:pPr>
        <w:pStyle w:val="Indenta"/>
        <w:spacing w:before="60"/>
        <w:rPr>
          <w:snapToGrid w:val="0"/>
        </w:rPr>
      </w:pPr>
      <w:r>
        <w:rPr>
          <w:snapToGrid w:val="0"/>
        </w:rPr>
        <w:tab/>
        <w:t>(c)</w:t>
      </w:r>
      <w:r>
        <w:rPr>
          <w:snapToGrid w:val="0"/>
        </w:rPr>
        <w:tab/>
        <w:t>no longer has effect because of the operation of an order made, or a dismissal, under section 138C by the Supreme Court,</w:t>
      </w:r>
    </w:p>
    <w:p>
      <w:pPr>
        <w:pStyle w:val="Subsection"/>
        <w:spacing w:before="60"/>
        <w:rPr>
          <w:snapToGrid w:val="0"/>
        </w:rPr>
      </w:pPr>
      <w:r>
        <w:rPr>
          <w:snapToGrid w:val="0"/>
        </w:rPr>
        <w:tab/>
      </w:r>
      <w:r>
        <w:rPr>
          <w:snapToGrid w:val="0"/>
        </w:rPr>
        <w:tab/>
        <w:t>then the caveator cannot lodge with the Registrar any further section 138A caveat in respect of the same land unless —</w:t>
      </w:r>
    </w:p>
    <w:p>
      <w:pPr>
        <w:pStyle w:val="Indenta"/>
        <w:spacing w:before="60"/>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spacing w:before="60"/>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spacing w:before="80"/>
        <w:ind w:left="890" w:hanging="890"/>
      </w:pPr>
      <w:r>
        <w:tab/>
        <w:t>[Section 138D inserted by No. 81 of 1996 s. 84; amended by No. 59 of 2004 s. 140.]</w:t>
      </w:r>
    </w:p>
    <w:p>
      <w:pPr>
        <w:pStyle w:val="Heading5"/>
        <w:rPr>
          <w:snapToGrid w:val="0"/>
        </w:rPr>
      </w:pPr>
      <w:bookmarkStart w:id="233" w:name="_Toc383511550"/>
      <w:r>
        <w:rPr>
          <w:rStyle w:val="CharSectno"/>
        </w:rPr>
        <w:t>139</w:t>
      </w:r>
      <w:r>
        <w:rPr>
          <w:snapToGrid w:val="0"/>
        </w:rPr>
        <w:t>.</w:t>
      </w:r>
      <w:r>
        <w:rPr>
          <w:snapToGrid w:val="0"/>
        </w:rPr>
        <w:tab/>
        <w:t>Effect of caveats</w:t>
      </w:r>
      <w:bookmarkEnd w:id="233"/>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spacing w:before="60"/>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p>
    <w:p>
      <w:pPr>
        <w:pStyle w:val="Heading5"/>
        <w:rPr>
          <w:snapToGrid w:val="0"/>
        </w:rPr>
      </w:pPr>
      <w:bookmarkStart w:id="234" w:name="_Toc383511551"/>
      <w:r>
        <w:rPr>
          <w:rStyle w:val="CharSectno"/>
        </w:rPr>
        <w:t>140</w:t>
      </w:r>
      <w:r>
        <w:rPr>
          <w:snapToGrid w:val="0"/>
        </w:rPr>
        <w:t>.</w:t>
      </w:r>
      <w:r>
        <w:rPr>
          <w:snapToGrid w:val="0"/>
        </w:rPr>
        <w:tab/>
        <w:t>Compensation for caveat lodged without reasonable cause</w:t>
      </w:r>
      <w:bookmarkEnd w:id="234"/>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35" w:name="_Toc383511552"/>
      <w:r>
        <w:rPr>
          <w:rStyle w:val="CharSectno"/>
        </w:rPr>
        <w:t>141</w:t>
      </w:r>
      <w:r>
        <w:rPr>
          <w:snapToGrid w:val="0"/>
        </w:rPr>
        <w:t>.</w:t>
      </w:r>
      <w:r>
        <w:rPr>
          <w:snapToGrid w:val="0"/>
        </w:rPr>
        <w:tab/>
        <w:t>Registrar’s duties when caveat lodged or lapses</w:t>
      </w:r>
      <w:bookmarkEnd w:id="235"/>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spacing w:before="80"/>
        <w:ind w:left="890" w:hanging="890"/>
      </w:pPr>
      <w:r>
        <w:tab/>
        <w:t>[Section 141 inserted by No. 81 of 1996 s. 85.]</w:t>
      </w:r>
    </w:p>
    <w:p>
      <w:pPr>
        <w:pStyle w:val="Heading5"/>
        <w:spacing w:before="180"/>
        <w:rPr>
          <w:snapToGrid w:val="0"/>
        </w:rPr>
      </w:pPr>
      <w:bookmarkStart w:id="236" w:name="_Toc383511553"/>
      <w:r>
        <w:rPr>
          <w:rStyle w:val="CharSectno"/>
        </w:rPr>
        <w:t>141A</w:t>
      </w:r>
      <w:r>
        <w:rPr>
          <w:snapToGrid w:val="0"/>
        </w:rPr>
        <w:t>.</w:t>
      </w:r>
      <w:r>
        <w:rPr>
          <w:snapToGrid w:val="0"/>
        </w:rPr>
        <w:tab/>
        <w:t>Requiring caveators to withdraw caveats or substantiate their claims</w:t>
      </w:r>
      <w:bookmarkEnd w:id="236"/>
    </w:p>
    <w:p>
      <w:pPr>
        <w:pStyle w:val="Subsection"/>
        <w:spacing w:before="130"/>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spacing w:before="130"/>
      </w:pPr>
      <w:r>
        <w:tab/>
        <w:t>(1a)</w:t>
      </w:r>
      <w:r>
        <w:tab/>
        <w:t>If a caveator commences proceedings in court to substantiate his claim under this section, he shall —</w:t>
      </w:r>
    </w:p>
    <w:p>
      <w:pPr>
        <w:pStyle w:val="Indenta"/>
        <w:spacing w:before="60"/>
      </w:pPr>
      <w:r>
        <w:tab/>
        <w:t>(a)</w:t>
      </w:r>
      <w:r>
        <w:tab/>
        <w:t>within the 14 days referred to in subsection (1); or</w:t>
      </w:r>
    </w:p>
    <w:p>
      <w:pPr>
        <w:pStyle w:val="Indenta"/>
        <w:spacing w:before="60"/>
      </w:pPr>
      <w:r>
        <w:tab/>
        <w:t>(b)</w:t>
      </w:r>
      <w:r>
        <w:tab/>
        <w:t>within 2 days after commencing proceedings,</w:t>
      </w:r>
    </w:p>
    <w:p>
      <w:pPr>
        <w:pStyle w:val="Subsection"/>
        <w:spacing w:before="120"/>
      </w:pPr>
      <w:r>
        <w:tab/>
      </w:r>
      <w:r>
        <w:tab/>
        <w:t>whichever time expires later, serve the Registrar with notice that the proceedings have been commenced.</w:t>
      </w:r>
    </w:p>
    <w:p>
      <w:pPr>
        <w:pStyle w:val="Subsection"/>
        <w:spacing w:before="140"/>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spacing w:before="80"/>
        <w:ind w:left="890" w:hanging="890"/>
      </w:pPr>
      <w:r>
        <w:tab/>
        <w:t>[Section 141A inserted by No. 17 of 1950 s. 41; amended by No. 81 of 1996 s. 86 and 145(1); No. 24 of 2000 s. 42(1) and (2); No. 59 of 2004 s. 140.]</w:t>
      </w:r>
    </w:p>
    <w:p>
      <w:pPr>
        <w:pStyle w:val="Heading5"/>
        <w:rPr>
          <w:snapToGrid w:val="0"/>
        </w:rPr>
      </w:pPr>
      <w:bookmarkStart w:id="237" w:name="_Toc383511554"/>
      <w:r>
        <w:rPr>
          <w:rStyle w:val="CharSectno"/>
        </w:rPr>
        <w:t>142</w:t>
      </w:r>
      <w:r>
        <w:rPr>
          <w:snapToGrid w:val="0"/>
        </w:rPr>
        <w:t>.</w:t>
      </w:r>
      <w:r>
        <w:rPr>
          <w:snapToGrid w:val="0"/>
        </w:rPr>
        <w:tab/>
        <w:t>Caveat on behalf of beneficiary under will or settlement does not bar registration in certain cases</w:t>
      </w:r>
      <w:bookmarkEnd w:id="237"/>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38" w:name="_Toc383511555"/>
      <w:r>
        <w:rPr>
          <w:rStyle w:val="CharPartNo"/>
        </w:rPr>
        <w:t>Part VI</w:t>
      </w:r>
      <w:r>
        <w:rPr>
          <w:rStyle w:val="CharDivNo"/>
        </w:rPr>
        <w:t> </w:t>
      </w:r>
      <w:r>
        <w:t>—</w:t>
      </w:r>
      <w:r>
        <w:rPr>
          <w:rStyle w:val="CharDivText"/>
        </w:rPr>
        <w:t> </w:t>
      </w:r>
      <w:r>
        <w:rPr>
          <w:rStyle w:val="CharPartText"/>
        </w:rPr>
        <w:t>Powers of attorney and attestation of instruments</w:t>
      </w:r>
      <w:bookmarkEnd w:id="238"/>
    </w:p>
    <w:p>
      <w:pPr>
        <w:pStyle w:val="Heading5"/>
        <w:rPr>
          <w:snapToGrid w:val="0"/>
        </w:rPr>
      </w:pPr>
      <w:bookmarkStart w:id="239" w:name="_Toc383511556"/>
      <w:r>
        <w:rPr>
          <w:rStyle w:val="CharSectno"/>
        </w:rPr>
        <w:t>143</w:t>
      </w:r>
      <w:r>
        <w:rPr>
          <w:snapToGrid w:val="0"/>
        </w:rPr>
        <w:t>.</w:t>
      </w:r>
      <w:r>
        <w:rPr>
          <w:snapToGrid w:val="0"/>
        </w:rPr>
        <w:tab/>
        <w:t>Powers of attorney, creation and filing of</w:t>
      </w:r>
      <w:bookmarkEnd w:id="239"/>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No. 8 of 2009 s. 10; No. 19 of 2010 s. 51.] </w:t>
      </w:r>
    </w:p>
    <w:p>
      <w:pPr>
        <w:pStyle w:val="Heading5"/>
        <w:rPr>
          <w:snapToGrid w:val="0"/>
        </w:rPr>
      </w:pPr>
      <w:bookmarkStart w:id="240" w:name="_Toc383511557"/>
      <w:r>
        <w:rPr>
          <w:rStyle w:val="CharSectno"/>
        </w:rPr>
        <w:t>144</w:t>
      </w:r>
      <w:r>
        <w:rPr>
          <w:snapToGrid w:val="0"/>
        </w:rPr>
        <w:t>.</w:t>
      </w:r>
      <w:r>
        <w:rPr>
          <w:snapToGrid w:val="0"/>
        </w:rPr>
        <w:tab/>
        <w:t>Powers of attorney, effect of</w:t>
      </w:r>
      <w:bookmarkEnd w:id="240"/>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p>
    <w:p>
      <w:pPr>
        <w:pStyle w:val="Heading5"/>
        <w:rPr>
          <w:snapToGrid w:val="0"/>
        </w:rPr>
      </w:pPr>
      <w:bookmarkStart w:id="241" w:name="_Toc383511558"/>
      <w:r>
        <w:rPr>
          <w:rStyle w:val="CharSectno"/>
        </w:rPr>
        <w:t>145</w:t>
      </w:r>
      <w:r>
        <w:rPr>
          <w:snapToGrid w:val="0"/>
        </w:rPr>
        <w:t>.</w:t>
      </w:r>
      <w:r>
        <w:rPr>
          <w:snapToGrid w:val="0"/>
        </w:rPr>
        <w:tab/>
        <w:t>Signatures on documents, witnessing requirements</w:t>
      </w:r>
      <w:bookmarkEnd w:id="241"/>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 1</w:t>
      </w:r>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p>
    <w:p>
      <w:pPr>
        <w:pStyle w:val="Heading2"/>
      </w:pPr>
      <w:bookmarkStart w:id="242" w:name="_Toc383511559"/>
      <w:r>
        <w:rPr>
          <w:rStyle w:val="CharPartNo"/>
        </w:rPr>
        <w:t>Part VII</w:t>
      </w:r>
      <w:r>
        <w:rPr>
          <w:rStyle w:val="CharDivNo"/>
        </w:rPr>
        <w:t> </w:t>
      </w:r>
      <w:r>
        <w:t>—</w:t>
      </w:r>
      <w:r>
        <w:rPr>
          <w:rStyle w:val="CharDivText"/>
        </w:rPr>
        <w:t> </w:t>
      </w:r>
      <w:r>
        <w:rPr>
          <w:rStyle w:val="CharPartText"/>
        </w:rPr>
        <w:t>Search certificates and stay orders</w:t>
      </w:r>
      <w:bookmarkEnd w:id="242"/>
    </w:p>
    <w:p>
      <w:pPr>
        <w:pStyle w:val="Heading5"/>
        <w:rPr>
          <w:snapToGrid w:val="0"/>
        </w:rPr>
      </w:pPr>
      <w:bookmarkStart w:id="243" w:name="_Toc383511560"/>
      <w:r>
        <w:rPr>
          <w:rStyle w:val="CharSectno"/>
        </w:rPr>
        <w:t>146</w:t>
      </w:r>
      <w:r>
        <w:rPr>
          <w:snapToGrid w:val="0"/>
        </w:rPr>
        <w:t>.</w:t>
      </w:r>
      <w:r>
        <w:rPr>
          <w:snapToGrid w:val="0"/>
        </w:rPr>
        <w:tab/>
        <w:t>Finding out whether proprietor is free to deal with land</w:t>
      </w:r>
      <w:bookmarkEnd w:id="243"/>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p>
    <w:p>
      <w:pPr>
        <w:pStyle w:val="Heading5"/>
        <w:rPr>
          <w:snapToGrid w:val="0"/>
        </w:rPr>
      </w:pPr>
      <w:bookmarkStart w:id="244" w:name="_Toc383511561"/>
      <w:r>
        <w:rPr>
          <w:rStyle w:val="CharSectno"/>
        </w:rPr>
        <w:t>147</w:t>
      </w:r>
      <w:r>
        <w:rPr>
          <w:snapToGrid w:val="0"/>
        </w:rPr>
        <w:t>.</w:t>
      </w:r>
      <w:r>
        <w:rPr>
          <w:snapToGrid w:val="0"/>
        </w:rPr>
        <w:tab/>
        <w:t>Person issued search certificate under s. 146 entitled to inspect certificate of title</w:t>
      </w:r>
      <w:bookmarkEnd w:id="244"/>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[Section 147 amended by No. 81 of 1996 s. 145(2).]</w:t>
      </w:r>
    </w:p>
    <w:p>
      <w:pPr>
        <w:pStyle w:val="Heading5"/>
        <w:rPr>
          <w:snapToGrid w:val="0"/>
        </w:rPr>
      </w:pPr>
      <w:bookmarkStart w:id="245" w:name="_Toc383511562"/>
      <w:r>
        <w:rPr>
          <w:rStyle w:val="CharSectno"/>
        </w:rPr>
        <w:t>148</w:t>
      </w:r>
      <w:r>
        <w:rPr>
          <w:snapToGrid w:val="0"/>
        </w:rPr>
        <w:t>.</w:t>
      </w:r>
      <w:r>
        <w:rPr>
          <w:snapToGrid w:val="0"/>
        </w:rPr>
        <w:tab/>
        <w:t>Person proposing to deal with proprietor may obtain stay of registration for 48 hours if title is clear</w:t>
      </w:r>
      <w:bookmarkEnd w:id="245"/>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p>
    <w:p>
      <w:pPr>
        <w:pStyle w:val="Heading5"/>
        <w:rPr>
          <w:snapToGrid w:val="0"/>
        </w:rPr>
      </w:pPr>
      <w:bookmarkStart w:id="246" w:name="_Toc383511563"/>
      <w:r>
        <w:rPr>
          <w:rStyle w:val="CharSectno"/>
        </w:rPr>
        <w:t>149</w:t>
      </w:r>
      <w:r>
        <w:rPr>
          <w:snapToGrid w:val="0"/>
        </w:rPr>
        <w:t>.</w:t>
      </w:r>
      <w:r>
        <w:rPr>
          <w:snapToGrid w:val="0"/>
        </w:rPr>
        <w:tab/>
        <w:t>Instrument effecting proposed dealing entitled to priority if lodged within 48 hour stay granted under s. 148</w:t>
      </w:r>
      <w:bookmarkEnd w:id="246"/>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p>
    <w:p>
      <w:pPr>
        <w:pStyle w:val="Heading5"/>
        <w:rPr>
          <w:snapToGrid w:val="0"/>
        </w:rPr>
      </w:pPr>
      <w:bookmarkStart w:id="247" w:name="_Toc383511564"/>
      <w:r>
        <w:rPr>
          <w:rStyle w:val="CharSectno"/>
        </w:rPr>
        <w:t>150</w:t>
      </w:r>
      <w:r>
        <w:rPr>
          <w:snapToGrid w:val="0"/>
        </w:rPr>
        <w:t>.</w:t>
      </w:r>
      <w:r>
        <w:rPr>
          <w:snapToGrid w:val="0"/>
        </w:rPr>
        <w:tab/>
        <w:t>Other instruments received in the 48 hours to have usual priority if proposed dealing not lodged under s. 149</w:t>
      </w:r>
      <w:bookmarkEnd w:id="247"/>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p>
    <w:p>
      <w:pPr>
        <w:pStyle w:val="Heading2"/>
      </w:pPr>
      <w:bookmarkStart w:id="248" w:name="_Toc383511565"/>
      <w:r>
        <w:rPr>
          <w:rStyle w:val="CharPartNo"/>
        </w:rPr>
        <w:t>Part VIII</w:t>
      </w:r>
      <w:r>
        <w:rPr>
          <w:rStyle w:val="CharDivNo"/>
        </w:rPr>
        <w:t> </w:t>
      </w:r>
      <w:r>
        <w:t>—</w:t>
      </w:r>
      <w:r>
        <w:rPr>
          <w:rStyle w:val="CharDivText"/>
        </w:rPr>
        <w:t> </w:t>
      </w:r>
      <w:r>
        <w:rPr>
          <w:rStyle w:val="CharPartText"/>
        </w:rPr>
        <w:t>Surveys, plans, parcels and boundaries</w:t>
      </w:r>
      <w:bookmarkEnd w:id="248"/>
    </w:p>
    <w:p>
      <w:pPr>
        <w:pStyle w:val="Heading5"/>
        <w:rPr>
          <w:snapToGrid w:val="0"/>
        </w:rPr>
      </w:pPr>
      <w:bookmarkStart w:id="249" w:name="_Toc383511566"/>
      <w:r>
        <w:rPr>
          <w:rStyle w:val="CharSectno"/>
        </w:rPr>
        <w:t>151</w:t>
      </w:r>
      <w:r>
        <w:rPr>
          <w:snapToGrid w:val="0"/>
        </w:rPr>
        <w:t>.</w:t>
      </w:r>
      <w:r>
        <w:rPr>
          <w:snapToGrid w:val="0"/>
        </w:rPr>
        <w:tab/>
        <w:t>Crown survey boundaries as marked on ground are true boundaries</w:t>
      </w:r>
      <w:bookmarkEnd w:id="249"/>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by No. 126 of 1987 s. 34; No. 31 of 1997 s. 119; No. 6 of 2003 s. 47.]</w:t>
      </w:r>
    </w:p>
    <w:p>
      <w:pPr>
        <w:pStyle w:val="Heading5"/>
        <w:rPr>
          <w:snapToGrid w:val="0"/>
        </w:rPr>
      </w:pPr>
      <w:bookmarkStart w:id="250" w:name="_Toc383511567"/>
      <w:r>
        <w:rPr>
          <w:rStyle w:val="CharSectno"/>
        </w:rPr>
        <w:t>152</w:t>
      </w:r>
      <w:r>
        <w:rPr>
          <w:snapToGrid w:val="0"/>
        </w:rPr>
        <w:t>.</w:t>
      </w:r>
      <w:r>
        <w:rPr>
          <w:snapToGrid w:val="0"/>
        </w:rPr>
        <w:tab/>
        <w:t>Crown grant or lease conveys land within survey boundaries</w:t>
      </w:r>
      <w:bookmarkEnd w:id="250"/>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by No. 31 of 1997 s. 120; No. 19 of 2010 s. 51.]</w:t>
      </w:r>
    </w:p>
    <w:p>
      <w:pPr>
        <w:pStyle w:val="Heading5"/>
        <w:spacing w:before="240"/>
        <w:rPr>
          <w:snapToGrid w:val="0"/>
        </w:rPr>
      </w:pPr>
      <w:bookmarkStart w:id="251" w:name="_Toc383511568"/>
      <w:r>
        <w:rPr>
          <w:rStyle w:val="CharSectno"/>
        </w:rPr>
        <w:t>153</w:t>
      </w:r>
      <w:r>
        <w:rPr>
          <w:snapToGrid w:val="0"/>
        </w:rPr>
        <w:t>.</w:t>
      </w:r>
      <w:r>
        <w:rPr>
          <w:snapToGrid w:val="0"/>
        </w:rPr>
        <w:tab/>
        <w:t>Aliquot parts of Crown section having excess of area</w:t>
      </w:r>
      <w:bookmarkEnd w:id="251"/>
    </w:p>
    <w:p>
      <w:pPr>
        <w:pStyle w:val="Subsection"/>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by No. 31 of 1997 s. 121.]</w:t>
      </w:r>
    </w:p>
    <w:p>
      <w:pPr>
        <w:pStyle w:val="Heading5"/>
        <w:spacing w:before="240"/>
        <w:rPr>
          <w:snapToGrid w:val="0"/>
        </w:rPr>
      </w:pPr>
      <w:bookmarkStart w:id="252" w:name="_Toc383511569"/>
      <w:r>
        <w:rPr>
          <w:rStyle w:val="CharSectno"/>
        </w:rPr>
        <w:t>153A</w:t>
      </w:r>
      <w:r>
        <w:rPr>
          <w:snapToGrid w:val="0"/>
        </w:rPr>
        <w:t>.</w:t>
      </w:r>
      <w:r>
        <w:rPr>
          <w:snapToGrid w:val="0"/>
        </w:rPr>
        <w:tab/>
        <w:t>Land not in grant etc. but included in certificate due to error in survey may be deemed included in grant etc.</w:t>
      </w:r>
      <w:bookmarkEnd w:id="252"/>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w:t>
      </w:r>
      <w:r>
        <w:rPr>
          <w:snapToGrid w:val="0"/>
          <w:vertAlign w:val="superscript"/>
        </w:rPr>
        <w:t>1</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[Section 153A inserted by 2 Edw. VII. No. 10 s. 7 (as amended by No. 17 of 1950 s. 75); amended by No. 126 of 1987 s. 35; No. 81 of 1996 s. 92; No. 31 of 1997 s. 122; No. 8 of 2010 s. 31.]</w:t>
      </w:r>
    </w:p>
    <w:p>
      <w:pPr>
        <w:pStyle w:val="Heading5"/>
        <w:rPr>
          <w:snapToGrid w:val="0"/>
        </w:rPr>
      </w:pPr>
      <w:bookmarkStart w:id="253" w:name="_Toc383511570"/>
      <w:r>
        <w:rPr>
          <w:rStyle w:val="CharSectno"/>
        </w:rPr>
        <w:t>154</w:t>
      </w:r>
      <w:r>
        <w:rPr>
          <w:snapToGrid w:val="0"/>
        </w:rPr>
        <w:t>.</w:t>
      </w:r>
      <w:r>
        <w:rPr>
          <w:snapToGrid w:val="0"/>
        </w:rPr>
        <w:tab/>
        <w:t>How boundaries may be proved in absence of survey marks</w:t>
      </w:r>
      <w:bookmarkEnd w:id="253"/>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by No. 19 of 2010 s. 51.]</w:t>
      </w:r>
    </w:p>
    <w:p>
      <w:pPr>
        <w:pStyle w:val="Heading5"/>
        <w:rPr>
          <w:snapToGrid w:val="0"/>
        </w:rPr>
      </w:pPr>
      <w:bookmarkStart w:id="254" w:name="_Toc383511571"/>
      <w:r>
        <w:rPr>
          <w:rStyle w:val="CharSectno"/>
        </w:rPr>
        <w:t>155</w:t>
      </w:r>
      <w:r>
        <w:rPr>
          <w:snapToGrid w:val="0"/>
        </w:rPr>
        <w:t>.</w:t>
      </w:r>
      <w:r>
        <w:rPr>
          <w:snapToGrid w:val="0"/>
        </w:rPr>
        <w:tab/>
        <w:t>Margin of error allowed in description of boundaries</w:t>
      </w:r>
      <w:bookmarkEnd w:id="254"/>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48; No. 19 of 2010 s. 51.]</w:t>
      </w:r>
    </w:p>
    <w:p>
      <w:pPr>
        <w:pStyle w:val="Heading5"/>
        <w:rPr>
          <w:snapToGrid w:val="0"/>
        </w:rPr>
      </w:pPr>
      <w:bookmarkStart w:id="255" w:name="_Toc383511572"/>
      <w:r>
        <w:rPr>
          <w:rStyle w:val="CharSectno"/>
        </w:rPr>
        <w:t>156</w:t>
      </w:r>
      <w:r>
        <w:rPr>
          <w:snapToGrid w:val="0"/>
        </w:rPr>
        <w:t>.</w:t>
      </w:r>
      <w:r>
        <w:rPr>
          <w:snapToGrid w:val="0"/>
        </w:rPr>
        <w:tab/>
        <w:t>Commissioner may require special survey of land</w:t>
      </w:r>
      <w:bookmarkEnd w:id="255"/>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by No. 17 of 1950 s. 45; No. 6 of 2003 s. 49; No. 19 of 2010 s. 51.]</w:t>
      </w:r>
    </w:p>
    <w:p>
      <w:pPr>
        <w:pStyle w:val="Heading5"/>
        <w:rPr>
          <w:snapToGrid w:val="0"/>
        </w:rPr>
      </w:pPr>
      <w:bookmarkStart w:id="256" w:name="_Toc383511573"/>
      <w:r>
        <w:rPr>
          <w:rStyle w:val="CharSectno"/>
        </w:rPr>
        <w:t>157</w:t>
      </w:r>
      <w:r>
        <w:rPr>
          <w:snapToGrid w:val="0"/>
        </w:rPr>
        <w:t>.</w:t>
      </w:r>
      <w:r>
        <w:rPr>
          <w:snapToGrid w:val="0"/>
        </w:rPr>
        <w:tab/>
        <w:t>Commissioner may require accuracy of survey to be verified</w:t>
      </w:r>
      <w:bookmarkEnd w:id="256"/>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57" w:name="_Toc383511574"/>
      <w:r>
        <w:rPr>
          <w:rStyle w:val="CharSectno"/>
        </w:rPr>
        <w:t>158</w:t>
      </w:r>
      <w:r>
        <w:rPr>
          <w:snapToGrid w:val="0"/>
        </w:rPr>
        <w:t>.</w:t>
      </w:r>
      <w:r>
        <w:rPr>
          <w:snapToGrid w:val="0"/>
        </w:rPr>
        <w:tab/>
        <w:t>Commissioner may disregard minute errors of dimensions</w:t>
      </w:r>
      <w:bookmarkEnd w:id="257"/>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by No. 94 of 1972 s. 4.]</w:t>
      </w:r>
    </w:p>
    <w:p>
      <w:pPr>
        <w:pStyle w:val="Heading5"/>
        <w:rPr>
          <w:snapToGrid w:val="0"/>
        </w:rPr>
      </w:pPr>
      <w:bookmarkStart w:id="258" w:name="_Toc383511575"/>
      <w:r>
        <w:rPr>
          <w:rStyle w:val="CharSectno"/>
        </w:rPr>
        <w:t>159</w:t>
      </w:r>
      <w:r>
        <w:rPr>
          <w:snapToGrid w:val="0"/>
        </w:rPr>
        <w:t>.</w:t>
      </w:r>
      <w:r>
        <w:rPr>
          <w:snapToGrid w:val="0"/>
        </w:rPr>
        <w:tab/>
        <w:t>Excess land may be apportioned between different owners or proprietors</w:t>
      </w:r>
      <w:bookmarkEnd w:id="258"/>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p>
    <w:p>
      <w:pPr>
        <w:pStyle w:val="Heading5"/>
        <w:rPr>
          <w:snapToGrid w:val="0"/>
        </w:rPr>
      </w:pPr>
      <w:bookmarkStart w:id="259" w:name="_Toc383511576"/>
      <w:r>
        <w:rPr>
          <w:rStyle w:val="CharSectno"/>
        </w:rPr>
        <w:t>160</w:t>
      </w:r>
      <w:r>
        <w:rPr>
          <w:snapToGrid w:val="0"/>
        </w:rPr>
        <w:t>.</w:t>
      </w:r>
      <w:r>
        <w:rPr>
          <w:snapToGrid w:val="0"/>
        </w:rPr>
        <w:tab/>
        <w:t>Commissioner’s powers where boundaries unclear in subdivision</w:t>
      </w:r>
      <w:bookmarkEnd w:id="259"/>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w:t>
      </w:r>
      <w:r>
        <w:rPr>
          <w:spacing w:val="-4"/>
        </w:rPr>
        <w:t xml:space="preserve">2 Edw. VII. No. 10 </w:t>
      </w:r>
      <w:r>
        <w:t>s. 6; No. 81 of 1996 s. 94; No. 6 of 2003 s. 51.]</w:t>
      </w:r>
    </w:p>
    <w:p>
      <w:pPr>
        <w:pStyle w:val="Heading5"/>
        <w:rPr>
          <w:snapToGrid w:val="0"/>
        </w:rPr>
      </w:pPr>
      <w:bookmarkStart w:id="260" w:name="_Toc383511577"/>
      <w:r>
        <w:rPr>
          <w:rStyle w:val="CharSectno"/>
        </w:rPr>
        <w:t>161</w:t>
      </w:r>
      <w:r>
        <w:rPr>
          <w:snapToGrid w:val="0"/>
        </w:rPr>
        <w:t>.</w:t>
      </w:r>
      <w:r>
        <w:rPr>
          <w:snapToGrid w:val="0"/>
        </w:rPr>
        <w:tab/>
        <w:t>Plan to be made of subdivision proposed under s. 160</w:t>
      </w:r>
      <w:bookmarkEnd w:id="260"/>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61" w:name="_Toc383511578"/>
      <w:r>
        <w:rPr>
          <w:rStyle w:val="CharSectno"/>
        </w:rPr>
        <w:t>162</w:t>
      </w:r>
      <w:r>
        <w:rPr>
          <w:snapToGrid w:val="0"/>
        </w:rPr>
        <w:t>.</w:t>
      </w:r>
      <w:r>
        <w:rPr>
          <w:snapToGrid w:val="0"/>
        </w:rPr>
        <w:tab/>
        <w:t>Subdivision proposed under s. 160 to be advertised etc.</w:t>
      </w:r>
      <w:bookmarkEnd w:id="261"/>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 No. 19 of 2010 s. 51.]</w:t>
      </w:r>
    </w:p>
    <w:p>
      <w:pPr>
        <w:pStyle w:val="Heading5"/>
        <w:spacing w:before="240"/>
        <w:rPr>
          <w:snapToGrid w:val="0"/>
        </w:rPr>
      </w:pPr>
      <w:bookmarkStart w:id="262" w:name="_Toc383511579"/>
      <w:r>
        <w:rPr>
          <w:rStyle w:val="CharSectno"/>
        </w:rPr>
        <w:t>163</w:t>
      </w:r>
      <w:r>
        <w:rPr>
          <w:snapToGrid w:val="0"/>
        </w:rPr>
        <w:t>.</w:t>
      </w:r>
      <w:r>
        <w:rPr>
          <w:snapToGrid w:val="0"/>
        </w:rPr>
        <w:tab/>
        <w:t>Finalised subdivision, verification and effect of plan of</w:t>
      </w:r>
      <w:bookmarkEnd w:id="262"/>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[Section 163 amended by No. 81 of 1996 s. 96; No. 6 of 2003 s. 52; No. 19 of 2010 s. 51.]</w:t>
      </w:r>
    </w:p>
    <w:p>
      <w:pPr>
        <w:pStyle w:val="Heading5"/>
        <w:keepLines w:val="0"/>
        <w:rPr>
          <w:snapToGrid w:val="0"/>
        </w:rPr>
      </w:pPr>
      <w:bookmarkStart w:id="263" w:name="_Toc383511580"/>
      <w:r>
        <w:rPr>
          <w:rStyle w:val="CharSectno"/>
        </w:rPr>
        <w:t>164</w:t>
      </w:r>
      <w:r>
        <w:rPr>
          <w:snapToGrid w:val="0"/>
        </w:rPr>
        <w:t>.</w:t>
      </w:r>
      <w:r>
        <w:rPr>
          <w:snapToGrid w:val="0"/>
        </w:rPr>
        <w:tab/>
        <w:t>Public notice to be given of finalised subdivision and plan</w:t>
      </w:r>
      <w:bookmarkEnd w:id="263"/>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64" w:name="_Toc383511581"/>
      <w:r>
        <w:rPr>
          <w:rStyle w:val="CharSectno"/>
        </w:rPr>
        <w:t>165</w:t>
      </w:r>
      <w:r>
        <w:rPr>
          <w:snapToGrid w:val="0"/>
        </w:rPr>
        <w:t>.</w:t>
      </w:r>
      <w:r>
        <w:rPr>
          <w:snapToGrid w:val="0"/>
        </w:rPr>
        <w:tab/>
        <w:t>Expense of survey ordered under s. 160, how paid</w:t>
      </w:r>
      <w:bookmarkEnd w:id="264"/>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[Section 165 amended by No. 6 of 1993 s. 12; No. 81 of 1996 s. 97; No. 6 of 2003 s. 53; No. 77 of 2006 s. 4.]</w:t>
      </w:r>
    </w:p>
    <w:p>
      <w:pPr>
        <w:pStyle w:val="Heading5"/>
        <w:rPr>
          <w:snapToGrid w:val="0"/>
        </w:rPr>
      </w:pPr>
      <w:bookmarkStart w:id="265" w:name="_Toc383511582"/>
      <w:r>
        <w:rPr>
          <w:rStyle w:val="CharSectno"/>
        </w:rPr>
        <w:t>166</w:t>
      </w:r>
      <w:r>
        <w:rPr>
          <w:snapToGrid w:val="0"/>
        </w:rPr>
        <w:t>.</w:t>
      </w:r>
      <w:r>
        <w:rPr>
          <w:snapToGrid w:val="0"/>
        </w:rPr>
        <w:tab/>
        <w:t>New certificates of title on subdivision of land</w:t>
      </w:r>
      <w:bookmarkEnd w:id="265"/>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p>
    <w:p>
      <w:pPr>
        <w:pStyle w:val="Heading5"/>
      </w:pPr>
      <w:bookmarkStart w:id="266" w:name="_Toc383511583"/>
      <w:r>
        <w:rPr>
          <w:rStyle w:val="CharSectno"/>
        </w:rPr>
        <w:t>166A</w:t>
      </w:r>
      <w:r>
        <w:t>.</w:t>
      </w:r>
      <w:r>
        <w:tab/>
        <w:t>Subdivisions of Crown land</w:t>
      </w:r>
      <w:bookmarkEnd w:id="266"/>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67" w:name="_Toc383511584"/>
      <w:r>
        <w:rPr>
          <w:rStyle w:val="CharSectno"/>
        </w:rPr>
        <w:t>166B</w:t>
      </w:r>
      <w:r>
        <w:t>.</w:t>
      </w:r>
      <w:r>
        <w:tab/>
        <w:t>Subsidiary certificates of Crown land title</w:t>
      </w:r>
      <w:bookmarkEnd w:id="267"/>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68" w:name="_Toc383511585"/>
      <w:r>
        <w:rPr>
          <w:rStyle w:val="CharSectno"/>
        </w:rPr>
        <w:t>167</w:t>
      </w:r>
      <w:r>
        <w:rPr>
          <w:snapToGrid w:val="0"/>
        </w:rPr>
        <w:t>.</w:t>
      </w:r>
      <w:r>
        <w:rPr>
          <w:snapToGrid w:val="0"/>
        </w:rPr>
        <w:tab/>
        <w:t>Number of allotment on plan of subdivision sufficient description for purposes of dealing</w:t>
      </w:r>
      <w:bookmarkEnd w:id="268"/>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p>
    <w:p>
      <w:pPr>
        <w:pStyle w:val="Heading5"/>
        <w:rPr>
          <w:snapToGrid w:val="0"/>
        </w:rPr>
      </w:pPr>
      <w:bookmarkStart w:id="269" w:name="_Toc383511586"/>
      <w:r>
        <w:rPr>
          <w:rStyle w:val="CharSectno"/>
        </w:rPr>
        <w:t>167A</w:t>
      </w:r>
      <w:r>
        <w:rPr>
          <w:snapToGrid w:val="0"/>
        </w:rPr>
        <w:t>.</w:t>
      </w:r>
      <w:r>
        <w:rPr>
          <w:snapToGrid w:val="0"/>
        </w:rPr>
        <w:tab/>
        <w:t>Rights of way generally not public ways or thoroughfares</w:t>
      </w:r>
      <w:bookmarkEnd w:id="269"/>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by 2 Edw. VII. No. 10 s. 8 (as amended by No. 17 of 1950 s. 75); amended by No. 57 of 1991 s. 22; No. 81 of 1996 s. 100; No. 38 of 2005 s. 15.]</w:t>
      </w:r>
    </w:p>
    <w:p>
      <w:pPr>
        <w:pStyle w:val="Heading5"/>
        <w:keepNext w:val="0"/>
        <w:keepLines w:val="0"/>
        <w:rPr>
          <w:snapToGrid w:val="0"/>
        </w:rPr>
      </w:pPr>
      <w:bookmarkStart w:id="270" w:name="_Toc383511587"/>
      <w:r>
        <w:rPr>
          <w:rStyle w:val="CharSectno"/>
        </w:rPr>
        <w:t>168</w:t>
      </w:r>
      <w:r>
        <w:rPr>
          <w:snapToGrid w:val="0"/>
        </w:rPr>
        <w:t>.</w:t>
      </w:r>
      <w:r>
        <w:rPr>
          <w:snapToGrid w:val="0"/>
        </w:rPr>
        <w:tab/>
        <w:t>Abuttals may be used in description of land in certificate</w:t>
      </w:r>
      <w:bookmarkEnd w:id="270"/>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pPr>
      <w:r>
        <w:tab/>
        <w:t>[Section 168 amended by No. 81 of 1996 s. 101; No. 6 of 2003 s. 58; No. 19 of 2010 s. 51.]</w:t>
      </w:r>
    </w:p>
    <w:p>
      <w:pPr>
        <w:pStyle w:val="Heading5"/>
        <w:rPr>
          <w:snapToGrid w:val="0"/>
        </w:rPr>
      </w:pPr>
      <w:bookmarkStart w:id="271" w:name="_Toc383511588"/>
      <w:r>
        <w:rPr>
          <w:rStyle w:val="CharSectno"/>
        </w:rPr>
        <w:t>169</w:t>
      </w:r>
      <w:r>
        <w:rPr>
          <w:snapToGrid w:val="0"/>
        </w:rPr>
        <w:t>.</w:t>
      </w:r>
      <w:r>
        <w:rPr>
          <w:snapToGrid w:val="0"/>
        </w:rPr>
        <w:tab/>
        <w:t>Objects which may constitute abuttals</w:t>
      </w:r>
      <w:bookmarkEnd w:id="271"/>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59; No. 19 of 2010 s. 51.]</w:t>
      </w:r>
    </w:p>
    <w:p>
      <w:pPr>
        <w:pStyle w:val="Heading2"/>
      </w:pPr>
      <w:bookmarkStart w:id="272" w:name="_Toc38351158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72"/>
    </w:p>
    <w:p>
      <w:pPr>
        <w:pStyle w:val="Footnoteheading"/>
      </w:pPr>
      <w:r>
        <w:tab/>
        <w:t>[Heading inserted by No. 6 of 2003 s. 60.]</w:t>
      </w:r>
    </w:p>
    <w:p>
      <w:pPr>
        <w:pStyle w:val="Heading5"/>
      </w:pPr>
      <w:bookmarkStart w:id="273" w:name="_Toc383511590"/>
      <w:r>
        <w:rPr>
          <w:rStyle w:val="CharSectno"/>
        </w:rPr>
        <w:t>169A</w:t>
      </w:r>
      <w:r>
        <w:t>.</w:t>
      </w:r>
      <w:r>
        <w:tab/>
        <w:t>Only Minister for Lands may alter areas, boundaries or positions of parcels of Crown land</w:t>
      </w:r>
      <w:bookmarkEnd w:id="273"/>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74" w:name="_Toc383511591"/>
      <w:r>
        <w:rPr>
          <w:rStyle w:val="CharSectno"/>
        </w:rPr>
        <w:t>170</w:t>
      </w:r>
      <w:r>
        <w:rPr>
          <w:snapToGrid w:val="0"/>
        </w:rPr>
        <w:t>.</w:t>
      </w:r>
      <w:r>
        <w:rPr>
          <w:snapToGrid w:val="0"/>
        </w:rPr>
        <w:tab/>
        <w:t>Proprietor may apply for amendment of certificate to make boundaries coincide with land occupied under certificate</w:t>
      </w:r>
      <w:bookmarkEnd w:id="274"/>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p>
    <w:p>
      <w:pPr>
        <w:pStyle w:val="Heading5"/>
        <w:rPr>
          <w:snapToGrid w:val="0"/>
        </w:rPr>
      </w:pPr>
      <w:bookmarkStart w:id="275" w:name="_Toc383511592"/>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75"/>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p>
    <w:p>
      <w:pPr>
        <w:pStyle w:val="Heading5"/>
        <w:rPr>
          <w:snapToGrid w:val="0"/>
        </w:rPr>
      </w:pPr>
      <w:bookmarkStart w:id="276" w:name="_Toc383511593"/>
      <w:r>
        <w:rPr>
          <w:rStyle w:val="CharSectno"/>
        </w:rPr>
        <w:t>172</w:t>
      </w:r>
      <w:r>
        <w:rPr>
          <w:snapToGrid w:val="0"/>
        </w:rPr>
        <w:t>.</w:t>
      </w:r>
      <w:r>
        <w:rPr>
          <w:snapToGrid w:val="0"/>
        </w:rPr>
        <w:tab/>
        <w:t>Form of application under s. 170 or 171</w:t>
      </w:r>
      <w:bookmarkEnd w:id="276"/>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p>
    <w:p>
      <w:pPr>
        <w:pStyle w:val="Heading5"/>
        <w:rPr>
          <w:snapToGrid w:val="0"/>
        </w:rPr>
      </w:pPr>
      <w:bookmarkStart w:id="277" w:name="_Toc383511594"/>
      <w:r>
        <w:rPr>
          <w:rStyle w:val="CharSectno"/>
        </w:rPr>
        <w:t>173</w:t>
      </w:r>
      <w:r>
        <w:rPr>
          <w:snapToGrid w:val="0"/>
        </w:rPr>
        <w:t>.</w:t>
      </w:r>
      <w:r>
        <w:rPr>
          <w:snapToGrid w:val="0"/>
        </w:rPr>
        <w:tab/>
        <w:t>How application under s. 170 or 171 to be dealt with</w:t>
      </w:r>
      <w:bookmarkEnd w:id="277"/>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78" w:name="_Toc383511595"/>
      <w:r>
        <w:rPr>
          <w:rStyle w:val="CharSectno"/>
        </w:rPr>
        <w:t>174</w:t>
      </w:r>
      <w:r>
        <w:t>.</w:t>
      </w:r>
      <w:r>
        <w:tab/>
        <w:t>Notice of s. 170 or 171 application to be given to owners etc. of adjourning land affected by it</w:t>
      </w:r>
      <w:bookmarkEnd w:id="278"/>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p>
    <w:p>
      <w:pPr>
        <w:pStyle w:val="Heading5"/>
        <w:rPr>
          <w:snapToGrid w:val="0"/>
        </w:rPr>
      </w:pPr>
      <w:bookmarkStart w:id="279" w:name="_Toc383511596"/>
      <w:r>
        <w:rPr>
          <w:rStyle w:val="CharSectno"/>
        </w:rPr>
        <w:t>175</w:t>
      </w:r>
      <w:r>
        <w:rPr>
          <w:snapToGrid w:val="0"/>
        </w:rPr>
        <w:t>.</w:t>
      </w:r>
      <w:r>
        <w:rPr>
          <w:snapToGrid w:val="0"/>
        </w:rPr>
        <w:tab/>
        <w:t>Notice of s. 170 or 171 application to be published and publicly displayed</w:t>
      </w:r>
      <w:bookmarkEnd w:id="279"/>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p>
    <w:p>
      <w:pPr>
        <w:pStyle w:val="Heading5"/>
        <w:rPr>
          <w:snapToGrid w:val="0"/>
        </w:rPr>
      </w:pPr>
      <w:bookmarkStart w:id="280" w:name="_Toc383511597"/>
      <w:r>
        <w:rPr>
          <w:rStyle w:val="CharSectno"/>
        </w:rPr>
        <w:t>176</w:t>
      </w:r>
      <w:r>
        <w:rPr>
          <w:snapToGrid w:val="0"/>
        </w:rPr>
        <w:t>.</w:t>
      </w:r>
      <w:r>
        <w:rPr>
          <w:snapToGrid w:val="0"/>
        </w:rPr>
        <w:tab/>
        <w:t>Person opposing s. 170 or 171 application may lodge caveat</w:t>
      </w:r>
      <w:bookmarkEnd w:id="280"/>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81" w:name="_Toc383511598"/>
      <w:r>
        <w:rPr>
          <w:rStyle w:val="CharSectno"/>
        </w:rPr>
        <w:t>177</w:t>
      </w:r>
      <w:r>
        <w:rPr>
          <w:snapToGrid w:val="0"/>
        </w:rPr>
        <w:t>.</w:t>
      </w:r>
      <w:r>
        <w:rPr>
          <w:snapToGrid w:val="0"/>
        </w:rPr>
        <w:tab/>
        <w:t>Applications under s. 170, 171 or 20 may be granted although other certificates may be affected</w:t>
      </w:r>
      <w:bookmarkEnd w:id="281"/>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p>
    <w:p>
      <w:pPr>
        <w:pStyle w:val="Heading5"/>
      </w:pPr>
      <w:bookmarkStart w:id="282" w:name="_Toc383511599"/>
      <w:r>
        <w:rPr>
          <w:rStyle w:val="CharSectno"/>
        </w:rPr>
        <w:t>178</w:t>
      </w:r>
      <w:r>
        <w:t>.</w:t>
      </w:r>
      <w:r>
        <w:tab/>
        <w:t>On granting application other certificates, relevant graphics and duplicate certificates may be amended, replaced or reissued</w:t>
      </w:r>
      <w:bookmarkEnd w:id="282"/>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p>
    <w:p>
      <w:pPr>
        <w:pStyle w:val="Ednotesection"/>
      </w:pPr>
      <w:r>
        <w:t>[</w:t>
      </w:r>
      <w:r>
        <w:rPr>
          <w:b/>
        </w:rPr>
        <w:t>179.</w:t>
      </w:r>
      <w:r>
        <w:tab/>
        <w:t>Deleted by No. 6 of 2003 s. 68.]</w:t>
      </w:r>
    </w:p>
    <w:p>
      <w:pPr>
        <w:pStyle w:val="Heading2"/>
      </w:pPr>
      <w:bookmarkStart w:id="283" w:name="_Toc383511600"/>
      <w:r>
        <w:rPr>
          <w:rStyle w:val="CharPartNo"/>
        </w:rPr>
        <w:t>Part X</w:t>
      </w:r>
      <w:r>
        <w:rPr>
          <w:rStyle w:val="CharDivNo"/>
        </w:rPr>
        <w:t> </w:t>
      </w:r>
      <w:r>
        <w:t>—</w:t>
      </w:r>
      <w:r>
        <w:rPr>
          <w:rStyle w:val="CharDivText"/>
        </w:rPr>
        <w:t> </w:t>
      </w:r>
      <w:r>
        <w:rPr>
          <w:rStyle w:val="CharPartText"/>
        </w:rPr>
        <w:t>Special powers and duties of the Commissioner and Registrar</w:t>
      </w:r>
      <w:bookmarkEnd w:id="283"/>
    </w:p>
    <w:p>
      <w:pPr>
        <w:pStyle w:val="Heading5"/>
        <w:rPr>
          <w:snapToGrid w:val="0"/>
        </w:rPr>
      </w:pPr>
      <w:bookmarkStart w:id="284" w:name="_Toc383511601"/>
      <w:r>
        <w:rPr>
          <w:rStyle w:val="CharSectno"/>
        </w:rPr>
        <w:t>180</w:t>
      </w:r>
      <w:r>
        <w:rPr>
          <w:snapToGrid w:val="0"/>
        </w:rPr>
        <w:t>.</w:t>
      </w:r>
      <w:r>
        <w:rPr>
          <w:snapToGrid w:val="0"/>
        </w:rPr>
        <w:tab/>
        <w:t>Commissioner may summons people to provide information</w:t>
      </w:r>
      <w:bookmarkEnd w:id="284"/>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85" w:name="_Toc383511602"/>
      <w:r>
        <w:rPr>
          <w:rStyle w:val="CharSectno"/>
        </w:rPr>
        <w:t>181</w:t>
      </w:r>
      <w:r>
        <w:rPr>
          <w:snapToGrid w:val="0"/>
        </w:rPr>
        <w:t>.</w:t>
      </w:r>
      <w:r>
        <w:rPr>
          <w:snapToGrid w:val="0"/>
        </w:rPr>
        <w:tab/>
        <w:t>Regulations</w:t>
      </w:r>
      <w:bookmarkEnd w:id="285"/>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Subsection"/>
        <w:spacing w:before="200"/>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spacing w:before="160"/>
        <w:ind w:left="890" w:hanging="890"/>
      </w:pPr>
      <w:r>
        <w:tab/>
        <w:t>[Section 181 inserted by No. 14 of 1972 s. 6; amended by No. 126 of 1987 s. 36; No. 81 of 1996 s. 109; No. 24 of 2000 s. 42(3); No. 60 of 2006 s. 113 and 118(1); No. 77 of 2006 s. 4.]</w:t>
      </w:r>
    </w:p>
    <w:p>
      <w:pPr>
        <w:pStyle w:val="Heading5"/>
        <w:spacing w:before="360"/>
        <w:rPr>
          <w:snapToGrid w:val="0"/>
        </w:rPr>
      </w:pPr>
      <w:bookmarkStart w:id="286" w:name="_Toc383511603"/>
      <w:r>
        <w:rPr>
          <w:rStyle w:val="CharSectno"/>
        </w:rPr>
        <w:t>182</w:t>
      </w:r>
      <w:r>
        <w:rPr>
          <w:snapToGrid w:val="0"/>
        </w:rPr>
        <w:t>.</w:t>
      </w:r>
      <w:r>
        <w:rPr>
          <w:snapToGrid w:val="0"/>
        </w:rPr>
        <w:tab/>
        <w:t>Orders vesting trust estate</w:t>
      </w:r>
      <w:bookmarkEnd w:id="286"/>
    </w:p>
    <w:p>
      <w:pPr>
        <w:pStyle w:val="Subsection"/>
        <w:spacing w:before="20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p>
    <w:p>
      <w:pPr>
        <w:pStyle w:val="Heading5"/>
        <w:keepNext w:val="0"/>
        <w:keepLines w:val="0"/>
        <w:rPr>
          <w:snapToGrid w:val="0"/>
        </w:rPr>
      </w:pPr>
      <w:bookmarkStart w:id="287" w:name="_Toc383511604"/>
      <w:r>
        <w:rPr>
          <w:rStyle w:val="CharSectno"/>
        </w:rPr>
        <w:t>183</w:t>
      </w:r>
      <w:r>
        <w:rPr>
          <w:snapToGrid w:val="0"/>
        </w:rPr>
        <w:t>.</w:t>
      </w:r>
      <w:r>
        <w:rPr>
          <w:snapToGrid w:val="0"/>
        </w:rPr>
        <w:tab/>
        <w:t>Commissioner may make vesting order in cases of completed purchase</w:t>
      </w:r>
      <w:bookmarkEnd w:id="287"/>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88" w:name="_Toc383511605"/>
      <w:r>
        <w:rPr>
          <w:rStyle w:val="CharSectno"/>
        </w:rPr>
        <w:t>184</w:t>
      </w:r>
      <w:r>
        <w:rPr>
          <w:snapToGrid w:val="0"/>
        </w:rPr>
        <w:t>.</w:t>
      </w:r>
      <w:r>
        <w:rPr>
          <w:snapToGrid w:val="0"/>
        </w:rPr>
        <w:tab/>
        <w:t>Encumbrances which no longer affect title, powers to deal with</w:t>
      </w:r>
      <w:bookmarkEnd w:id="288"/>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p>
    <w:p>
      <w:pPr>
        <w:pStyle w:val="Ednotesection"/>
        <w:ind w:left="0" w:firstLine="0"/>
      </w:pPr>
      <w:r>
        <w:t>[</w:t>
      </w:r>
      <w:r>
        <w:rPr>
          <w:b/>
        </w:rPr>
        <w:t>185.</w:t>
      </w:r>
      <w:r>
        <w:tab/>
        <w:t>Deleted by No. 59 of 2004 s. 140.]</w:t>
      </w:r>
    </w:p>
    <w:p>
      <w:pPr>
        <w:pStyle w:val="Ednotesection"/>
        <w:ind w:left="0" w:firstLine="0"/>
      </w:pPr>
      <w:r>
        <w:t>[</w:t>
      </w:r>
      <w:r>
        <w:rPr>
          <w:b/>
        </w:rPr>
        <w:t>186.</w:t>
      </w:r>
      <w:r>
        <w:tab/>
        <w:t>Deleted by No. 20 of 1905 s. 20.]</w:t>
      </w:r>
    </w:p>
    <w:p>
      <w:pPr>
        <w:pStyle w:val="Heading5"/>
        <w:rPr>
          <w:snapToGrid w:val="0"/>
        </w:rPr>
      </w:pPr>
      <w:bookmarkStart w:id="289" w:name="_Toc383511606"/>
      <w:r>
        <w:rPr>
          <w:rStyle w:val="CharSectno"/>
        </w:rPr>
        <w:t>187</w:t>
      </w:r>
      <w:r>
        <w:rPr>
          <w:snapToGrid w:val="0"/>
        </w:rPr>
        <w:t>.</w:t>
      </w:r>
      <w:r>
        <w:rPr>
          <w:snapToGrid w:val="0"/>
        </w:rPr>
        <w:tab/>
        <w:t>Appointment of executor, administrator or Public Trustee, entry on Register and effect</w:t>
      </w:r>
      <w:bookmarkEnd w:id="289"/>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p>
    <w:p>
      <w:pPr>
        <w:pStyle w:val="Heading5"/>
        <w:rPr>
          <w:snapToGrid w:val="0"/>
        </w:rPr>
      </w:pPr>
      <w:bookmarkStart w:id="290" w:name="_Toc383511607"/>
      <w:r>
        <w:rPr>
          <w:rStyle w:val="CharSectno"/>
        </w:rPr>
        <w:t>188</w:t>
      </w:r>
      <w:r>
        <w:rPr>
          <w:snapToGrid w:val="0"/>
        </w:rPr>
        <w:t>.</w:t>
      </w:r>
      <w:r>
        <w:rPr>
          <w:snapToGrid w:val="0"/>
        </w:rPr>
        <w:tab/>
        <w:t>Powers of Registrar</w:t>
      </w:r>
      <w:bookmarkEnd w:id="290"/>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rPr>
          <w:snapToGrid w:val="0"/>
        </w:rPr>
      </w:pPr>
      <w:r>
        <w:rPr>
          <w:snapToGrid w:val="0"/>
        </w:rPr>
        <w:tab/>
        <w:t>(8)</w:t>
      </w:r>
      <w:r>
        <w:rPr>
          <w:snapToGrid w:val="0"/>
        </w:rPr>
        <w:tab/>
        <w:t xml:space="preserve">The Registrar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[Section 188 amended by No. 9 of 1959 s. 2; No. 81 of 1996 s. 112 and 145(1); No. 6 of 2003 s. 72; No. 28 of 2003 s. 129(5); No. 60 of 2006 s. 114; No. 19 of 2010 s. 51.]</w:t>
      </w:r>
    </w:p>
    <w:p>
      <w:pPr>
        <w:pStyle w:val="Heading5"/>
        <w:rPr>
          <w:snapToGrid w:val="0"/>
        </w:rPr>
      </w:pPr>
      <w:bookmarkStart w:id="291" w:name="_Toc383511608"/>
      <w:r>
        <w:rPr>
          <w:rStyle w:val="CharSectno"/>
        </w:rPr>
        <w:t>189</w:t>
      </w:r>
      <w:r>
        <w:rPr>
          <w:snapToGrid w:val="0"/>
        </w:rPr>
        <w:t>.</w:t>
      </w:r>
      <w:r>
        <w:rPr>
          <w:snapToGrid w:val="0"/>
        </w:rPr>
        <w:tab/>
        <w:t>Registrar may correct apparent errors in instruments without direction of Commissioner</w:t>
      </w:r>
      <w:bookmarkEnd w:id="291"/>
    </w:p>
    <w:p>
      <w:pPr>
        <w:pStyle w:val="Subsection"/>
        <w:rPr>
          <w:snapToGrid w:val="0"/>
        </w:rPr>
      </w:pPr>
      <w:r>
        <w:rPr>
          <w:snapToGrid w:val="0"/>
        </w:rPr>
        <w:tab/>
        <w:t>(1)</w:t>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 No. 19 of 2010 s. 51.]</w:t>
      </w:r>
    </w:p>
    <w:p>
      <w:pPr>
        <w:pStyle w:val="Heading5"/>
      </w:pPr>
      <w:bookmarkStart w:id="292" w:name="_Toc383511609"/>
      <w:r>
        <w:rPr>
          <w:rStyle w:val="CharSectno"/>
        </w:rPr>
        <w:t>190</w:t>
      </w:r>
      <w:r>
        <w:t>.</w:t>
      </w:r>
      <w:r>
        <w:tab/>
        <w:t>Money received by Registrar</w:t>
      </w:r>
      <w:bookmarkEnd w:id="292"/>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93" w:name="_Toc383511610"/>
      <w:r>
        <w:rPr>
          <w:rStyle w:val="CharSectno"/>
        </w:rPr>
        <w:t>191</w:t>
      </w:r>
      <w:r>
        <w:rPr>
          <w:snapToGrid w:val="0"/>
        </w:rPr>
        <w:t>.</w:t>
      </w:r>
      <w:r>
        <w:rPr>
          <w:snapToGrid w:val="0"/>
        </w:rPr>
        <w:tab/>
        <w:t>Registrar may demand prescribed fees</w:t>
      </w:r>
      <w:bookmarkEnd w:id="293"/>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p>
    <w:p>
      <w:pPr>
        <w:pStyle w:val="Heading5"/>
        <w:rPr>
          <w:snapToGrid w:val="0"/>
        </w:rPr>
      </w:pPr>
      <w:bookmarkStart w:id="294" w:name="_Toc383511611"/>
      <w:r>
        <w:rPr>
          <w:rStyle w:val="CharSectno"/>
        </w:rPr>
        <w:t>192</w:t>
      </w:r>
      <w:r>
        <w:rPr>
          <w:snapToGrid w:val="0"/>
        </w:rPr>
        <w:t>.</w:t>
      </w:r>
      <w:r>
        <w:rPr>
          <w:snapToGrid w:val="0"/>
        </w:rPr>
        <w:tab/>
        <w:t>Defective documents, rejection of</w:t>
      </w:r>
      <w:bookmarkEnd w:id="294"/>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w:t>
      </w:r>
    </w:p>
    <w:p>
      <w:pPr>
        <w:pStyle w:val="Heading5"/>
        <w:keepNext w:val="0"/>
        <w:keepLines w:val="0"/>
        <w:rPr>
          <w:snapToGrid w:val="0"/>
        </w:rPr>
      </w:pPr>
      <w:bookmarkStart w:id="295" w:name="_Toc383511612"/>
      <w:r>
        <w:rPr>
          <w:rStyle w:val="CharSectno"/>
        </w:rPr>
        <w:t>193</w:t>
      </w:r>
      <w:r>
        <w:rPr>
          <w:snapToGrid w:val="0"/>
        </w:rPr>
        <w:t>.</w:t>
      </w:r>
      <w:r>
        <w:rPr>
          <w:snapToGrid w:val="0"/>
        </w:rPr>
        <w:tab/>
        <w:t>Power to state case for Supreme Court</w:t>
      </w:r>
      <w:bookmarkEnd w:id="295"/>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96" w:name="_Toc383511613"/>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96"/>
    </w:p>
    <w:p>
      <w:pPr>
        <w:pStyle w:val="Footnoteheading"/>
      </w:pPr>
      <w:r>
        <w:tab/>
        <w:t>[Heading inserted by No. 81 of 1996 s. 115.]</w:t>
      </w:r>
    </w:p>
    <w:p>
      <w:pPr>
        <w:pStyle w:val="Ednotesection"/>
      </w:pPr>
      <w:r>
        <w:t>[</w:t>
      </w:r>
      <w:r>
        <w:rPr>
          <w:b/>
        </w:rPr>
        <w:t>194.</w:t>
      </w:r>
      <w:r>
        <w:tab/>
        <w:t>Deleted by No. 81 of 1996 s. 116.]</w:t>
      </w:r>
    </w:p>
    <w:p>
      <w:pPr>
        <w:pStyle w:val="Heading5"/>
        <w:rPr>
          <w:snapToGrid w:val="0"/>
        </w:rPr>
      </w:pPr>
      <w:bookmarkStart w:id="297" w:name="_Toc383511614"/>
      <w:r>
        <w:rPr>
          <w:rStyle w:val="CharSectno"/>
        </w:rPr>
        <w:t>195</w:t>
      </w:r>
      <w:r>
        <w:rPr>
          <w:snapToGrid w:val="0"/>
        </w:rPr>
        <w:t>.</w:t>
      </w:r>
      <w:r>
        <w:rPr>
          <w:snapToGrid w:val="0"/>
        </w:rPr>
        <w:tab/>
        <w:t>Moneys paid by State under s. 201 may be recovered</w:t>
      </w:r>
      <w:bookmarkEnd w:id="297"/>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p>
    <w:p>
      <w:pPr>
        <w:pStyle w:val="Heading5"/>
        <w:rPr>
          <w:snapToGrid w:val="0"/>
        </w:rPr>
      </w:pPr>
      <w:bookmarkStart w:id="298" w:name="_Toc383511615"/>
      <w:r>
        <w:rPr>
          <w:rStyle w:val="CharSectno"/>
        </w:rPr>
        <w:t>196</w:t>
      </w:r>
      <w:r>
        <w:rPr>
          <w:snapToGrid w:val="0"/>
        </w:rPr>
        <w:t>.</w:t>
      </w:r>
      <w:r>
        <w:rPr>
          <w:snapToGrid w:val="0"/>
        </w:rPr>
        <w:tab/>
        <w:t>State not liable in certain cases</w:t>
      </w:r>
      <w:bookmarkEnd w:id="298"/>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 No. 19 of 2010 s. 51.]</w:t>
      </w:r>
    </w:p>
    <w:p>
      <w:pPr>
        <w:pStyle w:val="Ednotesection"/>
      </w:pPr>
      <w:r>
        <w:t>[</w:t>
      </w:r>
      <w:r>
        <w:rPr>
          <w:b/>
        </w:rPr>
        <w:t>197.</w:t>
      </w:r>
      <w:r>
        <w:tab/>
        <w:t>Deleted by No. 81 of 1996 s. 119.]</w:t>
      </w:r>
    </w:p>
    <w:p>
      <w:pPr>
        <w:pStyle w:val="Heading2"/>
      </w:pPr>
      <w:bookmarkStart w:id="299" w:name="_Toc383511616"/>
      <w:r>
        <w:rPr>
          <w:rStyle w:val="CharPartNo"/>
        </w:rPr>
        <w:t>Part XII</w:t>
      </w:r>
      <w:r>
        <w:rPr>
          <w:rStyle w:val="CharDivNo"/>
        </w:rPr>
        <w:t> </w:t>
      </w:r>
      <w:r>
        <w:t>—</w:t>
      </w:r>
      <w:r>
        <w:rPr>
          <w:rStyle w:val="CharDivText"/>
        </w:rPr>
        <w:t> </w:t>
      </w:r>
      <w:r>
        <w:rPr>
          <w:rStyle w:val="CharPartText"/>
        </w:rPr>
        <w:t>Actions and other remedies</w:t>
      </w:r>
      <w:bookmarkEnd w:id="299"/>
    </w:p>
    <w:p>
      <w:pPr>
        <w:pStyle w:val="Heading5"/>
        <w:spacing w:before="180"/>
        <w:rPr>
          <w:snapToGrid w:val="0"/>
        </w:rPr>
      </w:pPr>
      <w:bookmarkStart w:id="300" w:name="_Toc383511617"/>
      <w:r>
        <w:rPr>
          <w:rStyle w:val="CharSectno"/>
        </w:rPr>
        <w:t>198</w:t>
      </w:r>
      <w:r>
        <w:rPr>
          <w:snapToGrid w:val="0"/>
        </w:rPr>
        <w:t>.</w:t>
      </w:r>
      <w:r>
        <w:rPr>
          <w:snapToGrid w:val="0"/>
        </w:rPr>
        <w:tab/>
        <w:t>Officers not to be liable for acts done bona fide</w:t>
      </w:r>
      <w:bookmarkEnd w:id="300"/>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this Act.</w:t>
      </w:r>
    </w:p>
    <w:p>
      <w:pPr>
        <w:pStyle w:val="Footnotesection"/>
      </w:pPr>
      <w:r>
        <w:tab/>
        <w:t>[Section 198 amended by No. 8 of 2010 s. 32.]</w:t>
      </w:r>
    </w:p>
    <w:p>
      <w:pPr>
        <w:pStyle w:val="Heading5"/>
        <w:rPr>
          <w:snapToGrid w:val="0"/>
        </w:rPr>
      </w:pPr>
      <w:bookmarkStart w:id="301" w:name="_Toc383511618"/>
      <w:r>
        <w:rPr>
          <w:rStyle w:val="CharSectno"/>
        </w:rPr>
        <w:t>199</w:t>
      </w:r>
      <w:r>
        <w:rPr>
          <w:snapToGrid w:val="0"/>
        </w:rPr>
        <w:t>.</w:t>
      </w:r>
      <w:r>
        <w:rPr>
          <w:snapToGrid w:val="0"/>
        </w:rPr>
        <w:tab/>
        <w:t>Registered proprietor protected against ejectment except in certain cases</w:t>
      </w:r>
      <w:bookmarkEnd w:id="301"/>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 No. 19 of 2010 s. 51.]</w:t>
      </w:r>
    </w:p>
    <w:p>
      <w:pPr>
        <w:pStyle w:val="Heading5"/>
        <w:rPr>
          <w:snapToGrid w:val="0"/>
        </w:rPr>
      </w:pPr>
      <w:bookmarkStart w:id="302" w:name="_Toc383511619"/>
      <w:r>
        <w:rPr>
          <w:rStyle w:val="CharSectno"/>
        </w:rPr>
        <w:t>200</w:t>
      </w:r>
      <w:r>
        <w:rPr>
          <w:snapToGrid w:val="0"/>
        </w:rPr>
        <w:t>.</w:t>
      </w:r>
      <w:r>
        <w:rPr>
          <w:snapToGrid w:val="0"/>
        </w:rPr>
        <w:tab/>
        <w:t>Court may direct cancellation of certificate or entry in Register in certain cases</w:t>
      </w:r>
      <w:bookmarkEnd w:id="302"/>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p>
    <w:p>
      <w:pPr>
        <w:pStyle w:val="Heading5"/>
        <w:rPr>
          <w:snapToGrid w:val="0"/>
        </w:rPr>
      </w:pPr>
      <w:bookmarkStart w:id="303" w:name="_Toc383511620"/>
      <w:r>
        <w:rPr>
          <w:rStyle w:val="CharSectno"/>
        </w:rPr>
        <w:t>201</w:t>
      </w:r>
      <w:r>
        <w:rPr>
          <w:snapToGrid w:val="0"/>
        </w:rPr>
        <w:t>.</w:t>
      </w:r>
      <w:r>
        <w:rPr>
          <w:snapToGrid w:val="0"/>
        </w:rPr>
        <w:tab/>
        <w:t>Compensation of person deprived of land</w:t>
      </w:r>
      <w:bookmarkEnd w:id="303"/>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by No. 81 of 1996 s. 120 and 145(1); No. 77 of 2006 s. 4; No. 19 of 2010 s. 51.]</w:t>
      </w:r>
    </w:p>
    <w:p>
      <w:pPr>
        <w:pStyle w:val="Heading5"/>
        <w:rPr>
          <w:snapToGrid w:val="0"/>
        </w:rPr>
      </w:pPr>
      <w:bookmarkStart w:id="304" w:name="_Toc383511621"/>
      <w:r>
        <w:rPr>
          <w:rStyle w:val="CharSectno"/>
        </w:rPr>
        <w:t>202</w:t>
      </w:r>
      <w:r>
        <w:rPr>
          <w:snapToGrid w:val="0"/>
        </w:rPr>
        <w:t>.</w:t>
      </w:r>
      <w:r>
        <w:rPr>
          <w:snapToGrid w:val="0"/>
        </w:rPr>
        <w:tab/>
        <w:t>Purchasers protected</w:t>
      </w:r>
      <w:bookmarkEnd w:id="304"/>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305" w:name="_Toc383511622"/>
      <w:r>
        <w:rPr>
          <w:rStyle w:val="CharSectno"/>
        </w:rPr>
        <w:t>203</w:t>
      </w:r>
      <w:r>
        <w:rPr>
          <w:snapToGrid w:val="0"/>
        </w:rPr>
        <w:t>.</w:t>
      </w:r>
      <w:r>
        <w:rPr>
          <w:snapToGrid w:val="0"/>
        </w:rPr>
        <w:tab/>
        <w:t>Owner may require Commissioner or Registrar to substantiate decision before Supreme Court</w:t>
      </w:r>
      <w:bookmarkEnd w:id="305"/>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 No. 19 of 2010 s. 51.]</w:t>
      </w:r>
    </w:p>
    <w:p>
      <w:pPr>
        <w:pStyle w:val="Heading5"/>
        <w:rPr>
          <w:snapToGrid w:val="0"/>
        </w:rPr>
      </w:pPr>
      <w:bookmarkStart w:id="306" w:name="_Toc383511623"/>
      <w:r>
        <w:rPr>
          <w:rStyle w:val="CharSectno"/>
        </w:rPr>
        <w:t>204</w:t>
      </w:r>
      <w:r>
        <w:rPr>
          <w:snapToGrid w:val="0"/>
        </w:rPr>
        <w:t>.</w:t>
      </w:r>
      <w:r>
        <w:rPr>
          <w:snapToGrid w:val="0"/>
        </w:rPr>
        <w:tab/>
        <w:t>Cost of summons and proceedings under s. 203 to be in discretion of court</w:t>
      </w:r>
      <w:bookmarkEnd w:id="306"/>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p>
    <w:p>
      <w:pPr>
        <w:pStyle w:val="Heading5"/>
        <w:rPr>
          <w:snapToGrid w:val="0"/>
        </w:rPr>
      </w:pPr>
      <w:bookmarkStart w:id="307" w:name="_Toc383511624"/>
      <w:r>
        <w:rPr>
          <w:rStyle w:val="CharSectno"/>
        </w:rPr>
        <w:t>205</w:t>
      </w:r>
      <w:r>
        <w:rPr>
          <w:snapToGrid w:val="0"/>
        </w:rPr>
        <w:t>.</w:t>
      </w:r>
      <w:r>
        <w:rPr>
          <w:snapToGrid w:val="0"/>
        </w:rPr>
        <w:tab/>
        <w:t>Actions for damages may in some cases be brought against Registrar as nominal defendant</w:t>
      </w:r>
      <w:bookmarkEnd w:id="307"/>
    </w:p>
    <w:p>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by No. 81 of 1996 s. 123 and 145(1); No. 19 of 2010 s. 51.]</w:t>
      </w:r>
    </w:p>
    <w:p>
      <w:pPr>
        <w:pStyle w:val="Heading5"/>
        <w:rPr>
          <w:snapToGrid w:val="0"/>
        </w:rPr>
      </w:pPr>
      <w:bookmarkStart w:id="308" w:name="_Toc383511625"/>
      <w:r>
        <w:rPr>
          <w:rStyle w:val="CharSectno"/>
        </w:rPr>
        <w:t>206</w:t>
      </w:r>
      <w:r>
        <w:rPr>
          <w:snapToGrid w:val="0"/>
        </w:rPr>
        <w:t>.</w:t>
      </w:r>
      <w:r>
        <w:rPr>
          <w:snapToGrid w:val="0"/>
        </w:rPr>
        <w:tab/>
        <w:t>Actions for damages for loss due to inaccurate survey</w:t>
      </w:r>
      <w:bookmarkEnd w:id="308"/>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p>
    <w:p>
      <w:pPr>
        <w:pStyle w:val="Heading5"/>
        <w:rPr>
          <w:snapToGrid w:val="0"/>
        </w:rPr>
      </w:pPr>
      <w:bookmarkStart w:id="309" w:name="_Toc383511626"/>
      <w:r>
        <w:rPr>
          <w:rStyle w:val="CharSectno"/>
        </w:rPr>
        <w:t>207</w:t>
      </w:r>
      <w:r>
        <w:rPr>
          <w:snapToGrid w:val="0"/>
        </w:rPr>
        <w:t>.</w:t>
      </w:r>
      <w:r>
        <w:rPr>
          <w:snapToGrid w:val="0"/>
        </w:rPr>
        <w:tab/>
        <w:t>Actions for damages in certain other cases</w:t>
      </w:r>
      <w:bookmarkEnd w:id="309"/>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 No. 19 of 2010 s. 51.]</w:t>
      </w:r>
    </w:p>
    <w:p>
      <w:pPr>
        <w:pStyle w:val="Heading5"/>
        <w:rPr>
          <w:snapToGrid w:val="0"/>
        </w:rPr>
      </w:pPr>
      <w:bookmarkStart w:id="310" w:name="_Toc383511627"/>
      <w:r>
        <w:rPr>
          <w:rStyle w:val="CharSectno"/>
        </w:rPr>
        <w:t>208</w:t>
      </w:r>
      <w:r>
        <w:rPr>
          <w:snapToGrid w:val="0"/>
        </w:rPr>
        <w:t>.</w:t>
      </w:r>
      <w:r>
        <w:rPr>
          <w:snapToGrid w:val="0"/>
        </w:rPr>
        <w:tab/>
        <w:t>Claims for damages may be made to Commissioner before commencing court action</w:t>
      </w:r>
      <w:bookmarkEnd w:id="310"/>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4; No. 19 of 2010 s. 51.]</w:t>
      </w:r>
    </w:p>
    <w:p>
      <w:pPr>
        <w:pStyle w:val="Heading5"/>
        <w:rPr>
          <w:snapToGrid w:val="0"/>
        </w:rPr>
      </w:pPr>
      <w:bookmarkStart w:id="311" w:name="_Toc383511628"/>
      <w:r>
        <w:rPr>
          <w:rStyle w:val="CharSectno"/>
        </w:rPr>
        <w:t>209</w:t>
      </w:r>
      <w:r>
        <w:rPr>
          <w:snapToGrid w:val="0"/>
        </w:rPr>
        <w:t>.</w:t>
      </w:r>
      <w:r>
        <w:rPr>
          <w:snapToGrid w:val="0"/>
        </w:rPr>
        <w:tab/>
        <w:t>Notice of action to be served</w:t>
      </w:r>
      <w:bookmarkEnd w:id="311"/>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p>
    <w:p>
      <w:pPr>
        <w:pStyle w:val="Heading5"/>
        <w:rPr>
          <w:snapToGrid w:val="0"/>
        </w:rPr>
      </w:pPr>
      <w:bookmarkStart w:id="312" w:name="_Toc383511629"/>
      <w:r>
        <w:rPr>
          <w:rStyle w:val="CharSectno"/>
        </w:rPr>
        <w:t>210</w:t>
      </w:r>
      <w:r>
        <w:rPr>
          <w:snapToGrid w:val="0"/>
        </w:rPr>
        <w:t>.</w:t>
      </w:r>
      <w:r>
        <w:rPr>
          <w:snapToGrid w:val="0"/>
        </w:rPr>
        <w:tab/>
        <w:t>Damages etc. awarded to be charged to Consolidated Account</w:t>
      </w:r>
      <w:bookmarkEnd w:id="312"/>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p>
    <w:p>
      <w:pPr>
        <w:pStyle w:val="Heading5"/>
        <w:rPr>
          <w:snapToGrid w:val="0"/>
        </w:rPr>
      </w:pPr>
      <w:bookmarkStart w:id="313" w:name="_Toc383511630"/>
      <w:r>
        <w:rPr>
          <w:rStyle w:val="CharSectno"/>
        </w:rPr>
        <w:t>211</w:t>
      </w:r>
      <w:r>
        <w:rPr>
          <w:snapToGrid w:val="0"/>
        </w:rPr>
        <w:t>.</w:t>
      </w:r>
      <w:r>
        <w:rPr>
          <w:snapToGrid w:val="0"/>
        </w:rPr>
        <w:tab/>
        <w:t>Limitation of actions</w:t>
      </w:r>
      <w:bookmarkEnd w:id="313"/>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 No. 19 of 2010 s. 51.]</w:t>
      </w:r>
    </w:p>
    <w:p>
      <w:pPr>
        <w:pStyle w:val="Heading5"/>
        <w:rPr>
          <w:snapToGrid w:val="0"/>
        </w:rPr>
      </w:pPr>
      <w:bookmarkStart w:id="314" w:name="_Toc383511631"/>
      <w:r>
        <w:rPr>
          <w:rStyle w:val="CharSectno"/>
        </w:rPr>
        <w:t>212</w:t>
      </w:r>
      <w:r>
        <w:rPr>
          <w:snapToGrid w:val="0"/>
        </w:rPr>
        <w:t>.</w:t>
      </w:r>
      <w:r>
        <w:rPr>
          <w:snapToGrid w:val="0"/>
        </w:rPr>
        <w:tab/>
        <w:t>Rules of Supreme Court to apply and same right of appeal as in ordinary actions</w:t>
      </w:r>
      <w:bookmarkEnd w:id="314"/>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by No. 19 of 2010 s. 51.]</w:t>
      </w:r>
    </w:p>
    <w:p>
      <w:pPr>
        <w:pStyle w:val="Heading5"/>
        <w:rPr>
          <w:snapToGrid w:val="0"/>
        </w:rPr>
      </w:pPr>
      <w:bookmarkStart w:id="315" w:name="_Toc383511632"/>
      <w:r>
        <w:rPr>
          <w:rStyle w:val="CharSectno"/>
        </w:rPr>
        <w:t>213</w:t>
      </w:r>
      <w:r>
        <w:rPr>
          <w:snapToGrid w:val="0"/>
        </w:rPr>
        <w:t>.</w:t>
      </w:r>
      <w:r>
        <w:rPr>
          <w:snapToGrid w:val="0"/>
        </w:rPr>
        <w:tab/>
        <w:t>Obligation to make discovery not excluded</w:t>
      </w:r>
      <w:bookmarkEnd w:id="315"/>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316" w:name="_Toc383511633"/>
      <w:r>
        <w:rPr>
          <w:rStyle w:val="CharPartNo"/>
        </w:rPr>
        <w:t>Part XIII</w:t>
      </w:r>
      <w:r>
        <w:rPr>
          <w:rStyle w:val="CharDivNo"/>
        </w:rPr>
        <w:t> </w:t>
      </w:r>
      <w:r>
        <w:t>—</w:t>
      </w:r>
      <w:r>
        <w:rPr>
          <w:rStyle w:val="CharDivText"/>
        </w:rPr>
        <w:t> </w:t>
      </w:r>
      <w:r>
        <w:rPr>
          <w:rStyle w:val="CharPartText"/>
        </w:rPr>
        <w:t>Offences</w:t>
      </w:r>
      <w:bookmarkEnd w:id="316"/>
    </w:p>
    <w:p>
      <w:pPr>
        <w:pStyle w:val="Heading5"/>
        <w:spacing w:before="180"/>
        <w:rPr>
          <w:snapToGrid w:val="0"/>
        </w:rPr>
      </w:pPr>
      <w:bookmarkStart w:id="317" w:name="_Toc383511634"/>
      <w:r>
        <w:rPr>
          <w:rStyle w:val="CharSectno"/>
        </w:rPr>
        <w:t>214</w:t>
      </w:r>
      <w:r>
        <w:rPr>
          <w:snapToGrid w:val="0"/>
        </w:rPr>
        <w:t>.</w:t>
      </w:r>
      <w:r>
        <w:rPr>
          <w:snapToGrid w:val="0"/>
        </w:rPr>
        <w:tab/>
        <w:t>Certain fraudulent acts are offences</w:t>
      </w:r>
      <w:bookmarkEnd w:id="317"/>
    </w:p>
    <w:p>
      <w:pPr>
        <w:pStyle w:val="Subsection"/>
        <w:rPr>
          <w:snapToGrid w:val="0"/>
        </w:rPr>
      </w:pPr>
      <w:r>
        <w:rPr>
          <w:snapToGrid w:val="0"/>
        </w:rPr>
        <w:tab/>
        <w:t>(1)</w:t>
      </w:r>
      <w:r>
        <w:rPr>
          <w:snapToGrid w:val="0"/>
        </w:rPr>
        <w:tab/>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[Section 214 amended by 1 and 2 Edw. VII 1902 s. 3; No. 17 of 1950 s. 60; No. 81 of 1996 s. 145(1); No. 31 of 1997 s. 129; No. 59 of 2004 s. 140; No. 84 of 2004 s. 78.]</w:t>
      </w:r>
    </w:p>
    <w:p>
      <w:pPr>
        <w:pStyle w:val="Heading5"/>
        <w:rPr>
          <w:snapToGrid w:val="0"/>
        </w:rPr>
      </w:pPr>
      <w:bookmarkStart w:id="318" w:name="_Toc383511635"/>
      <w:r>
        <w:rPr>
          <w:rStyle w:val="CharSectno"/>
        </w:rPr>
        <w:t>214A</w:t>
      </w:r>
      <w:r>
        <w:rPr>
          <w:snapToGrid w:val="0"/>
        </w:rPr>
        <w:t>.</w:t>
      </w:r>
      <w:r>
        <w:rPr>
          <w:snapToGrid w:val="0"/>
        </w:rPr>
        <w:tab/>
        <w:t>Failure to lodge duplicate certificate of title or Crown lease</w:t>
      </w:r>
      <w:bookmarkEnd w:id="318"/>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[Section 214A inserted by No. 17 of 1950 s. 61.]</w:t>
      </w:r>
    </w:p>
    <w:p>
      <w:pPr>
        <w:pStyle w:val="Heading5"/>
        <w:rPr>
          <w:snapToGrid w:val="0"/>
        </w:rPr>
      </w:pPr>
      <w:bookmarkStart w:id="319" w:name="_Toc383511636"/>
      <w:r>
        <w:rPr>
          <w:rStyle w:val="CharSectno"/>
        </w:rPr>
        <w:t>214B</w:t>
      </w:r>
      <w:r>
        <w:rPr>
          <w:snapToGrid w:val="0"/>
        </w:rPr>
        <w:t>.</w:t>
      </w:r>
      <w:r>
        <w:rPr>
          <w:snapToGrid w:val="0"/>
        </w:rPr>
        <w:tab/>
        <w:t>General penalty</w:t>
      </w:r>
      <w:bookmarkEnd w:id="319"/>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[Section 214B inserted by No. 17 of 1950 s. 62; amended by No. 113 of 1965 s. 4; No. 81 of 1996 s. 130.]</w:t>
      </w:r>
    </w:p>
    <w:p>
      <w:pPr>
        <w:pStyle w:val="Ednotesection"/>
      </w:pPr>
      <w:r>
        <w:t>[</w:t>
      </w:r>
      <w:r>
        <w:rPr>
          <w:b/>
        </w:rPr>
        <w:t>215</w:t>
      </w:r>
      <w:r>
        <w:rPr>
          <w:b/>
        </w:rPr>
        <w:noBreakHyphen/>
        <w:t>218.</w:t>
      </w:r>
      <w:r>
        <w:tab/>
        <w:t>Deleted by No. 17 of 1950 s. 63.]</w:t>
      </w:r>
    </w:p>
    <w:p>
      <w:pPr>
        <w:pStyle w:val="Heading2"/>
      </w:pPr>
      <w:bookmarkStart w:id="320" w:name="_Toc383511637"/>
      <w:r>
        <w:rPr>
          <w:rStyle w:val="CharPartNo"/>
        </w:rPr>
        <w:t>Part XIV</w:t>
      </w:r>
      <w:r>
        <w:rPr>
          <w:rStyle w:val="CharDivNo"/>
        </w:rPr>
        <w:t> </w:t>
      </w:r>
      <w:r>
        <w:t>—</w:t>
      </w:r>
      <w:r>
        <w:rPr>
          <w:rStyle w:val="CharDivText"/>
        </w:rPr>
        <w:t> </w:t>
      </w:r>
      <w:r>
        <w:rPr>
          <w:rStyle w:val="CharPartText"/>
        </w:rPr>
        <w:t>Miscellaneous</w:t>
      </w:r>
      <w:bookmarkEnd w:id="320"/>
    </w:p>
    <w:p>
      <w:pPr>
        <w:pStyle w:val="Heading5"/>
        <w:rPr>
          <w:snapToGrid w:val="0"/>
        </w:rPr>
      </w:pPr>
      <w:bookmarkStart w:id="321" w:name="_Toc383511638"/>
      <w:r>
        <w:rPr>
          <w:rStyle w:val="CharSectno"/>
        </w:rPr>
        <w:t>219</w:t>
      </w:r>
      <w:r>
        <w:rPr>
          <w:snapToGrid w:val="0"/>
        </w:rPr>
        <w:t>.</w:t>
      </w:r>
      <w:r>
        <w:rPr>
          <w:snapToGrid w:val="0"/>
        </w:rPr>
        <w:tab/>
        <w:t>Person entitled under will etc. may apply to be registered</w:t>
      </w:r>
      <w:bookmarkEnd w:id="321"/>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 No. 19 of 2010 s. 51.]</w:t>
      </w:r>
    </w:p>
    <w:p>
      <w:pPr>
        <w:pStyle w:val="Heading5"/>
        <w:rPr>
          <w:snapToGrid w:val="0"/>
        </w:rPr>
      </w:pPr>
      <w:bookmarkStart w:id="322" w:name="_Toc383511639"/>
      <w:r>
        <w:rPr>
          <w:rStyle w:val="CharSectno"/>
        </w:rPr>
        <w:t>220</w:t>
      </w:r>
      <w:r>
        <w:rPr>
          <w:snapToGrid w:val="0"/>
        </w:rPr>
        <w:t>.</w:t>
      </w:r>
      <w:r>
        <w:rPr>
          <w:snapToGrid w:val="0"/>
        </w:rPr>
        <w:tab/>
        <w:t>Application under s. 219, how dealt with</w:t>
      </w:r>
      <w:bookmarkEnd w:id="322"/>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spacing w:before="80"/>
        <w:ind w:left="890" w:hanging="890"/>
      </w:pPr>
      <w:r>
        <w:tab/>
        <w:t>[Section 220 amended by No. 81 of 1996 s. 145(1); No. 19 of 2010 s. 51.]</w:t>
      </w:r>
    </w:p>
    <w:p>
      <w:pPr>
        <w:pStyle w:val="Heading5"/>
        <w:rPr>
          <w:snapToGrid w:val="0"/>
        </w:rPr>
      </w:pPr>
      <w:bookmarkStart w:id="323" w:name="_Toc383511640"/>
      <w:r>
        <w:rPr>
          <w:rStyle w:val="CharSectno"/>
        </w:rPr>
        <w:t>221</w:t>
      </w:r>
      <w:r>
        <w:rPr>
          <w:snapToGrid w:val="0"/>
        </w:rPr>
        <w:t>.</w:t>
      </w:r>
      <w:r>
        <w:rPr>
          <w:snapToGrid w:val="0"/>
        </w:rPr>
        <w:tab/>
        <w:t>Remainder</w:t>
      </w:r>
      <w:r>
        <w:rPr>
          <w:snapToGrid w:val="0"/>
        </w:rPr>
        <w:noBreakHyphen/>
        <w:t>man or reversioner may apply to be registered</w:t>
      </w:r>
      <w:bookmarkEnd w:id="323"/>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by No. 19 of 2010 s. 51.]</w:t>
      </w:r>
    </w:p>
    <w:p>
      <w:pPr>
        <w:pStyle w:val="Heading5"/>
        <w:rPr>
          <w:snapToGrid w:val="0"/>
        </w:rPr>
      </w:pPr>
      <w:bookmarkStart w:id="324" w:name="_Toc383511641"/>
      <w:r>
        <w:rPr>
          <w:rStyle w:val="CharSectno"/>
        </w:rPr>
        <w:t>222</w:t>
      </w:r>
      <w:r>
        <w:rPr>
          <w:snapToGrid w:val="0"/>
        </w:rPr>
        <w:t>.</w:t>
      </w:r>
      <w:r>
        <w:rPr>
          <w:snapToGrid w:val="0"/>
        </w:rPr>
        <w:tab/>
        <w:t>Person claiming title under statute of limitations may apply to be registered</w:t>
      </w:r>
      <w:bookmarkEnd w:id="324"/>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spacing w:before="80"/>
        <w:ind w:left="890" w:hanging="890"/>
      </w:pPr>
      <w:r>
        <w:tab/>
        <w:t>[Section 222 amended by No. 19 of 2010 s. 51.]</w:t>
      </w:r>
    </w:p>
    <w:p>
      <w:pPr>
        <w:pStyle w:val="Heading5"/>
        <w:rPr>
          <w:snapToGrid w:val="0"/>
        </w:rPr>
      </w:pPr>
      <w:bookmarkStart w:id="325" w:name="_Toc383511642"/>
      <w:r>
        <w:rPr>
          <w:rStyle w:val="CharSectno"/>
        </w:rPr>
        <w:t>223</w:t>
      </w:r>
      <w:r>
        <w:rPr>
          <w:snapToGrid w:val="0"/>
        </w:rPr>
        <w:t>.</w:t>
      </w:r>
      <w:r>
        <w:rPr>
          <w:snapToGrid w:val="0"/>
        </w:rPr>
        <w:tab/>
        <w:t>Application under s. 222, how dealt with</w:t>
      </w:r>
      <w:bookmarkEnd w:id="325"/>
    </w:p>
    <w:p>
      <w:pPr>
        <w:pStyle w:val="Subsection"/>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 No. 19 of 2010 s. 51.]</w:t>
      </w:r>
    </w:p>
    <w:p>
      <w:pPr>
        <w:pStyle w:val="Heading5"/>
        <w:rPr>
          <w:snapToGrid w:val="0"/>
        </w:rPr>
      </w:pPr>
      <w:bookmarkStart w:id="326" w:name="_Toc383511643"/>
      <w:r>
        <w:rPr>
          <w:rStyle w:val="CharSectno"/>
        </w:rPr>
        <w:t>223A</w:t>
      </w:r>
      <w:r>
        <w:rPr>
          <w:snapToGrid w:val="0"/>
        </w:rPr>
        <w:t>.</w:t>
      </w:r>
      <w:r>
        <w:rPr>
          <w:snapToGrid w:val="0"/>
        </w:rPr>
        <w:tab/>
        <w:t>Caveat against application</w:t>
      </w:r>
      <w:bookmarkEnd w:id="326"/>
    </w:p>
    <w:p>
      <w:pPr>
        <w:pStyle w:val="Subsection"/>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[Section 223A inserted by No. 17 of 1950 s. 64; amended by No. 19 of 2010 s. 51.]</w:t>
      </w:r>
    </w:p>
    <w:p>
      <w:pPr>
        <w:pStyle w:val="Ednotesection"/>
      </w:pPr>
      <w:r>
        <w:t>[</w:t>
      </w:r>
      <w:r>
        <w:rPr>
          <w:b/>
        </w:rPr>
        <w:t>224.</w:t>
      </w:r>
      <w:r>
        <w:tab/>
        <w:t>Deleted by No. 81 of 1996 s. 132.]</w:t>
      </w:r>
    </w:p>
    <w:p>
      <w:pPr>
        <w:pStyle w:val="Ednotesection"/>
      </w:pPr>
      <w:r>
        <w:t>[</w:t>
      </w:r>
      <w:r>
        <w:rPr>
          <w:b/>
        </w:rPr>
        <w:t>225.</w:t>
      </w:r>
      <w:r>
        <w:tab/>
        <w:t>Deleted by No. 81 of 1996 s. 133.]</w:t>
      </w:r>
    </w:p>
    <w:p>
      <w:pPr>
        <w:pStyle w:val="Ednotesection"/>
      </w:pPr>
      <w:r>
        <w:t>[</w:t>
      </w:r>
      <w:r>
        <w:rPr>
          <w:b/>
        </w:rPr>
        <w:t>226.</w:t>
      </w:r>
      <w:r>
        <w:tab/>
        <w:t>Deleted by No. 6 of 2003 s. 76.]</w:t>
      </w:r>
    </w:p>
    <w:p>
      <w:pPr>
        <w:pStyle w:val="Heading5"/>
        <w:rPr>
          <w:snapToGrid w:val="0"/>
        </w:rPr>
      </w:pPr>
      <w:bookmarkStart w:id="327" w:name="_Toc383511644"/>
      <w:r>
        <w:rPr>
          <w:rStyle w:val="CharSectno"/>
        </w:rPr>
        <w:t>227</w:t>
      </w:r>
      <w:r>
        <w:rPr>
          <w:snapToGrid w:val="0"/>
        </w:rPr>
        <w:t>.</w:t>
      </w:r>
      <w:r>
        <w:rPr>
          <w:snapToGrid w:val="0"/>
        </w:rPr>
        <w:tab/>
        <w:t>Survivor of joint proprietors may apply to be registered</w:t>
      </w:r>
      <w:bookmarkEnd w:id="327"/>
    </w:p>
    <w:p>
      <w:pPr>
        <w:pStyle w:val="Subsection"/>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by No. 6 of 2003 s. 77.]</w:t>
      </w:r>
    </w:p>
    <w:p>
      <w:pPr>
        <w:pStyle w:val="Heading5"/>
        <w:rPr>
          <w:snapToGrid w:val="0"/>
        </w:rPr>
      </w:pPr>
      <w:bookmarkStart w:id="328" w:name="_Toc383511645"/>
      <w:r>
        <w:rPr>
          <w:rStyle w:val="CharSectno"/>
        </w:rPr>
        <w:t>228</w:t>
      </w:r>
      <w:r>
        <w:rPr>
          <w:snapToGrid w:val="0"/>
        </w:rPr>
        <w:t>.</w:t>
      </w:r>
      <w:r>
        <w:rPr>
          <w:snapToGrid w:val="0"/>
        </w:rPr>
        <w:tab/>
        <w:t>Proprietors and transferees for time being to stand in place of previous owners</w:t>
      </w:r>
      <w:bookmarkEnd w:id="328"/>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29" w:name="_Toc383511646"/>
      <w:r>
        <w:rPr>
          <w:rStyle w:val="CharSectno"/>
        </w:rPr>
        <w:t>229</w:t>
      </w:r>
      <w:r>
        <w:rPr>
          <w:snapToGrid w:val="0"/>
        </w:rPr>
        <w:t>.</w:t>
      </w:r>
      <w:r>
        <w:rPr>
          <w:snapToGrid w:val="0"/>
        </w:rPr>
        <w:tab/>
        <w:t>Proprietor’s name, use of in court action by beneficiary etc.</w:t>
      </w:r>
      <w:bookmarkEnd w:id="329"/>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by No. 19 of 2010 s. 51.]</w:t>
      </w:r>
    </w:p>
    <w:p>
      <w:pPr>
        <w:pStyle w:val="Heading5"/>
        <w:rPr>
          <w:snapToGrid w:val="0"/>
        </w:rPr>
      </w:pPr>
      <w:bookmarkStart w:id="330" w:name="_Toc383511647"/>
      <w:r>
        <w:rPr>
          <w:rStyle w:val="CharSectno"/>
        </w:rPr>
        <w:t>229A</w:t>
      </w:r>
      <w:r>
        <w:rPr>
          <w:snapToGrid w:val="0"/>
        </w:rPr>
        <w:t>.</w:t>
      </w:r>
      <w:r>
        <w:rPr>
          <w:snapToGrid w:val="0"/>
        </w:rPr>
        <w:tab/>
        <w:t>Easement not used or enjoyed for 20 years, removal of</w:t>
      </w:r>
      <w:bookmarkEnd w:id="330"/>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p>
    <w:p>
      <w:pPr>
        <w:pStyle w:val="Heading5"/>
        <w:rPr>
          <w:snapToGrid w:val="0"/>
        </w:rPr>
      </w:pPr>
      <w:bookmarkStart w:id="331" w:name="_Toc383511648"/>
      <w:r>
        <w:rPr>
          <w:rStyle w:val="CharSectno"/>
        </w:rPr>
        <w:t>229B</w:t>
      </w:r>
      <w:r>
        <w:rPr>
          <w:snapToGrid w:val="0"/>
        </w:rPr>
        <w:t>.</w:t>
      </w:r>
      <w:r>
        <w:rPr>
          <w:snapToGrid w:val="0"/>
        </w:rPr>
        <w:tab/>
        <w:t>Orders made under s. 229A, effect of</w:t>
      </w:r>
      <w:bookmarkEnd w:id="331"/>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[Section 229B inserted by No. 17 of 1950 s. 65; amended by No. 81 of 1996 s. 135; No. 31 of 1997 s. 131; No. 6 of 2003 s. 78.]</w:t>
      </w:r>
    </w:p>
    <w:p>
      <w:pPr>
        <w:pStyle w:val="Heading5"/>
        <w:rPr>
          <w:snapToGrid w:val="0"/>
        </w:rPr>
      </w:pPr>
      <w:bookmarkStart w:id="332" w:name="_Toc383511649"/>
      <w:r>
        <w:rPr>
          <w:rStyle w:val="CharSectno"/>
        </w:rPr>
        <w:t>230</w:t>
      </w:r>
      <w:r>
        <w:rPr>
          <w:snapToGrid w:val="0"/>
        </w:rPr>
        <w:t>.</w:t>
      </w:r>
      <w:r>
        <w:rPr>
          <w:snapToGrid w:val="0"/>
        </w:rPr>
        <w:tab/>
        <w:t>On s. 20 applications, easements not used for 20 years or more may be omitted from certificate</w:t>
      </w:r>
      <w:bookmarkEnd w:id="332"/>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[Section 230 inserted by No. 14 of 1972 s. 8; amended by No. 81 of 1996 s. 136.]</w:t>
      </w:r>
    </w:p>
    <w:p>
      <w:pPr>
        <w:pStyle w:val="Heading5"/>
        <w:rPr>
          <w:snapToGrid w:val="0"/>
        </w:rPr>
      </w:pPr>
      <w:bookmarkStart w:id="333" w:name="_Toc383511650"/>
      <w:r>
        <w:rPr>
          <w:rStyle w:val="CharSectno"/>
        </w:rPr>
        <w:t>231</w:t>
      </w:r>
      <w:r>
        <w:rPr>
          <w:snapToGrid w:val="0"/>
        </w:rPr>
        <w:t>.</w:t>
      </w:r>
      <w:r>
        <w:rPr>
          <w:snapToGrid w:val="0"/>
        </w:rPr>
        <w:tab/>
        <w:t>Buildings on public roads etc. in Perth or Fremantle for 20 years or more</w:t>
      </w:r>
      <w:bookmarkEnd w:id="333"/>
    </w:p>
    <w:p>
      <w:pPr>
        <w:pStyle w:val="Subsection"/>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rPr>
          <w:snapToGrid w:val="0"/>
        </w:rPr>
      </w:pPr>
      <w:r>
        <w:rPr>
          <w:snapToGrid w:val="0"/>
        </w:rPr>
        <w:tab/>
        <w:t>(3)</w:t>
      </w:r>
      <w:r>
        <w:rPr>
          <w:snapToGrid w:val="0"/>
        </w:rPr>
        <w:tab/>
        <w:t>Despite subsection (1), no encroachment so allowed by the Commissioner shall exceed one metre.</w:t>
      </w:r>
    </w:p>
    <w:p>
      <w:pPr>
        <w:pStyle w:val="Subsection"/>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[Section 231 amended by No. 94 of 1972 s. 4; No. 14 of 1996 s. 4; No. 81 of 1996 s. 137; No. 6 of 2003 s. 79; No. 19 of 2010 s. 51.]</w:t>
      </w:r>
    </w:p>
    <w:p>
      <w:pPr>
        <w:pStyle w:val="Heading5"/>
        <w:rPr>
          <w:snapToGrid w:val="0"/>
        </w:rPr>
      </w:pPr>
      <w:bookmarkStart w:id="334" w:name="_Toc383511651"/>
      <w:r>
        <w:rPr>
          <w:rStyle w:val="CharSectno"/>
        </w:rPr>
        <w:t>232</w:t>
      </w:r>
      <w:r>
        <w:rPr>
          <w:snapToGrid w:val="0"/>
        </w:rPr>
        <w:t>.</w:t>
      </w:r>
      <w:r>
        <w:rPr>
          <w:snapToGrid w:val="0"/>
        </w:rPr>
        <w:tab/>
        <w:t>Receipt for documents lodged</w:t>
      </w:r>
      <w:bookmarkEnd w:id="334"/>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 No. 19 of 2010 s. 51.]</w:t>
      </w:r>
    </w:p>
    <w:p>
      <w:pPr>
        <w:pStyle w:val="Heading5"/>
        <w:rPr>
          <w:snapToGrid w:val="0"/>
        </w:rPr>
      </w:pPr>
      <w:bookmarkStart w:id="335" w:name="_Toc383511652"/>
      <w:r>
        <w:rPr>
          <w:rStyle w:val="CharSectno"/>
        </w:rPr>
        <w:t>233</w:t>
      </w:r>
      <w:r>
        <w:rPr>
          <w:snapToGrid w:val="0"/>
        </w:rPr>
        <w:t>.</w:t>
      </w:r>
      <w:r>
        <w:rPr>
          <w:snapToGrid w:val="0"/>
        </w:rPr>
        <w:tab/>
        <w:t>Pending actions etc. not to affect dealings</w:t>
      </w:r>
      <w:bookmarkEnd w:id="335"/>
    </w:p>
    <w:p>
      <w:pPr>
        <w:pStyle w:val="Subsection"/>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336" w:name="_Toc383511653"/>
      <w:r>
        <w:rPr>
          <w:rStyle w:val="CharSectno"/>
        </w:rPr>
        <w:t>234</w:t>
      </w:r>
      <w:r>
        <w:rPr>
          <w:snapToGrid w:val="0"/>
        </w:rPr>
        <w:t>.</w:t>
      </w:r>
      <w:r>
        <w:rPr>
          <w:snapToGrid w:val="0"/>
        </w:rPr>
        <w:tab/>
        <w:t>Trustees etc. of bankrupts etc. may apply to be registered</w:t>
      </w:r>
      <w:bookmarkEnd w:id="336"/>
    </w:p>
    <w:p>
      <w:pPr>
        <w:pStyle w:val="Subsection"/>
        <w:spacing w:before="14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w:t>
      </w:r>
    </w:p>
    <w:p>
      <w:pPr>
        <w:pStyle w:val="Subsection"/>
        <w:spacing w:before="14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 No. 19 of 2010 s. 51.]</w:t>
      </w:r>
    </w:p>
    <w:p>
      <w:pPr>
        <w:pStyle w:val="Heading5"/>
        <w:rPr>
          <w:snapToGrid w:val="0"/>
        </w:rPr>
      </w:pPr>
      <w:bookmarkStart w:id="337" w:name="_Toc383511654"/>
      <w:r>
        <w:rPr>
          <w:rStyle w:val="CharSectno"/>
        </w:rPr>
        <w:t>235</w:t>
      </w:r>
      <w:r>
        <w:rPr>
          <w:snapToGrid w:val="0"/>
        </w:rPr>
        <w:t>.</w:t>
      </w:r>
      <w:r>
        <w:rPr>
          <w:snapToGrid w:val="0"/>
        </w:rPr>
        <w:tab/>
        <w:t>Bankruptcy of proprietor not to affect dealings until s. 234 application or caveat lodged</w:t>
      </w:r>
      <w:bookmarkEnd w:id="337"/>
    </w:p>
    <w:p>
      <w:pPr>
        <w:pStyle w:val="Subsection"/>
        <w:spacing w:before="14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38" w:name="_Toc383511655"/>
      <w:r>
        <w:rPr>
          <w:rStyle w:val="CharSectno"/>
        </w:rPr>
        <w:t>236</w:t>
      </w:r>
      <w:r>
        <w:rPr>
          <w:snapToGrid w:val="0"/>
        </w:rPr>
        <w:t>.</w:t>
      </w:r>
      <w:r>
        <w:rPr>
          <w:snapToGrid w:val="0"/>
        </w:rPr>
        <w:tab/>
        <w:t>Tenant in tail</w:t>
      </w:r>
      <w:bookmarkEnd w:id="338"/>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39" w:name="_Toc383511656"/>
      <w:r>
        <w:rPr>
          <w:rStyle w:val="CharSectno"/>
        </w:rPr>
        <w:t>237</w:t>
      </w:r>
      <w:r>
        <w:rPr>
          <w:snapToGrid w:val="0"/>
        </w:rPr>
        <w:t>.</w:t>
      </w:r>
      <w:r>
        <w:rPr>
          <w:snapToGrid w:val="0"/>
        </w:rPr>
        <w:tab/>
        <w:t>Conditions of sale in Twenty</w:t>
      </w:r>
      <w:r>
        <w:rPr>
          <w:snapToGrid w:val="0"/>
        </w:rPr>
        <w:noBreakHyphen/>
        <w:t>sixth Schedule, adoption of</w:t>
      </w:r>
      <w:bookmarkEnd w:id="339"/>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40" w:name="_Toc383511657"/>
      <w:r>
        <w:rPr>
          <w:rStyle w:val="CharSectno"/>
        </w:rPr>
        <w:t>238</w:t>
      </w:r>
      <w:r>
        <w:rPr>
          <w:snapToGrid w:val="0"/>
        </w:rPr>
        <w:t>.</w:t>
      </w:r>
      <w:r>
        <w:rPr>
          <w:snapToGrid w:val="0"/>
        </w:rPr>
        <w:tab/>
        <w:t>Forms may be modified</w:t>
      </w:r>
      <w:bookmarkEnd w:id="340"/>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41" w:name="_Toc383511658"/>
      <w:r>
        <w:rPr>
          <w:rStyle w:val="CharSectno"/>
        </w:rPr>
        <w:t>239</w:t>
      </w:r>
      <w:r>
        <w:t>.</w:t>
      </w:r>
      <w:r>
        <w:tab/>
        <w:t>Inspection of Register and related documents; obtaining copies and print</w:t>
      </w:r>
      <w:r>
        <w:noBreakHyphen/>
        <w:t>outs</w:t>
      </w:r>
      <w:bookmarkEnd w:id="341"/>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spacing w:before="70"/>
      </w:pPr>
      <w:r>
        <w:tab/>
        <w:t>(c)</w:t>
      </w:r>
      <w:r>
        <w:tab/>
        <w:t>in relation to land that is the subject of a digital title, the record of an endorsement referred to in section 48(1)(b) in relation to the land;</w:t>
      </w:r>
    </w:p>
    <w:p>
      <w:pPr>
        <w:pStyle w:val="Indenta"/>
        <w:spacing w:before="70"/>
      </w:pPr>
      <w:r>
        <w:tab/>
        <w:t>(d)</w:t>
      </w:r>
      <w:r>
        <w:tab/>
        <w:t>in relation to land that is the subject of a paper title, the record of an entry referred to in section 48(1)(c) in relation to a sublease of the land;</w:t>
      </w:r>
    </w:p>
    <w:p>
      <w:pPr>
        <w:pStyle w:val="Indenta"/>
        <w:spacing w:before="70"/>
        <w:rPr>
          <w:snapToGrid w:val="0"/>
        </w:rPr>
      </w:pPr>
      <w:r>
        <w:rPr>
          <w:snapToGrid w:val="0"/>
        </w:rPr>
        <w:tab/>
        <w:t>(e)</w:t>
      </w:r>
      <w:r>
        <w:rPr>
          <w:snapToGrid w:val="0"/>
        </w:rPr>
        <w:tab/>
        <w:t>a registered Crown lease or Crown grant;</w:t>
      </w:r>
    </w:p>
    <w:p>
      <w:pPr>
        <w:pStyle w:val="Indenta"/>
        <w:spacing w:before="70"/>
        <w:rPr>
          <w:snapToGrid w:val="0"/>
        </w:rPr>
      </w:pPr>
      <w:r>
        <w:rPr>
          <w:snapToGrid w:val="0"/>
        </w:rPr>
        <w:tab/>
        <w:t>(f)</w:t>
      </w:r>
      <w:r>
        <w:rPr>
          <w:snapToGrid w:val="0"/>
        </w:rPr>
        <w:tab/>
        <w:t>a registered instrument;</w:t>
      </w:r>
    </w:p>
    <w:p>
      <w:pPr>
        <w:pStyle w:val="Indenta"/>
        <w:spacing w:before="70"/>
        <w:rPr>
          <w:snapToGrid w:val="0"/>
        </w:rPr>
      </w:pPr>
      <w:r>
        <w:rPr>
          <w:snapToGrid w:val="0"/>
        </w:rPr>
        <w:tab/>
        <w:t>(g)</w:t>
      </w:r>
      <w:r>
        <w:rPr>
          <w:snapToGrid w:val="0"/>
        </w:rPr>
        <w:tab/>
        <w:t>a caveat, power of attorney or discharge of mortgage lodged or deposited under this Act;</w:t>
      </w:r>
    </w:p>
    <w:p>
      <w:pPr>
        <w:pStyle w:val="Indenta"/>
        <w:spacing w:before="70"/>
      </w:pPr>
      <w:r>
        <w:tab/>
        <w:t>(h)</w:t>
      </w:r>
      <w:r>
        <w:tab/>
        <w:t>a —</w:t>
      </w:r>
    </w:p>
    <w:p>
      <w:pPr>
        <w:pStyle w:val="Indenti"/>
        <w:spacing w:before="70"/>
      </w:pPr>
      <w:r>
        <w:tab/>
        <w:t>(i)</w:t>
      </w:r>
      <w:r>
        <w:tab/>
        <w:t>notification or memorial under this or any other Act; or</w:t>
      </w:r>
    </w:p>
    <w:p>
      <w:pPr>
        <w:pStyle w:val="Indenti"/>
        <w:spacing w:before="70"/>
      </w:pPr>
      <w:r>
        <w:tab/>
        <w:t>(ii)</w:t>
      </w:r>
      <w:r>
        <w:tab/>
        <w:t>warrant or writ of execution or court order,</w:t>
      </w:r>
    </w:p>
    <w:p>
      <w:pPr>
        <w:pStyle w:val="Indenta"/>
        <w:spacing w:before="70"/>
      </w:pPr>
      <w:r>
        <w:tab/>
      </w:r>
      <w:r>
        <w:tab/>
        <w:t>that is registered, entered or otherwise noted on a certificate of title or lodged or deposited under this Act;</w:t>
      </w:r>
    </w:p>
    <w:p>
      <w:pPr>
        <w:pStyle w:val="Indenta"/>
        <w:spacing w:before="70"/>
        <w:rPr>
          <w:snapToGrid w:val="0"/>
        </w:rPr>
      </w:pPr>
      <w:r>
        <w:rPr>
          <w:snapToGrid w:val="0"/>
        </w:rPr>
        <w:tab/>
        <w:t>(i)</w:t>
      </w:r>
      <w:r>
        <w:rPr>
          <w:snapToGrid w:val="0"/>
        </w:rPr>
        <w:tab/>
        <w:t>an application made under this Act;</w:t>
      </w:r>
    </w:p>
    <w:p>
      <w:pPr>
        <w:pStyle w:val="Indenta"/>
        <w:spacing w:before="70"/>
        <w:rPr>
          <w:snapToGrid w:val="0"/>
        </w:rPr>
      </w:pPr>
      <w:r>
        <w:rPr>
          <w:snapToGrid w:val="0"/>
        </w:rPr>
        <w:tab/>
        <w:t>(j)</w:t>
      </w:r>
      <w:r>
        <w:rPr>
          <w:snapToGrid w:val="0"/>
        </w:rPr>
        <w:tab/>
        <w:t>a memorandum filed under section 54;</w:t>
      </w:r>
    </w:p>
    <w:p>
      <w:pPr>
        <w:pStyle w:val="Indenta"/>
        <w:spacing w:before="70"/>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p>
      <w:pPr>
        <w:pStyle w:val="Ednotesection"/>
      </w:pPr>
      <w:r>
        <w:t>[</w:t>
      </w:r>
      <w:r>
        <w:rPr>
          <w:b/>
        </w:rPr>
        <w:t>239A.</w:t>
      </w:r>
      <w:r>
        <w:tab/>
        <w:t>Deleted by No. 60 of 2006 s. 117.]</w:t>
      </w:r>
    </w:p>
    <w:p>
      <w:pPr>
        <w:pStyle w:val="Heading5"/>
      </w:pPr>
      <w:bookmarkStart w:id="342" w:name="_Toc383511659"/>
      <w:r>
        <w:rPr>
          <w:rStyle w:val="CharSectno"/>
        </w:rPr>
        <w:t>239B</w:t>
      </w:r>
      <w:r>
        <w:t>.</w:t>
      </w:r>
      <w:r>
        <w:tab/>
        <w:t>Evidentiary documents as to current and historical matters</w:t>
      </w:r>
      <w:bookmarkEnd w:id="342"/>
    </w:p>
    <w:p>
      <w:pPr>
        <w:pStyle w:val="Subsection"/>
      </w:pPr>
      <w:r>
        <w:tab/>
        <w:t>(1)</w:t>
      </w:r>
      <w:r>
        <w:tab/>
        <w:t>The Registrar, on receiving payment of the prescribed fee, shall provide to a person applying for the same —</w:t>
      </w:r>
    </w:p>
    <w:p>
      <w:pPr>
        <w:pStyle w:val="Indenta"/>
        <w:spacing w:before="60"/>
      </w:pPr>
      <w:r>
        <w:tab/>
        <w:t>(a)</w:t>
      </w:r>
      <w:r>
        <w:tab/>
        <w:t>a certified and sealed copy or print</w:t>
      </w:r>
      <w:r>
        <w:noBreakHyphen/>
        <w:t>out of any document referred to in section 239(1); or</w:t>
      </w:r>
    </w:p>
    <w:p>
      <w:pPr>
        <w:pStyle w:val="Indenta"/>
        <w:spacing w:before="60"/>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by No. 6 of 2003 s. 82.]</w:t>
      </w:r>
    </w:p>
    <w:p>
      <w:pPr>
        <w:pStyle w:val="Heading5"/>
        <w:rPr>
          <w:snapToGrid w:val="0"/>
        </w:rPr>
      </w:pPr>
      <w:bookmarkStart w:id="343" w:name="_Toc383511660"/>
      <w:r>
        <w:rPr>
          <w:rStyle w:val="CharSectno"/>
        </w:rPr>
        <w:t>240</w:t>
      </w:r>
      <w:r>
        <w:rPr>
          <w:snapToGrid w:val="0"/>
        </w:rPr>
        <w:t>.</w:t>
      </w:r>
      <w:r>
        <w:rPr>
          <w:snapToGrid w:val="0"/>
        </w:rPr>
        <w:tab/>
        <w:t>Service of notices</w:t>
      </w:r>
      <w:bookmarkEnd w:id="343"/>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rPr>
          <w:snapToGrid w:val="0"/>
        </w:rPr>
      </w:pPr>
      <w:r>
        <w:rPr>
          <w:snapToGrid w:val="0"/>
        </w:rPr>
        <w:tab/>
        <w:t>(a)</w:t>
      </w:r>
      <w:r>
        <w:rPr>
          <w:snapToGrid w:val="0"/>
        </w:rPr>
        <w:tab/>
        <w:t>direct any further notice to be served; or</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w:t>
      </w:r>
    </w:p>
    <w:p>
      <w:pPr>
        <w:pStyle w:val="Heading5"/>
        <w:keepNext w:val="0"/>
        <w:rPr>
          <w:snapToGrid w:val="0"/>
        </w:rPr>
      </w:pPr>
      <w:bookmarkStart w:id="344" w:name="_Toc383511661"/>
      <w:r>
        <w:rPr>
          <w:rStyle w:val="CharSectno"/>
        </w:rPr>
        <w:t>240A</w:t>
      </w:r>
      <w:r>
        <w:rPr>
          <w:snapToGrid w:val="0"/>
        </w:rPr>
        <w:t>.</w:t>
      </w:r>
      <w:r>
        <w:rPr>
          <w:snapToGrid w:val="0"/>
        </w:rPr>
        <w:tab/>
        <w:t>Notification of change of address etc.</w:t>
      </w:r>
      <w:bookmarkEnd w:id="344"/>
    </w:p>
    <w:p>
      <w:pPr>
        <w:pStyle w:val="Subsection"/>
        <w:rPr>
          <w:snapToGrid w:val="0"/>
        </w:rPr>
      </w:pPr>
      <w:r>
        <w:rPr>
          <w:snapToGrid w:val="0"/>
        </w:rPr>
        <w:tab/>
      </w:r>
      <w:r>
        <w:rPr>
          <w:snapToGrid w:val="0"/>
        </w:rPr>
        <w:tab/>
        <w:t>A person who wishes to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[Section 240A inserted by No. 81 of 1996 s. 143.]</w:t>
      </w:r>
    </w:p>
    <w:p>
      <w:pPr>
        <w:pStyle w:val="Ednotesection"/>
      </w:pPr>
      <w:r>
        <w:t>[</w:t>
      </w:r>
      <w:r>
        <w:rPr>
          <w:b/>
        </w:rPr>
        <w:t>241.</w:t>
      </w:r>
      <w:r>
        <w:tab/>
        <w:t>Deleted by No. 24 of 2000 s. 42(4).]</w:t>
      </w:r>
    </w:p>
    <w:p>
      <w:pPr>
        <w:pStyle w:val="Heading5"/>
        <w:keepNext w:val="0"/>
        <w:widowControl w:val="0"/>
        <w:rPr>
          <w:snapToGrid w:val="0"/>
        </w:rPr>
      </w:pPr>
      <w:bookmarkStart w:id="345" w:name="_Toc383511662"/>
      <w:r>
        <w:rPr>
          <w:rStyle w:val="CharSectno"/>
        </w:rPr>
        <w:t>242</w:t>
      </w:r>
      <w:r>
        <w:rPr>
          <w:snapToGrid w:val="0"/>
        </w:rPr>
        <w:t>.</w:t>
      </w:r>
      <w:r>
        <w:rPr>
          <w:snapToGrid w:val="0"/>
        </w:rPr>
        <w:tab/>
        <w:t>Interests disposed of or created by court order etc., registration of</w:t>
      </w:r>
      <w:bookmarkEnd w:id="345"/>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spacing w:before="120"/>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spacing w:before="120"/>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spacing w:before="120"/>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by No. 17 of 1950 s. 70; amended by No. 81 of 1996 s. 145(1); No. 56 of 2003 s. 21; No. 19 of 2010 s. 51.]</w:t>
      </w:r>
    </w:p>
    <w:p>
      <w:pPr>
        <w:pStyle w:val="Heading5"/>
      </w:pPr>
      <w:bookmarkStart w:id="346" w:name="_Toc383511663"/>
      <w:r>
        <w:rPr>
          <w:rStyle w:val="CharSectno"/>
        </w:rPr>
        <w:t>243</w:t>
      </w:r>
      <w:r>
        <w:t>.</w:t>
      </w:r>
      <w:r>
        <w:tab/>
        <w:t>Revesting of land held by Crown in fee simple as Crown land</w:t>
      </w:r>
      <w:bookmarkEnd w:id="346"/>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by No. 31 of 1997 s. 132.]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347" w:name="_Toc383511664"/>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347"/>
    </w:p>
    <w:p>
      <w:pPr>
        <w:pStyle w:val="yShoulderClause"/>
        <w:rPr>
          <w:rFonts w:eastAsia="MS Mincho"/>
        </w:rPr>
      </w:pPr>
      <w:r>
        <w:rPr>
          <w:rFonts w:eastAsia="MS Mincho"/>
        </w:rPr>
        <w:t>[s. 2]</w:t>
      </w:r>
    </w:p>
    <w:p>
      <w:pPr>
        <w:pStyle w:val="yFootnoteheading"/>
        <w:spacing w:after="80"/>
        <w:rPr>
          <w:snapToGrid w:val="0"/>
        </w:rPr>
      </w:pPr>
      <w:r>
        <w:rPr>
          <w:snapToGrid w:val="0"/>
        </w:rPr>
        <w:tab/>
        <w:t>[Heading inserted by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348" w:name="_Toc383511665"/>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348"/>
    </w:p>
    <w:p>
      <w:pPr>
        <w:pStyle w:val="yShoulderClause"/>
        <w:rPr>
          <w:rFonts w:eastAsia="MS Mincho"/>
        </w:rPr>
      </w:pPr>
      <w:r>
        <w:rPr>
          <w:rFonts w:eastAsia="MS Mincho"/>
        </w:rPr>
        <w:t>[s. 20]</w:t>
      </w:r>
    </w:p>
    <w:p>
      <w:pPr>
        <w:pStyle w:val="yFootnoteheading"/>
        <w:rPr>
          <w:snapToGrid w:val="0"/>
        </w:rPr>
      </w:pPr>
      <w:r>
        <w:rPr>
          <w:snapToGrid w:val="0"/>
        </w:rPr>
        <w:tab/>
        <w:t>[Heading inserted by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7" o:title=""/>
                </v:shape>
                <o:OLEObject Type="Embed" ProgID="Word.Picture.8" ShapeID="_x0000_i1025" DrawAspect="Content" ObjectID="_1643779837"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p>
    <w:p>
      <w:pPr>
        <w:pStyle w:val="yScheduleHeading"/>
        <w:rPr>
          <w:rFonts w:eastAsia="MS Mincho"/>
        </w:rPr>
      </w:pPr>
      <w:bookmarkStart w:id="349" w:name="_Toc383511666"/>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349"/>
    </w:p>
    <w:p>
      <w:pPr>
        <w:pStyle w:val="yShoulderClause"/>
        <w:rPr>
          <w:rFonts w:eastAsia="MS Mincho"/>
        </w:rPr>
      </w:pPr>
      <w:r>
        <w:rPr>
          <w:rFonts w:eastAsia="MS Mincho"/>
        </w:rPr>
        <w:t>[s. 24]</w:t>
      </w:r>
    </w:p>
    <w:p>
      <w:pPr>
        <w:pStyle w:val="yFootnoteheading"/>
        <w:rPr>
          <w:snapToGrid w:val="0"/>
        </w:rPr>
      </w:pPr>
      <w:r>
        <w:rPr>
          <w:snapToGrid w:val="0"/>
        </w:rPr>
        <w:tab/>
        <w:t>[Heading inserted by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p>
    <w:p>
      <w:pPr>
        <w:pStyle w:val="yScheduleHeading"/>
        <w:rPr>
          <w:rFonts w:eastAsia="MS Mincho"/>
        </w:rPr>
      </w:pPr>
      <w:bookmarkStart w:id="350" w:name="_Toc383511667"/>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350"/>
    </w:p>
    <w:p>
      <w:pPr>
        <w:pStyle w:val="yShoulderClause"/>
        <w:rPr>
          <w:rFonts w:eastAsia="MS Mincho"/>
        </w:rPr>
      </w:pPr>
      <w:r>
        <w:rPr>
          <w:rFonts w:eastAsia="MS Mincho"/>
        </w:rPr>
        <w:t>[s. 222]</w:t>
      </w:r>
    </w:p>
    <w:p>
      <w:pPr>
        <w:pStyle w:val="yFootnoteheading"/>
        <w:rPr>
          <w:snapToGrid w:val="0"/>
        </w:rPr>
      </w:pPr>
      <w:r>
        <w:rPr>
          <w:snapToGrid w:val="0"/>
        </w:rPr>
        <w:tab/>
        <w:t>[Heading inserted by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 id="_x0000_i1026" type="#_x0000_t75" style="width:9pt;height:62.25pt" o:ole="" fillcolor="window">
                  <v:imagedata r:id="rId27" o:title=""/>
                </v:shape>
                <o:OLEObject Type="Embed" ProgID="Word.Picture.8" ShapeID="_x0000_i1026" DrawAspect="Content" ObjectID="_1643779838" r:id="rId29"/>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p>
    <w:p>
      <w:pPr>
        <w:pStyle w:val="yEdnoteschedule"/>
      </w:pPr>
      <w:r>
        <w:t>[Fifth, Sixth and Seventh Schedules deleted by No. 81 of 1996 s. 151.]</w:t>
      </w:r>
    </w:p>
    <w:p>
      <w:pPr>
        <w:pStyle w:val="yEdnoteschedule"/>
      </w:pPr>
      <w:r>
        <w:t>[Eighth Schedule deleted by No. 26 of 1999 s. 106(6).]</w:t>
      </w:r>
    </w:p>
    <w:p>
      <w:pPr>
        <w:pStyle w:val="yScheduleHeading"/>
        <w:rPr>
          <w:rFonts w:eastAsia="MS Mincho"/>
        </w:rPr>
      </w:pPr>
      <w:bookmarkStart w:id="351" w:name="_Toc383511668"/>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351"/>
    </w:p>
    <w:p>
      <w:pPr>
        <w:pStyle w:val="yShoulderClause"/>
      </w:pPr>
      <w:r>
        <w:rPr>
          <w:rFonts w:eastAsia="MS Mincho"/>
        </w:rPr>
        <w:t>[s. 65]</w:t>
      </w:r>
    </w:p>
    <w:p>
      <w:pPr>
        <w:pStyle w:val="yFootnoteheading"/>
        <w:rPr>
          <w:snapToGrid w:val="0"/>
        </w:rPr>
      </w:pPr>
      <w:r>
        <w:rPr>
          <w:snapToGrid w:val="0"/>
        </w:rPr>
        <w:tab/>
        <w:t>[Heading inserted by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spacing w:before="260"/>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 </w:t>
      </w:r>
      <w:r>
        <w:rPr>
          <w:vertAlign w:val="superscript"/>
        </w:rPr>
        <w:t>7</w:t>
      </w:r>
      <w:r>
        <w:t>.]</w:t>
      </w:r>
    </w:p>
    <w:p>
      <w:pPr>
        <w:pStyle w:val="yScheduleHeading"/>
        <w:rPr>
          <w:rFonts w:eastAsia="MS Mincho"/>
        </w:rPr>
      </w:pPr>
      <w:bookmarkStart w:id="352" w:name="_Toc383511669"/>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352"/>
    </w:p>
    <w:p>
      <w:pPr>
        <w:pStyle w:val="yShoulderClause"/>
      </w:pPr>
      <w:r>
        <w:t>[s. 65(3)]</w:t>
      </w:r>
    </w:p>
    <w:p>
      <w:pPr>
        <w:pStyle w:val="yFootnoteheading"/>
      </w:pPr>
      <w:r>
        <w:rPr>
          <w:snapToGrid w:val="0"/>
        </w:rPr>
        <w:tab/>
        <w:t>[Heading inserted by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by No. 81 of 1996 s. 149; amended by No. 6 of 2003 s. 83; renumbered as Tenth Schedule by No. 19 of 2010 s. 38(9).]</w:t>
      </w:r>
    </w:p>
    <w:p>
      <w:pPr>
        <w:pStyle w:val="yEdnoteschedule"/>
      </w:pPr>
      <w:r>
        <w:t>[Eleventh Schedule deleted by No. 81 of 1996 s. 151.]</w:t>
      </w:r>
    </w:p>
    <w:p>
      <w:pPr>
        <w:pStyle w:val="yScheduleHeading"/>
        <w:rPr>
          <w:rFonts w:eastAsia="MS Mincho"/>
        </w:rPr>
      </w:pPr>
      <w:bookmarkStart w:id="353" w:name="_Toc383511670"/>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353"/>
    </w:p>
    <w:p>
      <w:pPr>
        <w:pStyle w:val="yShoulderClause"/>
        <w:rPr>
          <w:rFonts w:eastAsia="MS Mincho"/>
        </w:rPr>
      </w:pPr>
      <w:r>
        <w:rPr>
          <w:rFonts w:eastAsia="MS Mincho"/>
        </w:rPr>
        <w:t>[s. 94]</w:t>
      </w:r>
    </w:p>
    <w:p>
      <w:pPr>
        <w:pStyle w:val="yFootnoteheading"/>
      </w:pPr>
      <w:r>
        <w:rPr>
          <w:snapToGrid w:val="0"/>
        </w:rPr>
        <w:tab/>
        <w:t>[Heading inserted by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rPr>
          <w:rFonts w:eastAsia="MS Mincho"/>
        </w:rPr>
      </w:pPr>
      <w:bookmarkStart w:id="354" w:name="_Toc383511671"/>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354"/>
    </w:p>
    <w:p>
      <w:pPr>
        <w:pStyle w:val="yShoulderClause"/>
        <w:rPr>
          <w:rFonts w:eastAsia="MS Mincho"/>
        </w:rPr>
      </w:pPr>
      <w:r>
        <w:rPr>
          <w:rFonts w:eastAsia="MS Mincho"/>
        </w:rPr>
        <w:t>[s. 115]</w:t>
      </w:r>
    </w:p>
    <w:p>
      <w:pPr>
        <w:pStyle w:val="yFootnoteheading"/>
      </w:pPr>
      <w:r>
        <w:rPr>
          <w:snapToGrid w:val="0"/>
        </w:rPr>
        <w:tab/>
        <w:t>[Heading inserted by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rPr>
          <w:rFonts w:eastAsia="MS Mincho"/>
        </w:rPr>
      </w:pPr>
      <w:bookmarkStart w:id="355" w:name="_Toc383511672"/>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355"/>
    </w:p>
    <w:p>
      <w:pPr>
        <w:pStyle w:val="yShoulderClause"/>
        <w:rPr>
          <w:rFonts w:eastAsia="MS Mincho"/>
        </w:rPr>
      </w:pPr>
      <w:r>
        <w:rPr>
          <w:rFonts w:eastAsia="MS Mincho"/>
        </w:rPr>
        <w:t>[s. 143(1)]</w:t>
      </w:r>
    </w:p>
    <w:p>
      <w:pPr>
        <w:pStyle w:val="yFootnoteheading"/>
      </w:pPr>
      <w:r>
        <w:rPr>
          <w:snapToGrid w:val="0"/>
        </w:rPr>
        <w:tab/>
        <w:t>[Heading inserted by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object w:dxaOrig="180" w:dyaOrig="340">
                <v:shape id="_x0000_i1027" type="#_x0000_t75" style="width:9pt;height:17.25pt" o:ole="" fillcolor="window">
                  <v:imagedata r:id="rId31" o:title=""/>
                </v:shape>
                <o:OLEObject Type="Embed" ProgID="Equation.3" ShapeID="_x0000_i1027" DrawAspect="Content" ObjectID="_1643779839" r:id="rId32"/>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p>
    <w:p>
      <w:pPr>
        <w:pStyle w:val="yEdnoteschedule"/>
      </w:pPr>
      <w:r>
        <w:t>[Twentieth to Twenty</w:t>
      </w:r>
      <w:r>
        <w:noBreakHyphen/>
        <w:t>third Schedules deleted by No. 81 of 1996 s. 151.]</w:t>
      </w:r>
    </w:p>
    <w:p>
      <w:pPr>
        <w:pStyle w:val="yHeading2"/>
        <w:pageBreakBefore/>
        <w:spacing w:before="0"/>
        <w:rPr>
          <w:rFonts w:eastAsia="MS Mincho"/>
        </w:rPr>
      </w:pPr>
      <w:bookmarkStart w:id="356" w:name="_Toc383511673"/>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356"/>
    </w:p>
    <w:p>
      <w:pPr>
        <w:pStyle w:val="yShoulderClause"/>
        <w:rPr>
          <w:rFonts w:eastAsia="MS Mincho"/>
        </w:rPr>
      </w:pPr>
      <w:r>
        <w:rPr>
          <w:rFonts w:eastAsia="MS Mincho"/>
        </w:rPr>
        <w:t>[s. 172]</w:t>
      </w:r>
    </w:p>
    <w:p>
      <w:pPr>
        <w:pStyle w:val="yFootnoteheading"/>
        <w:spacing w:before="40"/>
      </w:pPr>
      <w:r>
        <w:rPr>
          <w:snapToGrid w:val="0"/>
        </w:rPr>
        <w:tab/>
        <w:t>[Heading inserted by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p>
    <w:p>
      <w:pPr>
        <w:pStyle w:val="yScheduleHeading"/>
        <w:rPr>
          <w:rFonts w:eastAsia="MS Mincho"/>
        </w:rPr>
      </w:pPr>
      <w:bookmarkStart w:id="357" w:name="_Toc383511674"/>
      <w:r>
        <w:rPr>
          <w:rStyle w:val="CharSchNo"/>
          <w:rFonts w:eastAsia="MS Mincho"/>
        </w:rPr>
        <w:t>Twenty</w:t>
      </w:r>
      <w:r>
        <w:rPr>
          <w:rStyle w:val="CharSchNo"/>
          <w:rFonts w:eastAsia="MS Mincho"/>
        </w:rPr>
        <w:noBreakHyphen/>
        <w:t>fifth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summons</w:t>
      </w:r>
      <w:bookmarkEnd w:id="357"/>
    </w:p>
    <w:p>
      <w:pPr>
        <w:pStyle w:val="yShoulderClause"/>
        <w:rPr>
          <w:rFonts w:eastAsia="MS Mincho"/>
        </w:rPr>
      </w:pPr>
      <w:r>
        <w:rPr>
          <w:rFonts w:eastAsia="MS Mincho"/>
        </w:rPr>
        <w:t>[s. 180]</w:t>
      </w:r>
    </w:p>
    <w:p>
      <w:pPr>
        <w:pStyle w:val="yFootnoteheading"/>
      </w:pPr>
      <w:r>
        <w:rPr>
          <w:snapToGrid w:val="0"/>
        </w:rPr>
        <w:tab/>
        <w:t>[Heading inserted by No. 19 of 2010 s. 38(14).]</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fifth Schedule amended by No. 81 of 1996 s. 146(2) and 150.]</w:t>
      </w:r>
    </w:p>
    <w:p>
      <w:pPr>
        <w:pStyle w:val="yScheduleHeading"/>
      </w:pPr>
      <w:bookmarkStart w:id="358" w:name="_Toc383511675"/>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358"/>
    </w:p>
    <w:p>
      <w:pPr>
        <w:pStyle w:val="yShoulderClause"/>
      </w:pPr>
      <w:r>
        <w:t>[s. 237]</w:t>
      </w:r>
    </w:p>
    <w:p>
      <w:pPr>
        <w:pStyle w:val="yFootnoteheading"/>
      </w:pPr>
      <w:r>
        <w:rPr>
          <w:snapToGrid w:val="0"/>
        </w:rPr>
        <w:tab/>
        <w:t>[Heading inserted by No. 19 of 2010 s. 38(15).]</w:t>
      </w:r>
    </w:p>
    <w:p>
      <w:pPr>
        <w:pStyle w:val="yMiscellaneousHeading"/>
        <w:rPr>
          <w:b/>
          <w:bCs/>
        </w:rPr>
      </w:pPr>
      <w:r>
        <w:rPr>
          <w:b/>
          <w:bCs/>
        </w:rPr>
        <w:t>Table A</w:t>
      </w:r>
    </w:p>
    <w:p>
      <w:pPr>
        <w:pStyle w:val="yFootnoteheading"/>
      </w:pPr>
      <w:r>
        <w:rPr>
          <w:snapToGrid w:val="0"/>
        </w:rPr>
        <w:tab/>
        <w:t>[Heading inserted by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8; No. 12 of 2008 Sch. 1 cl. 38(2).]</w:t>
      </w:r>
    </w:p>
    <w:p>
      <w:pPr>
        <w:pStyle w:val="yEdnoteschedule"/>
      </w:pPr>
      <w:r>
        <w:t>[Twenty</w:t>
      </w:r>
      <w:r>
        <w:noBreakHyphen/>
        <w:t>seventh Schedule deleted by No. 25 of 1909 s. 2.]</w:t>
      </w:r>
    </w:p>
    <w:p>
      <w:pPr>
        <w:pStyle w:val="yScheduleHeading"/>
      </w:pPr>
      <w:bookmarkStart w:id="359" w:name="_Toc383511676"/>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359"/>
    </w:p>
    <w:p>
      <w:pPr>
        <w:pStyle w:val="yShoulderClause"/>
      </w:pPr>
      <w:r>
        <w:t>[s. 81B]</w:t>
      </w:r>
    </w:p>
    <w:p>
      <w:pPr>
        <w:pStyle w:val="yFootnoteheading"/>
      </w:pPr>
      <w:r>
        <w:rPr>
          <w:snapToGrid w:val="0"/>
        </w:rPr>
        <w:tab/>
        <w:t>[Heading inserted by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p>
    <w:p>
      <w:pPr>
        <w:pStyle w:val="yEdnoteschedule"/>
      </w:pPr>
      <w:r>
        <w:t>[Schedule titled The Last Schedule deleted by No. 17 of 1950 s. 74.]</w:t>
      </w:r>
    </w:p>
    <w:p>
      <w:pPr>
        <w:pStyle w:val="CentredBaseLine"/>
        <w:jc w:val="center"/>
      </w:pPr>
      <w:r>
        <w:rPr>
          <w:noProof/>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nHeading2"/>
        <w:outlineLvl w:val="0"/>
      </w:pPr>
      <w:bookmarkStart w:id="360" w:name="_Toc383511677"/>
      <w:r>
        <w:t>Notes</w:t>
      </w:r>
      <w:bookmarkEnd w:id="360"/>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61" w:name="_Toc383511678"/>
      <w:r>
        <w:t>Compilation table</w:t>
      </w:r>
      <w:bookmarkEnd w:id="361"/>
    </w:p>
    <w:tbl>
      <w:tblPr>
        <w:tblW w:w="7101" w:type="dxa"/>
        <w:tblInd w:w="28" w:type="dxa"/>
        <w:tblLayout w:type="fixed"/>
        <w:tblCellMar>
          <w:left w:w="56" w:type="dxa"/>
          <w:right w:w="56" w:type="dxa"/>
        </w:tblCellMar>
        <w:tblLook w:val="0000" w:firstRow="0" w:lastRow="0" w:firstColumn="0" w:lastColumn="0" w:noHBand="0" w:noVBand="0"/>
      </w:tblPr>
      <w:tblGrid>
        <w:gridCol w:w="2221"/>
        <w:gridCol w:w="45"/>
        <w:gridCol w:w="1082"/>
        <w:gridCol w:w="54"/>
        <w:gridCol w:w="1134"/>
        <w:gridCol w:w="2537"/>
        <w:gridCol w:w="14"/>
        <w:gridCol w:w="14"/>
      </w:tblGrid>
      <w:tr>
        <w:trPr>
          <w:cantSplit/>
          <w:tblHeader/>
        </w:trPr>
        <w:tc>
          <w:tcPr>
            <w:tcW w:w="222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7"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88" w:type="dxa"/>
            <w:gridSpan w:val="2"/>
            <w:tcBorders>
              <w:top w:val="single" w:sz="8" w:space="0" w:color="auto"/>
              <w:bottom w:val="single" w:sz="8" w:space="0" w:color="auto"/>
            </w:tcBorders>
          </w:tcPr>
          <w:p>
            <w:pPr>
              <w:pStyle w:val="nTable"/>
              <w:spacing w:after="40"/>
              <w:rPr>
                <w:b/>
                <w:sz w:val="19"/>
              </w:rPr>
            </w:pPr>
            <w:r>
              <w:rPr>
                <w:b/>
                <w:sz w:val="19"/>
              </w:rPr>
              <w:t>Assent</w:t>
            </w:r>
          </w:p>
        </w:tc>
        <w:tc>
          <w:tcPr>
            <w:tcW w:w="256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1" w:type="dxa"/>
          </w:tcPr>
          <w:p>
            <w:pPr>
              <w:pStyle w:val="nTable"/>
              <w:spacing w:after="40"/>
              <w:ind w:right="113"/>
              <w:rPr>
                <w:sz w:val="19"/>
                <w:vertAlign w:val="superscript"/>
              </w:rPr>
            </w:pPr>
            <w:r>
              <w:rPr>
                <w:i/>
                <w:sz w:val="19"/>
              </w:rPr>
              <w:t>The Transfer of Land Act 1893</w:t>
            </w:r>
            <w:r>
              <w:rPr>
                <w:sz w:val="19"/>
                <w:vertAlign w:val="superscript"/>
              </w:rPr>
              <w:t> 13</w:t>
            </w:r>
          </w:p>
        </w:tc>
        <w:tc>
          <w:tcPr>
            <w:tcW w:w="1127" w:type="dxa"/>
            <w:gridSpan w:val="2"/>
          </w:tcPr>
          <w:p>
            <w:pPr>
              <w:pStyle w:val="nTable"/>
              <w:spacing w:after="40"/>
              <w:rPr>
                <w:sz w:val="19"/>
              </w:rPr>
            </w:pPr>
            <w:r>
              <w:rPr>
                <w:sz w:val="19"/>
              </w:rPr>
              <w:t>1893 (56 Vict. No. 14)</w:t>
            </w:r>
          </w:p>
        </w:tc>
        <w:tc>
          <w:tcPr>
            <w:tcW w:w="1188" w:type="dxa"/>
            <w:gridSpan w:val="2"/>
          </w:tcPr>
          <w:p>
            <w:pPr>
              <w:pStyle w:val="nTable"/>
              <w:spacing w:after="40"/>
              <w:rPr>
                <w:sz w:val="19"/>
              </w:rPr>
            </w:pPr>
            <w:r>
              <w:rPr>
                <w:sz w:val="19"/>
              </w:rPr>
              <w:t>13 Jan 1893</w:t>
            </w:r>
          </w:p>
        </w:tc>
        <w:tc>
          <w:tcPr>
            <w:tcW w:w="2565" w:type="dxa"/>
            <w:gridSpan w:val="3"/>
          </w:tcPr>
          <w:p>
            <w:pPr>
              <w:pStyle w:val="nTable"/>
              <w:spacing w:after="40"/>
              <w:rPr>
                <w:sz w:val="19"/>
              </w:rPr>
            </w:pPr>
            <w:r>
              <w:rPr>
                <w:sz w:val="19"/>
              </w:rPr>
              <w:t>13 Jan 1893</w:t>
            </w:r>
          </w:p>
        </w:tc>
      </w:tr>
      <w:tr>
        <w:trPr>
          <w:cantSplit/>
        </w:trPr>
        <w:tc>
          <w:tcPr>
            <w:tcW w:w="2221" w:type="dxa"/>
          </w:tcPr>
          <w:p>
            <w:pPr>
              <w:pStyle w:val="nTable"/>
              <w:spacing w:after="40"/>
              <w:ind w:right="113"/>
              <w:rPr>
                <w:sz w:val="19"/>
              </w:rPr>
            </w:pPr>
            <w:r>
              <w:rPr>
                <w:i/>
                <w:sz w:val="19"/>
              </w:rPr>
              <w:t>Transfer of Land Act 1893 Amendment Act 1896 </w:t>
            </w:r>
            <w:r>
              <w:rPr>
                <w:sz w:val="19"/>
                <w:vertAlign w:val="superscript"/>
              </w:rPr>
              <w:t>14</w:t>
            </w:r>
          </w:p>
        </w:tc>
        <w:tc>
          <w:tcPr>
            <w:tcW w:w="1127" w:type="dxa"/>
            <w:gridSpan w:val="2"/>
          </w:tcPr>
          <w:p>
            <w:pPr>
              <w:pStyle w:val="nTable"/>
              <w:spacing w:after="40"/>
              <w:rPr>
                <w:sz w:val="19"/>
              </w:rPr>
            </w:pPr>
            <w:r>
              <w:rPr>
                <w:sz w:val="19"/>
              </w:rPr>
              <w:t>1896 (60 Vict. No. 22) (as amended by No. 17 of 1950 s. 75)</w:t>
            </w:r>
          </w:p>
        </w:tc>
        <w:tc>
          <w:tcPr>
            <w:tcW w:w="1188" w:type="dxa"/>
            <w:gridSpan w:val="2"/>
          </w:tcPr>
          <w:p>
            <w:pPr>
              <w:pStyle w:val="nTable"/>
              <w:spacing w:after="40"/>
              <w:rPr>
                <w:sz w:val="19"/>
              </w:rPr>
            </w:pPr>
            <w:r>
              <w:rPr>
                <w:sz w:val="19"/>
              </w:rPr>
              <w:t>27 Oct 1896</w:t>
            </w:r>
          </w:p>
        </w:tc>
        <w:tc>
          <w:tcPr>
            <w:tcW w:w="2565" w:type="dxa"/>
            <w:gridSpan w:val="3"/>
          </w:tcPr>
          <w:p>
            <w:pPr>
              <w:pStyle w:val="nTable"/>
              <w:spacing w:after="40"/>
              <w:rPr>
                <w:sz w:val="19"/>
              </w:rPr>
            </w:pPr>
            <w:r>
              <w:rPr>
                <w:sz w:val="19"/>
              </w:rPr>
              <w:t>27 Oct 1896</w:t>
            </w:r>
          </w:p>
        </w:tc>
      </w:tr>
      <w:tr>
        <w:trPr>
          <w:cantSplit/>
        </w:trPr>
        <w:tc>
          <w:tcPr>
            <w:tcW w:w="2221" w:type="dxa"/>
          </w:tcPr>
          <w:p>
            <w:pPr>
              <w:pStyle w:val="nTable"/>
              <w:spacing w:after="40"/>
              <w:ind w:right="113"/>
              <w:rPr>
                <w:sz w:val="19"/>
              </w:rPr>
            </w:pPr>
            <w:r>
              <w:rPr>
                <w:i/>
                <w:sz w:val="19"/>
              </w:rPr>
              <w:t>Criminal Code Act 1902</w:t>
            </w:r>
            <w:r>
              <w:rPr>
                <w:sz w:val="19"/>
              </w:rPr>
              <w:t xml:space="preserve"> s. 3</w:t>
            </w:r>
          </w:p>
        </w:tc>
        <w:tc>
          <w:tcPr>
            <w:tcW w:w="1127" w:type="dxa"/>
            <w:gridSpan w:val="2"/>
          </w:tcPr>
          <w:p>
            <w:pPr>
              <w:pStyle w:val="nTable"/>
              <w:spacing w:after="40"/>
              <w:rPr>
                <w:sz w:val="19"/>
              </w:rPr>
            </w:pPr>
            <w:r>
              <w:rPr>
                <w:sz w:val="19"/>
              </w:rPr>
              <w:t>1902 (1 &amp; 2 Edw. VII No. 14)</w:t>
            </w:r>
          </w:p>
        </w:tc>
        <w:tc>
          <w:tcPr>
            <w:tcW w:w="1188" w:type="dxa"/>
            <w:gridSpan w:val="2"/>
          </w:tcPr>
          <w:p>
            <w:pPr>
              <w:pStyle w:val="nTable"/>
              <w:spacing w:after="40"/>
              <w:rPr>
                <w:sz w:val="19"/>
              </w:rPr>
            </w:pPr>
            <w:r>
              <w:rPr>
                <w:sz w:val="19"/>
              </w:rPr>
              <w:t>19 Feb 1902</w:t>
            </w:r>
          </w:p>
        </w:tc>
        <w:tc>
          <w:tcPr>
            <w:tcW w:w="2565" w:type="dxa"/>
            <w:gridSpan w:val="3"/>
          </w:tcPr>
          <w:p>
            <w:pPr>
              <w:pStyle w:val="nTable"/>
              <w:spacing w:after="40"/>
              <w:rPr>
                <w:sz w:val="19"/>
              </w:rPr>
            </w:pPr>
            <w:r>
              <w:rPr>
                <w:sz w:val="19"/>
              </w:rPr>
              <w:t>1 May 1902 (see s. 2 and 3)</w:t>
            </w:r>
          </w:p>
        </w:tc>
      </w:tr>
      <w:tr>
        <w:trPr>
          <w:cantSplit/>
        </w:trPr>
        <w:tc>
          <w:tcPr>
            <w:tcW w:w="2221" w:type="dxa"/>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127" w:type="dxa"/>
            <w:gridSpan w:val="2"/>
          </w:tcPr>
          <w:p>
            <w:pPr>
              <w:pStyle w:val="nTable"/>
              <w:spacing w:after="40"/>
              <w:rPr>
                <w:sz w:val="19"/>
              </w:rPr>
            </w:pPr>
            <w:r>
              <w:rPr>
                <w:sz w:val="19"/>
              </w:rPr>
              <w:t>1902 (2 Edw. VII No. 10) (as amended by No. 17 of 1950 s. 75)</w:t>
            </w:r>
          </w:p>
        </w:tc>
        <w:tc>
          <w:tcPr>
            <w:tcW w:w="1188" w:type="dxa"/>
            <w:gridSpan w:val="2"/>
          </w:tcPr>
          <w:p>
            <w:pPr>
              <w:pStyle w:val="nTable"/>
              <w:spacing w:after="40"/>
              <w:rPr>
                <w:sz w:val="19"/>
              </w:rPr>
            </w:pPr>
            <w:r>
              <w:rPr>
                <w:sz w:val="19"/>
              </w:rPr>
              <w:t>18 Nov 1902</w:t>
            </w:r>
          </w:p>
        </w:tc>
        <w:tc>
          <w:tcPr>
            <w:tcW w:w="2565" w:type="dxa"/>
            <w:gridSpan w:val="3"/>
          </w:tcPr>
          <w:p>
            <w:pPr>
              <w:pStyle w:val="nTable"/>
              <w:spacing w:after="40"/>
              <w:rPr>
                <w:sz w:val="19"/>
              </w:rPr>
            </w:pPr>
            <w:r>
              <w:rPr>
                <w:sz w:val="19"/>
              </w:rPr>
              <w:t>18 Nov 1902</w:t>
            </w:r>
          </w:p>
        </w:tc>
      </w:tr>
      <w:tr>
        <w:trPr>
          <w:cantSplit/>
        </w:trPr>
        <w:tc>
          <w:tcPr>
            <w:tcW w:w="2221" w:type="dxa"/>
          </w:tcPr>
          <w:p>
            <w:pPr>
              <w:pStyle w:val="nTable"/>
              <w:spacing w:after="40"/>
              <w:ind w:right="113"/>
              <w:rPr>
                <w:sz w:val="19"/>
              </w:rPr>
            </w:pPr>
            <w:r>
              <w:rPr>
                <w:i/>
                <w:sz w:val="19"/>
              </w:rPr>
              <w:t xml:space="preserve">Stamp Act Amendment Act 1905 </w:t>
            </w:r>
            <w:r>
              <w:rPr>
                <w:sz w:val="19"/>
              </w:rPr>
              <w:t>s. 20</w:t>
            </w:r>
          </w:p>
        </w:tc>
        <w:tc>
          <w:tcPr>
            <w:tcW w:w="1127" w:type="dxa"/>
            <w:gridSpan w:val="2"/>
          </w:tcPr>
          <w:p>
            <w:pPr>
              <w:pStyle w:val="nTable"/>
              <w:spacing w:after="40"/>
              <w:rPr>
                <w:sz w:val="19"/>
              </w:rPr>
            </w:pPr>
            <w:r>
              <w:rPr>
                <w:sz w:val="19"/>
              </w:rPr>
              <w:t>20 of 1905 (5 Edw. VII No. 20)</w:t>
            </w:r>
          </w:p>
        </w:tc>
        <w:tc>
          <w:tcPr>
            <w:tcW w:w="1188" w:type="dxa"/>
            <w:gridSpan w:val="2"/>
          </w:tcPr>
          <w:p>
            <w:pPr>
              <w:pStyle w:val="nTable"/>
              <w:spacing w:after="40"/>
              <w:rPr>
                <w:sz w:val="19"/>
              </w:rPr>
            </w:pPr>
            <w:r>
              <w:rPr>
                <w:sz w:val="19"/>
              </w:rPr>
              <w:t>23 Dec 1905</w:t>
            </w:r>
          </w:p>
        </w:tc>
        <w:tc>
          <w:tcPr>
            <w:tcW w:w="2565" w:type="dxa"/>
            <w:gridSpan w:val="3"/>
          </w:tcPr>
          <w:p>
            <w:pPr>
              <w:pStyle w:val="nTable"/>
              <w:spacing w:after="40"/>
              <w:rPr>
                <w:sz w:val="19"/>
              </w:rPr>
            </w:pPr>
            <w:r>
              <w:rPr>
                <w:sz w:val="19"/>
              </w:rPr>
              <w:t>1 Jan 1906 (see s. 2)</w:t>
            </w:r>
          </w:p>
        </w:tc>
      </w:tr>
      <w:tr>
        <w:trPr>
          <w:cantSplit/>
        </w:trPr>
        <w:tc>
          <w:tcPr>
            <w:tcW w:w="2221" w:type="dxa"/>
          </w:tcPr>
          <w:p>
            <w:pPr>
              <w:pStyle w:val="nTable"/>
              <w:spacing w:after="40"/>
              <w:ind w:right="113"/>
              <w:rPr>
                <w:sz w:val="19"/>
              </w:rPr>
            </w:pPr>
            <w:r>
              <w:rPr>
                <w:i/>
                <w:sz w:val="19"/>
              </w:rPr>
              <w:t xml:space="preserve">Licensed Surveyors Act 1909 </w:t>
            </w:r>
            <w:r>
              <w:rPr>
                <w:sz w:val="19"/>
              </w:rPr>
              <w:t>s. 28 and 29</w:t>
            </w:r>
          </w:p>
        </w:tc>
        <w:tc>
          <w:tcPr>
            <w:tcW w:w="1127" w:type="dxa"/>
            <w:gridSpan w:val="2"/>
          </w:tcPr>
          <w:p>
            <w:pPr>
              <w:pStyle w:val="nTable"/>
              <w:spacing w:after="40"/>
              <w:rPr>
                <w:sz w:val="19"/>
              </w:rPr>
            </w:pPr>
            <w:r>
              <w:rPr>
                <w:sz w:val="19"/>
              </w:rPr>
              <w:t>25 of 1909 (9 Edw. VII No. 21)</w:t>
            </w:r>
          </w:p>
        </w:tc>
        <w:tc>
          <w:tcPr>
            <w:tcW w:w="1188" w:type="dxa"/>
            <w:gridSpan w:val="2"/>
          </w:tcPr>
          <w:p>
            <w:pPr>
              <w:pStyle w:val="nTable"/>
              <w:spacing w:after="40"/>
              <w:rPr>
                <w:sz w:val="19"/>
              </w:rPr>
            </w:pPr>
            <w:r>
              <w:rPr>
                <w:sz w:val="19"/>
              </w:rPr>
              <w:t>29 Oct 1909</w:t>
            </w:r>
          </w:p>
        </w:tc>
        <w:tc>
          <w:tcPr>
            <w:tcW w:w="2565" w:type="dxa"/>
            <w:gridSpan w:val="3"/>
          </w:tcPr>
          <w:p>
            <w:pPr>
              <w:pStyle w:val="nTable"/>
              <w:spacing w:after="40"/>
              <w:rPr>
                <w:sz w:val="19"/>
              </w:rPr>
            </w:pPr>
            <w:r>
              <w:rPr>
                <w:sz w:val="19"/>
              </w:rPr>
              <w:t>1 Jan 1910 (see s. 1)</w:t>
            </w:r>
          </w:p>
        </w:tc>
      </w:tr>
      <w:tr>
        <w:trPr>
          <w:cantSplit/>
        </w:trPr>
        <w:tc>
          <w:tcPr>
            <w:tcW w:w="2221" w:type="dxa"/>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127" w:type="dxa"/>
            <w:gridSpan w:val="2"/>
          </w:tcPr>
          <w:p>
            <w:pPr>
              <w:pStyle w:val="nTable"/>
              <w:widowControl w:val="0"/>
              <w:spacing w:after="40"/>
              <w:rPr>
                <w:sz w:val="19"/>
              </w:rPr>
            </w:pPr>
            <w:r>
              <w:rPr>
                <w:sz w:val="19"/>
              </w:rPr>
              <w:t>54 of 1909 (9 Edw. VII No. 50) (as amended by No. 28 of 1944 s. 3; No. 17 of 1950 s. 75)</w:t>
            </w:r>
          </w:p>
        </w:tc>
        <w:tc>
          <w:tcPr>
            <w:tcW w:w="1188" w:type="dxa"/>
            <w:gridSpan w:val="2"/>
          </w:tcPr>
          <w:p>
            <w:pPr>
              <w:pStyle w:val="nTable"/>
              <w:spacing w:after="40"/>
              <w:rPr>
                <w:sz w:val="19"/>
              </w:rPr>
            </w:pPr>
            <w:r>
              <w:rPr>
                <w:sz w:val="19"/>
              </w:rPr>
              <w:t>21 Dec 1909</w:t>
            </w:r>
          </w:p>
        </w:tc>
        <w:tc>
          <w:tcPr>
            <w:tcW w:w="2565" w:type="dxa"/>
            <w:gridSpan w:val="3"/>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221" w:type="dxa"/>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127" w:type="dxa"/>
            <w:gridSpan w:val="2"/>
          </w:tcPr>
          <w:p>
            <w:pPr>
              <w:pStyle w:val="nTable"/>
              <w:spacing w:after="40"/>
              <w:rPr>
                <w:sz w:val="19"/>
              </w:rPr>
            </w:pPr>
            <w:r>
              <w:rPr>
                <w:sz w:val="19"/>
              </w:rPr>
              <w:t>26 of 1911 (1 Geo. V No. 37) (as amended by No. 17 of 1950 s. 75)</w:t>
            </w:r>
          </w:p>
        </w:tc>
        <w:tc>
          <w:tcPr>
            <w:tcW w:w="1188" w:type="dxa"/>
            <w:gridSpan w:val="2"/>
          </w:tcPr>
          <w:p>
            <w:pPr>
              <w:pStyle w:val="nTable"/>
              <w:spacing w:after="40"/>
              <w:rPr>
                <w:sz w:val="19"/>
              </w:rPr>
            </w:pPr>
            <w:r>
              <w:rPr>
                <w:sz w:val="19"/>
              </w:rPr>
              <w:t>16 Feb 1911</w:t>
            </w:r>
          </w:p>
        </w:tc>
        <w:tc>
          <w:tcPr>
            <w:tcW w:w="2565" w:type="dxa"/>
            <w:gridSpan w:val="3"/>
          </w:tcPr>
          <w:p>
            <w:pPr>
              <w:pStyle w:val="nTable"/>
              <w:spacing w:after="40"/>
              <w:rPr>
                <w:sz w:val="19"/>
              </w:rPr>
            </w:pPr>
            <w:r>
              <w:rPr>
                <w:sz w:val="19"/>
              </w:rPr>
              <w:t>16 Feb 1911</w:t>
            </w:r>
          </w:p>
        </w:tc>
      </w:tr>
      <w:tr>
        <w:trPr>
          <w:cantSplit/>
        </w:trPr>
        <w:tc>
          <w:tcPr>
            <w:tcW w:w="2221" w:type="dxa"/>
          </w:tcPr>
          <w:p>
            <w:pPr>
              <w:pStyle w:val="nTable"/>
              <w:spacing w:after="40"/>
              <w:ind w:right="113"/>
              <w:rPr>
                <w:sz w:val="19"/>
              </w:rPr>
            </w:pPr>
            <w:r>
              <w:rPr>
                <w:i/>
                <w:sz w:val="19"/>
              </w:rPr>
              <w:t>Transfer of Land Act Amendment Act 1917</w:t>
            </w:r>
          </w:p>
        </w:tc>
        <w:tc>
          <w:tcPr>
            <w:tcW w:w="1127" w:type="dxa"/>
            <w:gridSpan w:val="2"/>
          </w:tcPr>
          <w:p>
            <w:pPr>
              <w:pStyle w:val="nTable"/>
              <w:spacing w:after="40"/>
              <w:rPr>
                <w:sz w:val="19"/>
              </w:rPr>
            </w:pPr>
            <w:r>
              <w:rPr>
                <w:sz w:val="19"/>
              </w:rPr>
              <w:t>32 of 1917 (8 Geo. V No. 13)</w:t>
            </w:r>
          </w:p>
        </w:tc>
        <w:tc>
          <w:tcPr>
            <w:tcW w:w="1188" w:type="dxa"/>
            <w:gridSpan w:val="2"/>
          </w:tcPr>
          <w:p>
            <w:pPr>
              <w:pStyle w:val="nTable"/>
              <w:spacing w:after="40"/>
              <w:rPr>
                <w:sz w:val="19"/>
              </w:rPr>
            </w:pPr>
            <w:r>
              <w:rPr>
                <w:sz w:val="19"/>
              </w:rPr>
              <w:t>11 Dec 1917</w:t>
            </w:r>
          </w:p>
        </w:tc>
        <w:tc>
          <w:tcPr>
            <w:tcW w:w="2565" w:type="dxa"/>
            <w:gridSpan w:val="3"/>
          </w:tcPr>
          <w:p>
            <w:pPr>
              <w:pStyle w:val="nTable"/>
              <w:spacing w:after="40"/>
              <w:rPr>
                <w:sz w:val="19"/>
              </w:rPr>
            </w:pPr>
            <w:r>
              <w:rPr>
                <w:sz w:val="19"/>
              </w:rPr>
              <w:t>11 Dec 1917</w:t>
            </w:r>
          </w:p>
        </w:tc>
      </w:tr>
      <w:tr>
        <w:trPr>
          <w:gridAfter w:val="2"/>
          <w:wAfter w:w="28" w:type="dxa"/>
          <w:cantSplit/>
        </w:trPr>
        <w:tc>
          <w:tcPr>
            <w:tcW w:w="2221" w:type="dxa"/>
          </w:tcPr>
          <w:p>
            <w:pPr>
              <w:pStyle w:val="nTable"/>
              <w:spacing w:after="40"/>
              <w:ind w:right="113"/>
              <w:rPr>
                <w:sz w:val="19"/>
              </w:rPr>
            </w:pPr>
            <w:r>
              <w:rPr>
                <w:i/>
                <w:sz w:val="19"/>
              </w:rPr>
              <w:t>Transfer of Land Act Amendment Act 1920</w:t>
            </w:r>
          </w:p>
        </w:tc>
        <w:tc>
          <w:tcPr>
            <w:tcW w:w="1127" w:type="dxa"/>
            <w:gridSpan w:val="2"/>
          </w:tcPr>
          <w:p>
            <w:pPr>
              <w:pStyle w:val="nTable"/>
              <w:spacing w:after="40"/>
              <w:rPr>
                <w:sz w:val="19"/>
              </w:rPr>
            </w:pPr>
            <w:r>
              <w:rPr>
                <w:sz w:val="19"/>
              </w:rPr>
              <w:t>30 of 1920 (11 Geo. V No. 30)</w:t>
            </w:r>
          </w:p>
        </w:tc>
        <w:tc>
          <w:tcPr>
            <w:tcW w:w="1188" w:type="dxa"/>
            <w:gridSpan w:val="2"/>
          </w:tcPr>
          <w:p>
            <w:pPr>
              <w:pStyle w:val="nTable"/>
              <w:spacing w:after="40"/>
              <w:rPr>
                <w:sz w:val="19"/>
              </w:rPr>
            </w:pPr>
            <w:r>
              <w:rPr>
                <w:sz w:val="19"/>
              </w:rPr>
              <w:t>31 Dec 1920</w:t>
            </w:r>
          </w:p>
        </w:tc>
        <w:tc>
          <w:tcPr>
            <w:tcW w:w="2537" w:type="dxa"/>
          </w:tcPr>
          <w:p>
            <w:pPr>
              <w:pStyle w:val="nTable"/>
              <w:spacing w:after="40"/>
              <w:rPr>
                <w:sz w:val="19"/>
              </w:rPr>
            </w:pPr>
            <w:r>
              <w:rPr>
                <w:sz w:val="19"/>
              </w:rPr>
              <w:t>31 Dec 1920</w:t>
            </w:r>
          </w:p>
        </w:tc>
      </w:tr>
      <w:tr>
        <w:trPr>
          <w:gridAfter w:val="2"/>
          <w:wAfter w:w="28" w:type="dxa"/>
          <w:cantSplit/>
        </w:trPr>
        <w:tc>
          <w:tcPr>
            <w:tcW w:w="2221" w:type="dxa"/>
          </w:tcPr>
          <w:p>
            <w:pPr>
              <w:pStyle w:val="nTable"/>
              <w:spacing w:after="40"/>
              <w:ind w:right="113"/>
              <w:rPr>
                <w:sz w:val="19"/>
              </w:rPr>
            </w:pPr>
            <w:r>
              <w:rPr>
                <w:i/>
                <w:sz w:val="19"/>
              </w:rPr>
              <w:t>Transfer of Land Act Amendment Act 1925</w:t>
            </w:r>
          </w:p>
        </w:tc>
        <w:tc>
          <w:tcPr>
            <w:tcW w:w="1127" w:type="dxa"/>
            <w:gridSpan w:val="2"/>
          </w:tcPr>
          <w:p>
            <w:pPr>
              <w:pStyle w:val="nTable"/>
              <w:spacing w:after="40"/>
              <w:rPr>
                <w:sz w:val="19"/>
              </w:rPr>
            </w:pPr>
            <w:r>
              <w:rPr>
                <w:sz w:val="19"/>
              </w:rPr>
              <w:t>5 of 1925 (16 Geo. V No. 5)</w:t>
            </w:r>
          </w:p>
        </w:tc>
        <w:tc>
          <w:tcPr>
            <w:tcW w:w="1188" w:type="dxa"/>
            <w:gridSpan w:val="2"/>
          </w:tcPr>
          <w:p>
            <w:pPr>
              <w:pStyle w:val="nTable"/>
              <w:spacing w:after="40"/>
              <w:rPr>
                <w:sz w:val="19"/>
              </w:rPr>
            </w:pPr>
            <w:r>
              <w:rPr>
                <w:sz w:val="19"/>
              </w:rPr>
              <w:t>24 Sep 1925</w:t>
            </w:r>
          </w:p>
        </w:tc>
        <w:tc>
          <w:tcPr>
            <w:tcW w:w="2537" w:type="dxa"/>
          </w:tcPr>
          <w:p>
            <w:pPr>
              <w:pStyle w:val="nTable"/>
              <w:spacing w:after="40"/>
              <w:rPr>
                <w:sz w:val="19"/>
              </w:rPr>
            </w:pPr>
            <w:r>
              <w:rPr>
                <w:sz w:val="19"/>
              </w:rPr>
              <w:t>24 Sep 1925</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127" w:type="dxa"/>
            <w:gridSpan w:val="2"/>
          </w:tcPr>
          <w:p>
            <w:pPr>
              <w:pStyle w:val="nTable"/>
              <w:spacing w:after="40"/>
              <w:rPr>
                <w:sz w:val="19"/>
              </w:rPr>
            </w:pPr>
            <w:r>
              <w:rPr>
                <w:sz w:val="19"/>
              </w:rPr>
              <w:t>14 of 1929 (20 Geo. V No. 12) (as amended by No. 17 of 1950 s. 75)</w:t>
            </w:r>
          </w:p>
        </w:tc>
        <w:tc>
          <w:tcPr>
            <w:tcW w:w="1188" w:type="dxa"/>
            <w:gridSpan w:val="2"/>
          </w:tcPr>
          <w:p>
            <w:pPr>
              <w:pStyle w:val="nTable"/>
              <w:spacing w:after="40"/>
              <w:rPr>
                <w:sz w:val="19"/>
              </w:rPr>
            </w:pPr>
            <w:r>
              <w:rPr>
                <w:sz w:val="19"/>
              </w:rPr>
              <w:t>30 Oct 1929</w:t>
            </w:r>
          </w:p>
        </w:tc>
        <w:tc>
          <w:tcPr>
            <w:tcW w:w="2537" w:type="dxa"/>
          </w:tcPr>
          <w:p>
            <w:pPr>
              <w:pStyle w:val="nTable"/>
              <w:spacing w:after="40"/>
              <w:rPr>
                <w:sz w:val="19"/>
              </w:rPr>
            </w:pPr>
            <w:r>
              <w:rPr>
                <w:sz w:val="19"/>
              </w:rPr>
              <w:t>30 Oct 1929</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127" w:type="dxa"/>
            <w:gridSpan w:val="2"/>
          </w:tcPr>
          <w:p>
            <w:pPr>
              <w:pStyle w:val="nTable"/>
              <w:spacing w:after="40"/>
              <w:rPr>
                <w:sz w:val="19"/>
              </w:rPr>
            </w:pPr>
            <w:r>
              <w:rPr>
                <w:sz w:val="19"/>
              </w:rPr>
              <w:t>42 of 1929 (20 Geo. V No. 41) (as amended by No. 17 of 1950 s. 75)</w:t>
            </w:r>
          </w:p>
        </w:tc>
        <w:tc>
          <w:tcPr>
            <w:tcW w:w="1188" w:type="dxa"/>
            <w:gridSpan w:val="2"/>
          </w:tcPr>
          <w:p>
            <w:pPr>
              <w:pStyle w:val="nTable"/>
              <w:spacing w:after="40"/>
              <w:rPr>
                <w:sz w:val="19"/>
              </w:rPr>
            </w:pPr>
            <w:r>
              <w:rPr>
                <w:sz w:val="19"/>
              </w:rPr>
              <w:t>31 Dec 1929</w:t>
            </w:r>
          </w:p>
        </w:tc>
        <w:tc>
          <w:tcPr>
            <w:tcW w:w="2537" w:type="dxa"/>
          </w:tcPr>
          <w:p>
            <w:pPr>
              <w:pStyle w:val="nTable"/>
              <w:spacing w:after="40"/>
              <w:rPr>
                <w:sz w:val="19"/>
              </w:rPr>
            </w:pPr>
            <w:r>
              <w:rPr>
                <w:sz w:val="19"/>
              </w:rPr>
              <w:t>31 Dec 1929</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1939</w:t>
            </w:r>
          </w:p>
        </w:tc>
        <w:tc>
          <w:tcPr>
            <w:tcW w:w="1127" w:type="dxa"/>
            <w:gridSpan w:val="2"/>
          </w:tcPr>
          <w:p>
            <w:pPr>
              <w:pStyle w:val="nTable"/>
              <w:spacing w:after="40"/>
              <w:rPr>
                <w:sz w:val="19"/>
              </w:rPr>
            </w:pPr>
            <w:r>
              <w:rPr>
                <w:sz w:val="19"/>
              </w:rPr>
              <w:t>23 of 1939 (3 Geo. VI No. 23)</w:t>
            </w:r>
          </w:p>
        </w:tc>
        <w:tc>
          <w:tcPr>
            <w:tcW w:w="1188" w:type="dxa"/>
            <w:gridSpan w:val="2"/>
          </w:tcPr>
          <w:p>
            <w:pPr>
              <w:pStyle w:val="nTable"/>
              <w:spacing w:after="40"/>
              <w:rPr>
                <w:sz w:val="19"/>
              </w:rPr>
            </w:pPr>
            <w:r>
              <w:rPr>
                <w:sz w:val="19"/>
              </w:rPr>
              <w:t>22 Nov 1939</w:t>
            </w:r>
          </w:p>
        </w:tc>
        <w:tc>
          <w:tcPr>
            <w:tcW w:w="2537" w:type="dxa"/>
          </w:tcPr>
          <w:p>
            <w:pPr>
              <w:pStyle w:val="nTable"/>
              <w:spacing w:after="40"/>
              <w:rPr>
                <w:sz w:val="19"/>
              </w:rPr>
            </w:pPr>
            <w:r>
              <w:rPr>
                <w:sz w:val="19"/>
              </w:rPr>
              <w:t>22 Nov 1939</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127" w:type="dxa"/>
            <w:gridSpan w:val="2"/>
          </w:tcPr>
          <w:p>
            <w:pPr>
              <w:pStyle w:val="nTable"/>
              <w:spacing w:after="40"/>
              <w:rPr>
                <w:sz w:val="19"/>
              </w:rPr>
            </w:pPr>
            <w:r>
              <w:rPr>
                <w:sz w:val="19"/>
              </w:rPr>
              <w:t>28 of 1944 (8 and 9 Geo. VI No. 28) (as amended by No. 17 of 1950 s. 75)</w:t>
            </w:r>
          </w:p>
        </w:tc>
        <w:tc>
          <w:tcPr>
            <w:tcW w:w="1188" w:type="dxa"/>
            <w:gridSpan w:val="2"/>
          </w:tcPr>
          <w:p>
            <w:pPr>
              <w:pStyle w:val="nTable"/>
              <w:spacing w:after="40"/>
              <w:rPr>
                <w:sz w:val="19"/>
              </w:rPr>
            </w:pPr>
            <w:r>
              <w:rPr>
                <w:sz w:val="19"/>
              </w:rPr>
              <w:t>23 Dec 1944</w:t>
            </w:r>
          </w:p>
        </w:tc>
        <w:tc>
          <w:tcPr>
            <w:tcW w:w="2537" w:type="dxa"/>
          </w:tcPr>
          <w:p>
            <w:pPr>
              <w:pStyle w:val="nTable"/>
              <w:spacing w:after="40"/>
              <w:rPr>
                <w:sz w:val="19"/>
              </w:rPr>
            </w:pPr>
            <w:r>
              <w:rPr>
                <w:sz w:val="19"/>
              </w:rPr>
              <w:t>23 Dec 1944</w:t>
            </w:r>
          </w:p>
        </w:tc>
      </w:tr>
      <w:tr>
        <w:trPr>
          <w:gridAfter w:val="2"/>
          <w:wAfter w:w="28" w:type="dxa"/>
          <w:cantSplit/>
        </w:trPr>
        <w:tc>
          <w:tcPr>
            <w:tcW w:w="2221" w:type="dxa"/>
          </w:tcPr>
          <w:p>
            <w:pPr>
              <w:pStyle w:val="nTable"/>
              <w:spacing w:after="40"/>
              <w:ind w:right="113"/>
              <w:rPr>
                <w:sz w:val="19"/>
              </w:rPr>
            </w:pPr>
            <w:r>
              <w:rPr>
                <w:i/>
                <w:sz w:val="19"/>
              </w:rPr>
              <w:t>Transfer of Land Act Amendment Act 1946 </w:t>
            </w:r>
            <w:r>
              <w:rPr>
                <w:sz w:val="19"/>
                <w:vertAlign w:val="superscript"/>
              </w:rPr>
              <w:t>16</w:t>
            </w:r>
          </w:p>
        </w:tc>
        <w:tc>
          <w:tcPr>
            <w:tcW w:w="1127" w:type="dxa"/>
            <w:gridSpan w:val="2"/>
          </w:tcPr>
          <w:p>
            <w:pPr>
              <w:pStyle w:val="nTable"/>
              <w:spacing w:after="40"/>
              <w:rPr>
                <w:sz w:val="19"/>
              </w:rPr>
            </w:pPr>
            <w:r>
              <w:rPr>
                <w:sz w:val="19"/>
              </w:rPr>
              <w:t xml:space="preserve">6 of 1946 (10 Geo. VI No. 6) </w:t>
            </w:r>
          </w:p>
        </w:tc>
        <w:tc>
          <w:tcPr>
            <w:tcW w:w="1188" w:type="dxa"/>
            <w:gridSpan w:val="2"/>
          </w:tcPr>
          <w:p>
            <w:pPr>
              <w:pStyle w:val="nTable"/>
              <w:spacing w:after="40"/>
              <w:rPr>
                <w:sz w:val="19"/>
              </w:rPr>
            </w:pPr>
            <w:r>
              <w:rPr>
                <w:sz w:val="19"/>
              </w:rPr>
              <w:t>13 Nov 1946</w:t>
            </w:r>
          </w:p>
        </w:tc>
        <w:tc>
          <w:tcPr>
            <w:tcW w:w="2537" w:type="dxa"/>
          </w:tcPr>
          <w:p>
            <w:pPr>
              <w:pStyle w:val="nTable"/>
              <w:spacing w:after="40"/>
              <w:rPr>
                <w:sz w:val="19"/>
              </w:rPr>
            </w:pPr>
            <w:r>
              <w:rPr>
                <w:sz w:val="19"/>
              </w:rPr>
              <w:t>13 Nov 1946</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1946 (No. 2)</w:t>
            </w:r>
          </w:p>
        </w:tc>
        <w:tc>
          <w:tcPr>
            <w:tcW w:w="1127" w:type="dxa"/>
            <w:gridSpan w:val="2"/>
          </w:tcPr>
          <w:p>
            <w:pPr>
              <w:pStyle w:val="nTable"/>
              <w:spacing w:after="40"/>
              <w:rPr>
                <w:sz w:val="19"/>
              </w:rPr>
            </w:pPr>
            <w:r>
              <w:rPr>
                <w:sz w:val="19"/>
              </w:rPr>
              <w:t>21 of 1946 (10 and 11 Geo. VI No. 21)</w:t>
            </w:r>
          </w:p>
        </w:tc>
        <w:tc>
          <w:tcPr>
            <w:tcW w:w="1188" w:type="dxa"/>
            <w:gridSpan w:val="2"/>
          </w:tcPr>
          <w:p>
            <w:pPr>
              <w:pStyle w:val="nTable"/>
              <w:spacing w:after="40"/>
              <w:rPr>
                <w:sz w:val="19"/>
              </w:rPr>
            </w:pPr>
            <w:r>
              <w:rPr>
                <w:sz w:val="19"/>
              </w:rPr>
              <w:t>14 Jan 1947</w:t>
            </w:r>
          </w:p>
        </w:tc>
        <w:tc>
          <w:tcPr>
            <w:tcW w:w="2537" w:type="dxa"/>
          </w:tcPr>
          <w:p>
            <w:pPr>
              <w:pStyle w:val="nTable"/>
              <w:spacing w:after="40"/>
              <w:rPr>
                <w:sz w:val="19"/>
              </w:rPr>
            </w:pPr>
            <w:r>
              <w:rPr>
                <w:sz w:val="19"/>
              </w:rPr>
              <w:t>14 Jan 1947</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1950 </w:t>
            </w:r>
            <w:r>
              <w:rPr>
                <w:sz w:val="19"/>
                <w:vertAlign w:val="superscript"/>
              </w:rPr>
              <w:t>17</w:t>
            </w:r>
          </w:p>
        </w:tc>
        <w:tc>
          <w:tcPr>
            <w:tcW w:w="1127" w:type="dxa"/>
            <w:gridSpan w:val="2"/>
          </w:tcPr>
          <w:p>
            <w:pPr>
              <w:pStyle w:val="nTable"/>
              <w:spacing w:after="40"/>
              <w:rPr>
                <w:sz w:val="19"/>
              </w:rPr>
            </w:pPr>
            <w:r>
              <w:rPr>
                <w:sz w:val="19"/>
              </w:rPr>
              <w:t>17 of 1950 (14 Geo. VI No. 17)</w:t>
            </w:r>
          </w:p>
        </w:tc>
        <w:tc>
          <w:tcPr>
            <w:tcW w:w="1188" w:type="dxa"/>
            <w:gridSpan w:val="2"/>
          </w:tcPr>
          <w:p>
            <w:pPr>
              <w:pStyle w:val="nTable"/>
              <w:spacing w:after="40"/>
              <w:rPr>
                <w:sz w:val="19"/>
              </w:rPr>
            </w:pPr>
            <w:r>
              <w:rPr>
                <w:sz w:val="19"/>
              </w:rPr>
              <w:t>29 Nov 1950</w:t>
            </w:r>
          </w:p>
        </w:tc>
        <w:tc>
          <w:tcPr>
            <w:tcW w:w="2537"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gridAfter w:val="2"/>
          <w:wAfter w:w="28" w:type="dxa"/>
          <w:cantSplit/>
        </w:trPr>
        <w:tc>
          <w:tcPr>
            <w:tcW w:w="7073" w:type="dxa"/>
            <w:gridSpan w:val="6"/>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gridAfter w:val="2"/>
          <w:wAfter w:w="28" w:type="dxa"/>
          <w:cantSplit/>
        </w:trPr>
        <w:tc>
          <w:tcPr>
            <w:tcW w:w="2221" w:type="dxa"/>
          </w:tcPr>
          <w:p>
            <w:pPr>
              <w:pStyle w:val="nTable"/>
              <w:spacing w:after="40"/>
              <w:ind w:right="113"/>
              <w:rPr>
                <w:i/>
                <w:sz w:val="19"/>
              </w:rPr>
            </w:pPr>
            <w:r>
              <w:rPr>
                <w:i/>
                <w:sz w:val="19"/>
              </w:rPr>
              <w:t>Limitation Act 1935</w:t>
            </w:r>
            <w:r>
              <w:rPr>
                <w:sz w:val="19"/>
              </w:rPr>
              <w:t xml:space="preserve"> s. 48A(1)</w:t>
            </w:r>
          </w:p>
        </w:tc>
        <w:tc>
          <w:tcPr>
            <w:tcW w:w="1127" w:type="dxa"/>
            <w:gridSpan w:val="2"/>
          </w:tcPr>
          <w:p>
            <w:pPr>
              <w:pStyle w:val="nTable"/>
              <w:spacing w:after="40"/>
              <w:rPr>
                <w:sz w:val="19"/>
              </w:rPr>
            </w:pPr>
            <w:r>
              <w:rPr>
                <w:sz w:val="19"/>
              </w:rPr>
              <w:t xml:space="preserve">35 of 1935 (26 Geo. V No. 35) </w:t>
            </w:r>
            <w:r>
              <w:rPr>
                <w:sz w:val="19"/>
              </w:rPr>
              <w:br/>
              <w:t>(as amended by No. 73 of 1954 s. 8)</w:t>
            </w:r>
          </w:p>
        </w:tc>
        <w:tc>
          <w:tcPr>
            <w:tcW w:w="1188" w:type="dxa"/>
            <w:gridSpan w:val="2"/>
          </w:tcPr>
          <w:p>
            <w:pPr>
              <w:pStyle w:val="nTable"/>
              <w:keepNext/>
              <w:spacing w:after="40"/>
              <w:rPr>
                <w:sz w:val="19"/>
              </w:rPr>
            </w:pPr>
            <w:r>
              <w:rPr>
                <w:sz w:val="19"/>
              </w:rPr>
              <w:t>14 Jan 1955</w:t>
            </w:r>
          </w:p>
        </w:tc>
        <w:tc>
          <w:tcPr>
            <w:tcW w:w="2537" w:type="dxa"/>
          </w:tcPr>
          <w:p>
            <w:pPr>
              <w:pStyle w:val="nTable"/>
              <w:keepNext/>
              <w:spacing w:after="40"/>
              <w:rPr>
                <w:sz w:val="19"/>
              </w:rPr>
            </w:pPr>
            <w:r>
              <w:rPr>
                <w:sz w:val="19"/>
              </w:rPr>
              <w:t xml:space="preserve">Relevant amendments (see s. 48A and Second Sch. </w:t>
            </w:r>
            <w:r>
              <w:rPr>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gridAfter w:val="2"/>
          <w:wAfter w:w="28" w:type="dxa"/>
          <w:cantSplit/>
        </w:trPr>
        <w:tc>
          <w:tcPr>
            <w:tcW w:w="2266" w:type="dxa"/>
            <w:gridSpan w:val="2"/>
          </w:tcPr>
          <w:p>
            <w:pPr>
              <w:pStyle w:val="nTable"/>
              <w:spacing w:after="40"/>
              <w:ind w:right="113"/>
              <w:rPr>
                <w:sz w:val="19"/>
              </w:rPr>
            </w:pPr>
            <w:r>
              <w:rPr>
                <w:i/>
                <w:sz w:val="19"/>
              </w:rPr>
              <w:t>Transfer of Land Act Amendment Act 1959</w:t>
            </w:r>
          </w:p>
        </w:tc>
        <w:tc>
          <w:tcPr>
            <w:tcW w:w="1136"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37" w:type="dxa"/>
          </w:tcPr>
          <w:p>
            <w:pPr>
              <w:pStyle w:val="nTable"/>
              <w:spacing w:after="40"/>
              <w:rPr>
                <w:sz w:val="19"/>
              </w:rPr>
            </w:pPr>
            <w:r>
              <w:rPr>
                <w:sz w:val="19"/>
              </w:rPr>
              <w:t>25 Sep 1959</w:t>
            </w:r>
          </w:p>
        </w:tc>
      </w:tr>
      <w:tr>
        <w:trPr>
          <w:gridAfter w:val="2"/>
          <w:wAfter w:w="28" w:type="dxa"/>
          <w:cantSplit/>
        </w:trPr>
        <w:tc>
          <w:tcPr>
            <w:tcW w:w="7073" w:type="dxa"/>
            <w:gridSpan w:val="6"/>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gridAfter w:val="2"/>
          <w:wAfter w:w="28" w:type="dxa"/>
          <w:cantSplit/>
        </w:trPr>
        <w:tc>
          <w:tcPr>
            <w:tcW w:w="2266" w:type="dxa"/>
            <w:gridSpan w:val="2"/>
          </w:tcPr>
          <w:p>
            <w:pPr>
              <w:pStyle w:val="nTable"/>
              <w:spacing w:after="40"/>
              <w:ind w:right="113"/>
              <w:rPr>
                <w:sz w:val="19"/>
              </w:rPr>
            </w:pPr>
            <w:r>
              <w:rPr>
                <w:i/>
                <w:sz w:val="19"/>
              </w:rPr>
              <w:t>Decimal Currency Act 1965</w:t>
            </w:r>
          </w:p>
        </w:tc>
        <w:tc>
          <w:tcPr>
            <w:tcW w:w="1136"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37"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After w:val="2"/>
          <w:wAfter w:w="28" w:type="dxa"/>
          <w:cantSplit/>
        </w:trPr>
        <w:tc>
          <w:tcPr>
            <w:tcW w:w="2266" w:type="dxa"/>
            <w:gridSpan w:val="2"/>
          </w:tcPr>
          <w:p>
            <w:pPr>
              <w:pStyle w:val="nTable"/>
              <w:spacing w:after="40"/>
              <w:ind w:right="113"/>
              <w:rPr>
                <w:sz w:val="19"/>
              </w:rPr>
            </w:pPr>
            <w:r>
              <w:rPr>
                <w:i/>
                <w:sz w:val="19"/>
              </w:rPr>
              <w:t>Transfer of Land Act Amendment Act 1969</w:t>
            </w:r>
          </w:p>
        </w:tc>
        <w:tc>
          <w:tcPr>
            <w:tcW w:w="1136"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37" w:type="dxa"/>
          </w:tcPr>
          <w:p>
            <w:pPr>
              <w:pStyle w:val="nTable"/>
              <w:spacing w:after="40"/>
              <w:rPr>
                <w:sz w:val="19"/>
              </w:rPr>
            </w:pPr>
            <w:r>
              <w:rPr>
                <w:sz w:val="19"/>
              </w:rPr>
              <w:t>16 May 1969</w:t>
            </w:r>
          </w:p>
        </w:tc>
      </w:tr>
      <w:tr>
        <w:trPr>
          <w:gridAfter w:val="2"/>
          <w:wAfter w:w="28" w:type="dxa"/>
          <w:cantSplit/>
        </w:trPr>
        <w:tc>
          <w:tcPr>
            <w:tcW w:w="2266" w:type="dxa"/>
            <w:gridSpan w:val="2"/>
          </w:tcPr>
          <w:p>
            <w:pPr>
              <w:pStyle w:val="nTable"/>
              <w:spacing w:after="40"/>
              <w:ind w:right="113"/>
              <w:rPr>
                <w:sz w:val="19"/>
              </w:rPr>
            </w:pPr>
            <w:r>
              <w:rPr>
                <w:i/>
                <w:sz w:val="19"/>
              </w:rPr>
              <w:t>Transfer of Land Act Amendment Act (No. 3) 1969</w:t>
            </w:r>
          </w:p>
        </w:tc>
        <w:tc>
          <w:tcPr>
            <w:tcW w:w="1136"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37" w:type="dxa"/>
          </w:tcPr>
          <w:p>
            <w:pPr>
              <w:pStyle w:val="nTable"/>
              <w:spacing w:after="40"/>
              <w:rPr>
                <w:sz w:val="19"/>
              </w:rPr>
            </w:pPr>
            <w:r>
              <w:rPr>
                <w:sz w:val="19"/>
              </w:rPr>
              <w:t>17 Nov 1969</w:t>
            </w:r>
          </w:p>
        </w:tc>
      </w:tr>
      <w:tr>
        <w:trPr>
          <w:gridAfter w:val="2"/>
          <w:wAfter w:w="28" w:type="dxa"/>
          <w:cantSplit/>
        </w:trPr>
        <w:tc>
          <w:tcPr>
            <w:tcW w:w="4536" w:type="dxa"/>
            <w:gridSpan w:val="5"/>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37" w:type="dxa"/>
          </w:tcPr>
          <w:p>
            <w:pPr>
              <w:pStyle w:val="nTable"/>
              <w:spacing w:after="40"/>
              <w:rPr>
                <w:sz w:val="19"/>
              </w:rPr>
            </w:pPr>
            <w:r>
              <w:rPr>
                <w:sz w:val="19"/>
              </w:rPr>
              <w:t>24 Feb 1970</w:t>
            </w:r>
          </w:p>
        </w:tc>
      </w:tr>
      <w:tr>
        <w:trPr>
          <w:gridAfter w:val="2"/>
          <w:wAfter w:w="28" w:type="dxa"/>
          <w:cantSplit/>
        </w:trPr>
        <w:tc>
          <w:tcPr>
            <w:tcW w:w="4536" w:type="dxa"/>
            <w:gridSpan w:val="5"/>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37" w:type="dxa"/>
          </w:tcPr>
          <w:p>
            <w:pPr>
              <w:pStyle w:val="nTable"/>
              <w:spacing w:after="40"/>
              <w:rPr>
                <w:sz w:val="19"/>
              </w:rPr>
            </w:pPr>
            <w:r>
              <w:rPr>
                <w:sz w:val="19"/>
              </w:rPr>
              <w:t>8 Feb 1972</w:t>
            </w:r>
          </w:p>
        </w:tc>
      </w:tr>
      <w:tr>
        <w:trPr>
          <w:gridAfter w:val="2"/>
          <w:wAfter w:w="28" w:type="dxa"/>
          <w:cantSplit/>
        </w:trPr>
        <w:tc>
          <w:tcPr>
            <w:tcW w:w="2266" w:type="dxa"/>
            <w:gridSpan w:val="2"/>
          </w:tcPr>
          <w:p>
            <w:pPr>
              <w:pStyle w:val="nTable"/>
              <w:spacing w:after="40"/>
              <w:ind w:right="113"/>
              <w:rPr>
                <w:sz w:val="19"/>
              </w:rPr>
            </w:pPr>
            <w:r>
              <w:rPr>
                <w:i/>
                <w:sz w:val="19"/>
              </w:rPr>
              <w:t>Transfer of Land Act Amendment Act 1972</w:t>
            </w:r>
          </w:p>
        </w:tc>
        <w:tc>
          <w:tcPr>
            <w:tcW w:w="1136"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37" w:type="dxa"/>
          </w:tcPr>
          <w:p>
            <w:pPr>
              <w:pStyle w:val="nTable"/>
              <w:spacing w:after="40"/>
              <w:rPr>
                <w:sz w:val="19"/>
              </w:rPr>
            </w:pPr>
            <w:r>
              <w:rPr>
                <w:sz w:val="19"/>
              </w:rPr>
              <w:t>25 May 1972</w:t>
            </w:r>
          </w:p>
        </w:tc>
      </w:tr>
      <w:tr>
        <w:trPr>
          <w:gridAfter w:val="2"/>
          <w:wAfter w:w="28" w:type="dxa"/>
          <w:cantSplit/>
        </w:trPr>
        <w:tc>
          <w:tcPr>
            <w:tcW w:w="2266" w:type="dxa"/>
            <w:gridSpan w:val="2"/>
          </w:tcPr>
          <w:p>
            <w:pPr>
              <w:pStyle w:val="nTable"/>
              <w:spacing w:after="40"/>
              <w:ind w:right="113"/>
              <w:rPr>
                <w:sz w:val="19"/>
              </w:rPr>
            </w:pPr>
            <w:r>
              <w:rPr>
                <w:i/>
                <w:sz w:val="19"/>
              </w:rPr>
              <w:t>Metric Conversion Act 1972</w:t>
            </w:r>
          </w:p>
        </w:tc>
        <w:tc>
          <w:tcPr>
            <w:tcW w:w="1136"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37" w:type="dxa"/>
          </w:tcPr>
          <w:p>
            <w:pPr>
              <w:pStyle w:val="nTable"/>
              <w:spacing w:after="40"/>
              <w:rPr>
                <w:sz w:val="19"/>
              </w:rPr>
            </w:pPr>
            <w:r>
              <w:rPr>
                <w:sz w:val="19"/>
              </w:rPr>
              <w:t>Relevant amendments (see First Sch. </w:t>
            </w:r>
            <w:r>
              <w:rPr>
                <w:sz w:val="19"/>
                <w:vertAlign w:val="superscript"/>
              </w:rPr>
              <w:t>19</w:t>
            </w:r>
            <w:r>
              <w:rPr>
                <w:sz w:val="19"/>
              </w:rPr>
              <w:t xml:space="preserve">) took effect on 1 Jan 1973 (see s. 4(2) and </w:t>
            </w:r>
            <w:r>
              <w:rPr>
                <w:i/>
                <w:sz w:val="19"/>
              </w:rPr>
              <w:t>Gazette</w:t>
            </w:r>
            <w:r>
              <w:rPr>
                <w:sz w:val="19"/>
              </w:rPr>
              <w:t xml:space="preserve"> 29 Dec 1972 p. 4811)</w:t>
            </w:r>
          </w:p>
        </w:tc>
      </w:tr>
      <w:tr>
        <w:trPr>
          <w:gridAfter w:val="2"/>
          <w:wAfter w:w="28" w:type="dxa"/>
          <w:cantSplit/>
        </w:trPr>
        <w:tc>
          <w:tcPr>
            <w:tcW w:w="7073" w:type="dxa"/>
            <w:gridSpan w:val="6"/>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gridAfter w:val="2"/>
          <w:wAfter w:w="28" w:type="dxa"/>
          <w:cantSplit/>
        </w:trPr>
        <w:tc>
          <w:tcPr>
            <w:tcW w:w="2266" w:type="dxa"/>
            <w:gridSpan w:val="2"/>
          </w:tcPr>
          <w:p>
            <w:pPr>
              <w:pStyle w:val="nTable"/>
              <w:spacing w:after="40"/>
              <w:ind w:right="113"/>
              <w:rPr>
                <w:sz w:val="19"/>
              </w:rPr>
            </w:pPr>
            <w:r>
              <w:rPr>
                <w:i/>
                <w:sz w:val="19"/>
              </w:rPr>
              <w:t xml:space="preserve">Acts Amendment (Land Valuers) Act 1978 </w:t>
            </w:r>
            <w:r>
              <w:rPr>
                <w:sz w:val="19"/>
              </w:rPr>
              <w:t>Pt. I and II</w:t>
            </w:r>
          </w:p>
        </w:tc>
        <w:tc>
          <w:tcPr>
            <w:tcW w:w="1136"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37"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gridAfter w:val="2"/>
          <w:wAfter w:w="28" w:type="dxa"/>
          <w:cantSplit/>
        </w:trPr>
        <w:tc>
          <w:tcPr>
            <w:tcW w:w="2266" w:type="dxa"/>
            <w:gridSpan w:val="2"/>
          </w:tcPr>
          <w:p>
            <w:pPr>
              <w:pStyle w:val="nTable"/>
              <w:spacing w:after="40"/>
              <w:ind w:right="113"/>
              <w:rPr>
                <w:sz w:val="19"/>
              </w:rPr>
            </w:pPr>
            <w:r>
              <w:rPr>
                <w:i/>
                <w:sz w:val="19"/>
              </w:rPr>
              <w:t xml:space="preserve">Companies (Consequential Amendments) Act 1982 </w:t>
            </w:r>
            <w:r>
              <w:rPr>
                <w:sz w:val="19"/>
              </w:rPr>
              <w:t>s. 28</w:t>
            </w:r>
          </w:p>
        </w:tc>
        <w:tc>
          <w:tcPr>
            <w:tcW w:w="1136"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37"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2"/>
          <w:wAfter w:w="28" w:type="dxa"/>
          <w:cantSplit/>
        </w:trPr>
        <w:tc>
          <w:tcPr>
            <w:tcW w:w="2266" w:type="dxa"/>
            <w:gridSpan w:val="2"/>
          </w:tcPr>
          <w:p>
            <w:pPr>
              <w:pStyle w:val="nTable"/>
              <w:spacing w:after="40"/>
              <w:ind w:right="113"/>
              <w:rPr>
                <w:sz w:val="19"/>
              </w:rPr>
            </w:pPr>
            <w:r>
              <w:rPr>
                <w:i/>
                <w:sz w:val="19"/>
              </w:rPr>
              <w:t xml:space="preserve">Acts Amendment (Land Administration) Act 1987 </w:t>
            </w:r>
            <w:r>
              <w:rPr>
                <w:sz w:val="19"/>
              </w:rPr>
              <w:t>Pt. VII</w:t>
            </w:r>
          </w:p>
        </w:tc>
        <w:tc>
          <w:tcPr>
            <w:tcW w:w="1136"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37"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14" w:type="dxa"/>
          <w:cantSplit/>
        </w:trPr>
        <w:tc>
          <w:tcPr>
            <w:tcW w:w="2266" w:type="dxa"/>
            <w:gridSpan w:val="2"/>
          </w:tcPr>
          <w:p>
            <w:pPr>
              <w:pStyle w:val="nTable"/>
              <w:spacing w:after="40"/>
              <w:ind w:right="113"/>
              <w:rPr>
                <w:sz w:val="19"/>
              </w:rPr>
            </w:pPr>
            <w:r>
              <w:rPr>
                <w:i/>
                <w:sz w:val="19"/>
              </w:rPr>
              <w:t xml:space="preserve">Reserves and Land Revestment Act 1991 </w:t>
            </w:r>
            <w:r>
              <w:rPr>
                <w:sz w:val="19"/>
              </w:rPr>
              <w:t>s. 22</w:t>
            </w:r>
          </w:p>
        </w:tc>
        <w:tc>
          <w:tcPr>
            <w:tcW w:w="1136"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gridSpan w:val="2"/>
          </w:tcPr>
          <w:p>
            <w:pPr>
              <w:pStyle w:val="nTable"/>
              <w:spacing w:after="40"/>
              <w:rPr>
                <w:sz w:val="19"/>
              </w:rPr>
            </w:pPr>
            <w:r>
              <w:rPr>
                <w:sz w:val="19"/>
              </w:rPr>
              <w:t>17 Dec 1991 (see s. 2)</w:t>
            </w:r>
          </w:p>
        </w:tc>
      </w:tr>
      <w:tr>
        <w:trPr>
          <w:gridAfter w:val="1"/>
          <w:wAfter w:w="14" w:type="dxa"/>
          <w:cantSplit/>
        </w:trPr>
        <w:tc>
          <w:tcPr>
            <w:tcW w:w="2266" w:type="dxa"/>
            <w:gridSpan w:val="2"/>
          </w:tcPr>
          <w:p>
            <w:pPr>
              <w:pStyle w:val="nTable"/>
              <w:spacing w:after="40"/>
              <w:ind w:right="113"/>
              <w:rPr>
                <w:sz w:val="19"/>
              </w:rPr>
            </w:pPr>
            <w:r>
              <w:rPr>
                <w:i/>
                <w:sz w:val="19"/>
              </w:rPr>
              <w:t xml:space="preserve">Financial Administration Legislation Amendment Act 1993 </w:t>
            </w:r>
            <w:r>
              <w:rPr>
                <w:sz w:val="19"/>
              </w:rPr>
              <w:t>s. 11 and 12</w:t>
            </w:r>
          </w:p>
        </w:tc>
        <w:tc>
          <w:tcPr>
            <w:tcW w:w="1136"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14" w:type="dxa"/>
          <w:cantSplit/>
        </w:trPr>
        <w:tc>
          <w:tcPr>
            <w:tcW w:w="2266" w:type="dxa"/>
            <w:gridSpan w:val="2"/>
          </w:tcPr>
          <w:p>
            <w:pPr>
              <w:pStyle w:val="nTable"/>
              <w:spacing w:after="40"/>
              <w:ind w:right="113"/>
              <w:rPr>
                <w:sz w:val="19"/>
              </w:rPr>
            </w:pPr>
            <w:r>
              <w:rPr>
                <w:i/>
                <w:sz w:val="19"/>
              </w:rPr>
              <w:t xml:space="preserve">Acts Amendment (Public Sector Management) Act 1994 </w:t>
            </w:r>
            <w:r>
              <w:rPr>
                <w:sz w:val="19"/>
              </w:rPr>
              <w:t>s. 18</w:t>
            </w:r>
          </w:p>
        </w:tc>
        <w:tc>
          <w:tcPr>
            <w:tcW w:w="1136"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4" w:type="dxa"/>
          <w:cantSplit/>
        </w:trPr>
        <w:tc>
          <w:tcPr>
            <w:tcW w:w="2266"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6"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14" w:type="dxa"/>
          <w:cantSplit/>
        </w:trPr>
        <w:tc>
          <w:tcPr>
            <w:tcW w:w="2266" w:type="dxa"/>
            <w:gridSpan w:val="2"/>
          </w:tcPr>
          <w:p>
            <w:pPr>
              <w:pStyle w:val="nTable"/>
              <w:spacing w:after="40"/>
              <w:ind w:right="113"/>
              <w:rPr>
                <w:rFonts w:ascii="Times" w:hAnsi="Times"/>
                <w:sz w:val="19"/>
              </w:rPr>
            </w:pPr>
            <w:r>
              <w:rPr>
                <w:i/>
                <w:sz w:val="19"/>
              </w:rPr>
              <w:t>Transfer of Land Amendment Act 1996 </w:t>
            </w:r>
            <w:r>
              <w:rPr>
                <w:sz w:val="19"/>
                <w:vertAlign w:val="superscript"/>
              </w:rPr>
              <w:t>4, 8, 20</w:t>
            </w:r>
          </w:p>
        </w:tc>
        <w:tc>
          <w:tcPr>
            <w:tcW w:w="1136"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gridSpan w:val="2"/>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gridAfter w:val="1"/>
          <w:wAfter w:w="14" w:type="dxa"/>
          <w:cantSplit/>
        </w:trPr>
        <w:tc>
          <w:tcPr>
            <w:tcW w:w="7087" w:type="dxa"/>
            <w:gridSpan w:val="7"/>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gridAfter w:val="1"/>
          <w:wAfter w:w="14" w:type="dxa"/>
          <w:cantSplit/>
        </w:trPr>
        <w:tc>
          <w:tcPr>
            <w:tcW w:w="2266" w:type="dxa"/>
            <w:gridSpan w:val="2"/>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6"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14" w:type="dxa"/>
          <w:cantSplit/>
        </w:trPr>
        <w:tc>
          <w:tcPr>
            <w:tcW w:w="2266" w:type="dxa"/>
            <w:gridSpan w:val="2"/>
          </w:tcPr>
          <w:p>
            <w:pPr>
              <w:pStyle w:val="nTable"/>
              <w:spacing w:after="40"/>
              <w:ind w:right="113"/>
              <w:rPr>
                <w:sz w:val="19"/>
              </w:rPr>
            </w:pPr>
            <w:r>
              <w:rPr>
                <w:i/>
                <w:sz w:val="19"/>
              </w:rPr>
              <w:t xml:space="preserve">Statutes (Repeals and Minor Amendments) Act (No. 2) 1998 </w:t>
            </w:r>
            <w:r>
              <w:rPr>
                <w:sz w:val="19"/>
              </w:rPr>
              <w:t>s. 69</w:t>
            </w:r>
          </w:p>
        </w:tc>
        <w:tc>
          <w:tcPr>
            <w:tcW w:w="1136"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After w:val="1"/>
          <w:wAfter w:w="14" w:type="dxa"/>
          <w:cantSplit/>
        </w:trPr>
        <w:tc>
          <w:tcPr>
            <w:tcW w:w="2266" w:type="dxa"/>
            <w:gridSpan w:val="2"/>
          </w:tcPr>
          <w:p>
            <w:pPr>
              <w:pStyle w:val="nTable"/>
              <w:spacing w:after="40"/>
              <w:ind w:right="113"/>
              <w:rPr>
                <w:i/>
                <w:sz w:val="19"/>
              </w:rPr>
            </w:pPr>
            <w:r>
              <w:rPr>
                <w:i/>
                <w:sz w:val="19"/>
              </w:rPr>
              <w:t>Transfer of Land Amendment Act 1999</w:t>
            </w:r>
          </w:p>
        </w:tc>
        <w:tc>
          <w:tcPr>
            <w:tcW w:w="1136"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gridSpan w:val="2"/>
          </w:tcPr>
          <w:p>
            <w:pPr>
              <w:pStyle w:val="nTable"/>
              <w:spacing w:after="40"/>
              <w:rPr>
                <w:sz w:val="19"/>
              </w:rPr>
            </w:pPr>
            <w:r>
              <w:rPr>
                <w:sz w:val="19"/>
              </w:rPr>
              <w:t>s. 1 and 2: 25 Mar 1999;</w:t>
            </w:r>
            <w:r>
              <w:rPr>
                <w:sz w:val="19"/>
              </w:rPr>
              <w:br/>
              <w:t xml:space="preserve">Act other than s. 1 and 2: 1 Jun 1999 (see s. 2 and </w:t>
            </w:r>
            <w:r>
              <w:rPr>
                <w:i/>
                <w:sz w:val="19"/>
              </w:rPr>
              <w:t>Gazette</w:t>
            </w:r>
            <w:r>
              <w:rPr>
                <w:sz w:val="19"/>
              </w:rPr>
              <w:t xml:space="preserve"> 11 May 1999 p. 1905)</w:t>
            </w:r>
          </w:p>
        </w:tc>
      </w:tr>
      <w:tr>
        <w:trPr>
          <w:gridAfter w:val="1"/>
          <w:wAfter w:w="14" w:type="dxa"/>
          <w:cantSplit/>
        </w:trPr>
        <w:tc>
          <w:tcPr>
            <w:tcW w:w="2266" w:type="dxa"/>
            <w:gridSpan w:val="2"/>
          </w:tcPr>
          <w:p>
            <w:pPr>
              <w:pStyle w:val="nTable"/>
              <w:spacing w:after="40"/>
              <w:ind w:right="113"/>
              <w:rPr>
                <w:sz w:val="19"/>
              </w:rPr>
            </w:pPr>
            <w:r>
              <w:rPr>
                <w:i/>
                <w:sz w:val="19"/>
              </w:rPr>
              <w:t xml:space="preserve">Acts Amendment and Repeal (Financial Sector Reform) Act 1999 </w:t>
            </w:r>
            <w:r>
              <w:rPr>
                <w:sz w:val="19"/>
              </w:rPr>
              <w:t>s. 106</w:t>
            </w:r>
          </w:p>
        </w:tc>
        <w:tc>
          <w:tcPr>
            <w:tcW w:w="1136"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After w:val="1"/>
          <w:wAfter w:w="14" w:type="dxa"/>
          <w:cantSplit/>
        </w:trPr>
        <w:tc>
          <w:tcPr>
            <w:tcW w:w="7087" w:type="dxa"/>
            <w:gridSpan w:val="7"/>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gridAfter w:val="1"/>
          <w:wAfter w:w="14" w:type="dxa"/>
          <w:cantSplit/>
        </w:trPr>
        <w:tc>
          <w:tcPr>
            <w:tcW w:w="2266" w:type="dxa"/>
            <w:gridSpan w:val="2"/>
          </w:tcPr>
          <w:p>
            <w:pPr>
              <w:pStyle w:val="nTable"/>
              <w:spacing w:after="40"/>
              <w:ind w:right="113"/>
              <w:rPr>
                <w:sz w:val="19"/>
              </w:rPr>
            </w:pPr>
            <w:r>
              <w:rPr>
                <w:i/>
                <w:sz w:val="19"/>
              </w:rPr>
              <w:t xml:space="preserve">Statutes (Repeals and Minor Amendments) Act 2000 </w:t>
            </w:r>
            <w:r>
              <w:rPr>
                <w:sz w:val="19"/>
              </w:rPr>
              <w:t>s. 42</w:t>
            </w:r>
          </w:p>
        </w:tc>
        <w:tc>
          <w:tcPr>
            <w:tcW w:w="1136"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After w:val="1"/>
          <w:wAfter w:w="14" w:type="dxa"/>
          <w:cantSplit/>
        </w:trPr>
        <w:tc>
          <w:tcPr>
            <w:tcW w:w="2266" w:type="dxa"/>
            <w:gridSpan w:val="2"/>
          </w:tcPr>
          <w:p>
            <w:pPr>
              <w:pStyle w:val="nTable"/>
              <w:spacing w:after="40"/>
              <w:ind w:right="113"/>
              <w:rPr>
                <w:sz w:val="19"/>
              </w:rPr>
            </w:pPr>
            <w:r>
              <w:rPr>
                <w:i/>
                <w:sz w:val="19"/>
              </w:rPr>
              <w:t xml:space="preserve">Forest Products Act 2000 </w:t>
            </w:r>
            <w:r>
              <w:rPr>
                <w:sz w:val="19"/>
              </w:rPr>
              <w:t>s. 72</w:t>
            </w:r>
          </w:p>
        </w:tc>
        <w:tc>
          <w:tcPr>
            <w:tcW w:w="1136"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14" w:type="dxa"/>
          <w:cantSplit/>
        </w:trPr>
        <w:tc>
          <w:tcPr>
            <w:tcW w:w="2266" w:type="dxa"/>
            <w:gridSpan w:val="2"/>
          </w:tcPr>
          <w:p>
            <w:pPr>
              <w:pStyle w:val="nTable"/>
              <w:spacing w:after="40"/>
              <w:ind w:right="113"/>
              <w:rPr>
                <w:sz w:val="19"/>
              </w:rPr>
            </w:pPr>
            <w:r>
              <w:rPr>
                <w:i/>
                <w:sz w:val="19"/>
              </w:rPr>
              <w:t xml:space="preserve">Land Administration Amendment Act 2000 </w:t>
            </w:r>
            <w:r>
              <w:rPr>
                <w:sz w:val="19"/>
              </w:rPr>
              <w:t>s. 51</w:t>
            </w:r>
          </w:p>
        </w:tc>
        <w:tc>
          <w:tcPr>
            <w:tcW w:w="1136"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gridSpan w:val="2"/>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gridAfter w:val="1"/>
          <w:wAfter w:w="14" w:type="dxa"/>
          <w:cantSplit/>
        </w:trPr>
        <w:tc>
          <w:tcPr>
            <w:tcW w:w="7087" w:type="dxa"/>
            <w:gridSpan w:val="7"/>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gridAfter w:val="1"/>
          <w:wAfter w:w="14" w:type="dxa"/>
          <w:cantSplit/>
        </w:trPr>
        <w:tc>
          <w:tcPr>
            <w:tcW w:w="2266"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6"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4" w:type="dxa"/>
          <w:cantSplit/>
        </w:trPr>
        <w:tc>
          <w:tcPr>
            <w:tcW w:w="2266" w:type="dxa"/>
            <w:gridSpan w:val="2"/>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6"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14" w:type="dxa"/>
          <w:cantSplit/>
        </w:trPr>
        <w:tc>
          <w:tcPr>
            <w:tcW w:w="2266" w:type="dxa"/>
            <w:gridSpan w:val="2"/>
          </w:tcPr>
          <w:p>
            <w:pPr>
              <w:pStyle w:val="nTable"/>
              <w:spacing w:after="40"/>
              <w:ind w:right="113"/>
              <w:rPr>
                <w:sz w:val="19"/>
              </w:rPr>
            </w:pPr>
            <w:r>
              <w:rPr>
                <w:i/>
                <w:sz w:val="19"/>
              </w:rPr>
              <w:t xml:space="preserve">Transfer of Land Amendment Act 2003 </w:t>
            </w:r>
            <w:r>
              <w:rPr>
                <w:sz w:val="19"/>
              </w:rPr>
              <w:t>s. 4</w:t>
            </w:r>
            <w:r>
              <w:rPr>
                <w:sz w:val="19"/>
              </w:rPr>
              <w:noBreakHyphen/>
              <w:t>42, 44</w:t>
            </w:r>
            <w:r>
              <w:rPr>
                <w:sz w:val="19"/>
              </w:rPr>
              <w:noBreakHyphen/>
              <w:t>45, 47</w:t>
            </w:r>
            <w:r>
              <w:rPr>
                <w:sz w:val="19"/>
              </w:rPr>
              <w:noBreakHyphen/>
              <w:t>55, 58</w:t>
            </w:r>
            <w:r>
              <w:rPr>
                <w:sz w:val="19"/>
              </w:rPr>
              <w:noBreakHyphen/>
              <w:t>84</w:t>
            </w:r>
            <w:r>
              <w:rPr>
                <w:sz w:val="19"/>
                <w:vertAlign w:val="superscript"/>
              </w:rPr>
              <w:t> 21</w:t>
            </w:r>
          </w:p>
        </w:tc>
        <w:tc>
          <w:tcPr>
            <w:tcW w:w="1136"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gridSpan w:val="2"/>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gridAfter w:val="1"/>
          <w:wAfter w:w="14" w:type="dxa"/>
          <w:cantSplit/>
        </w:trPr>
        <w:tc>
          <w:tcPr>
            <w:tcW w:w="2266" w:type="dxa"/>
            <w:gridSpan w:val="2"/>
          </w:tcPr>
          <w:p>
            <w:pPr>
              <w:pStyle w:val="nTable"/>
              <w:spacing w:after="40"/>
              <w:ind w:right="113"/>
              <w:rPr>
                <w:sz w:val="19"/>
              </w:rPr>
            </w:pPr>
            <w:r>
              <w:rPr>
                <w:i/>
                <w:sz w:val="19"/>
              </w:rPr>
              <w:t>Acts Amendment (Equality of Status) Act 2003</w:t>
            </w:r>
            <w:r>
              <w:rPr>
                <w:sz w:val="19"/>
              </w:rPr>
              <w:t xml:space="preserve"> s. 129</w:t>
            </w:r>
          </w:p>
        </w:tc>
        <w:tc>
          <w:tcPr>
            <w:tcW w:w="1136"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4" w:type="dxa"/>
          <w:cantSplit/>
        </w:trPr>
        <w:tc>
          <w:tcPr>
            <w:tcW w:w="2266" w:type="dxa"/>
            <w:gridSpan w:val="2"/>
          </w:tcPr>
          <w:p>
            <w:pPr>
              <w:pStyle w:val="nTable"/>
              <w:spacing w:after="40"/>
              <w:ind w:right="113"/>
              <w:rPr>
                <w:sz w:val="19"/>
              </w:rPr>
            </w:pPr>
            <w:r>
              <w:rPr>
                <w:i/>
                <w:sz w:val="19"/>
              </w:rPr>
              <w:t>Acts Amendment (Carbon Rights and Tree Plantation Agreements) Act 2003</w:t>
            </w:r>
            <w:r>
              <w:rPr>
                <w:sz w:val="19"/>
              </w:rPr>
              <w:t xml:space="preserve"> Pt. 5</w:t>
            </w:r>
          </w:p>
        </w:tc>
        <w:tc>
          <w:tcPr>
            <w:tcW w:w="1136"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gridAfter w:val="1"/>
          <w:wAfter w:w="14" w:type="dxa"/>
        </w:trPr>
        <w:tc>
          <w:tcPr>
            <w:tcW w:w="2266" w:type="dxa"/>
            <w:gridSpan w:val="2"/>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6"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gridSpan w:val="2"/>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gridAfter w:val="1"/>
          <w:wAfter w:w="14" w:type="dxa"/>
          <w:cantSplit/>
        </w:trPr>
        <w:tc>
          <w:tcPr>
            <w:tcW w:w="2266" w:type="dxa"/>
            <w:gridSpan w:val="2"/>
          </w:tcPr>
          <w:p>
            <w:pPr>
              <w:pStyle w:val="nTable"/>
              <w:spacing w:after="40"/>
              <w:ind w:right="113"/>
              <w:rPr>
                <w:sz w:val="19"/>
              </w:rPr>
            </w:pPr>
            <w:r>
              <w:rPr>
                <w:i/>
                <w:sz w:val="19"/>
              </w:rPr>
              <w:t>Acts Amendment and Repeal (Courts and Legal Practice) Act 2003</w:t>
            </w:r>
            <w:r>
              <w:rPr>
                <w:sz w:val="19"/>
              </w:rPr>
              <w:t xml:space="preserve"> s. 120</w:t>
            </w:r>
          </w:p>
        </w:tc>
        <w:tc>
          <w:tcPr>
            <w:tcW w:w="1136"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14" w:type="dxa"/>
          <w:cantSplit/>
        </w:trPr>
        <w:tc>
          <w:tcPr>
            <w:tcW w:w="2266" w:type="dxa"/>
            <w:gridSpan w:val="2"/>
          </w:tcPr>
          <w:p>
            <w:pPr>
              <w:pStyle w:val="nTable"/>
              <w:spacing w:after="40"/>
              <w:ind w:right="113"/>
              <w:rPr>
                <w:sz w:val="19"/>
              </w:rPr>
            </w:pPr>
            <w:r>
              <w:rPr>
                <w:i/>
                <w:sz w:val="19"/>
              </w:rPr>
              <w:t>Statutes (Repeals and Minor Amendments) Act 2003</w:t>
            </w:r>
            <w:r>
              <w:rPr>
                <w:sz w:val="19"/>
              </w:rPr>
              <w:t xml:space="preserve"> s. 120</w:t>
            </w:r>
          </w:p>
        </w:tc>
        <w:tc>
          <w:tcPr>
            <w:tcW w:w="1136"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14" w:type="dxa"/>
        </w:trPr>
        <w:tc>
          <w:tcPr>
            <w:tcW w:w="2266" w:type="dxa"/>
            <w:gridSpan w:val="2"/>
          </w:tcPr>
          <w:p>
            <w:pPr>
              <w:pStyle w:val="nTable"/>
              <w:spacing w:after="40"/>
              <w:rPr>
                <w:i/>
                <w:sz w:val="19"/>
              </w:rPr>
            </w:pPr>
            <w:r>
              <w:rPr>
                <w:i/>
                <w:sz w:val="19"/>
              </w:rPr>
              <w:t xml:space="preserve">Courts Legislation Amendment and Repeal Act 2004 </w:t>
            </w:r>
            <w:r>
              <w:rPr>
                <w:sz w:val="19"/>
              </w:rPr>
              <w:t>Pt. 20 Div. 2</w:t>
            </w:r>
          </w:p>
        </w:tc>
        <w:tc>
          <w:tcPr>
            <w:tcW w:w="1136"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14" w:type="dxa"/>
        </w:trPr>
        <w:tc>
          <w:tcPr>
            <w:tcW w:w="2266" w:type="dxa"/>
            <w:gridSpan w:val="2"/>
          </w:tcPr>
          <w:p>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78 </w:t>
            </w:r>
          </w:p>
        </w:tc>
        <w:tc>
          <w:tcPr>
            <w:tcW w:w="1136" w:type="dxa"/>
            <w:gridSpan w:val="2"/>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w:t>
            </w:r>
            <w:r>
              <w:rPr>
                <w:sz w:val="19"/>
              </w:rPr>
              <w:t xml:space="preserve"> (correction in </w:t>
            </w:r>
            <w:r>
              <w:rPr>
                <w:i/>
                <w:sz w:val="19"/>
              </w:rPr>
              <w:t>Gazette</w:t>
            </w:r>
            <w:r>
              <w:rPr>
                <w:sz w:val="19"/>
              </w:rPr>
              <w:t xml:space="preserve"> </w:t>
            </w:r>
            <w:r>
              <w:rPr>
                <w:snapToGrid w:val="0"/>
                <w:sz w:val="19"/>
              </w:rPr>
              <w:t>7 Jan 2005 p. 53))</w:t>
            </w:r>
          </w:p>
        </w:tc>
      </w:tr>
      <w:tr>
        <w:trPr>
          <w:gridAfter w:val="1"/>
          <w:wAfter w:w="14" w:type="dxa"/>
          <w:cantSplit/>
        </w:trPr>
        <w:tc>
          <w:tcPr>
            <w:tcW w:w="7087" w:type="dxa"/>
            <w:gridSpan w:val="7"/>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gridAfter w:val="1"/>
          <w:wAfter w:w="14" w:type="dxa"/>
          <w:cantSplit/>
        </w:trPr>
        <w:tc>
          <w:tcPr>
            <w:tcW w:w="2266" w:type="dxa"/>
            <w:gridSpan w:val="2"/>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6"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14" w:type="dxa"/>
          <w:cantSplit/>
        </w:trPr>
        <w:tc>
          <w:tcPr>
            <w:tcW w:w="2266" w:type="dxa"/>
            <w:gridSpan w:val="2"/>
          </w:tcPr>
          <w:p>
            <w:pPr>
              <w:pStyle w:val="nTable"/>
              <w:spacing w:after="40"/>
              <w:ind w:right="113"/>
              <w:rPr>
                <w:i/>
                <w:sz w:val="19"/>
              </w:rPr>
            </w:pPr>
            <w:r>
              <w:rPr>
                <w:i/>
                <w:snapToGrid w:val="0"/>
                <w:sz w:val="19"/>
              </w:rPr>
              <w:t>Planning and Development (Consequential and Transitional Provisions) Act 2005</w:t>
            </w:r>
            <w:r>
              <w:rPr>
                <w:sz w:val="19"/>
              </w:rPr>
              <w:t xml:space="preserve"> s. 15</w:t>
            </w:r>
          </w:p>
        </w:tc>
        <w:tc>
          <w:tcPr>
            <w:tcW w:w="1136" w:type="dxa"/>
            <w:gridSpan w:val="2"/>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1"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14" w:type="dxa"/>
          <w:cantSplit/>
        </w:trPr>
        <w:tc>
          <w:tcPr>
            <w:tcW w:w="2266"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103</w:t>
            </w:r>
            <w:r>
              <w:rPr>
                <w:snapToGrid w:val="0"/>
                <w:sz w:val="19"/>
              </w:rPr>
              <w:noBreakHyphen/>
              <w:t xml:space="preserve">118 </w:t>
            </w:r>
          </w:p>
        </w:tc>
        <w:tc>
          <w:tcPr>
            <w:tcW w:w="1136" w:type="dxa"/>
            <w:gridSpan w:val="2"/>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1"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14" w:type="dxa"/>
          <w:cantSplit/>
        </w:trPr>
        <w:tc>
          <w:tcPr>
            <w:tcW w:w="2266" w:type="dxa"/>
            <w:gridSpan w:val="2"/>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 4</w:t>
            </w:r>
            <w:r>
              <w:rPr>
                <w:snapToGrid w:val="0"/>
                <w:sz w:val="19"/>
                <w:vertAlign w:val="superscript"/>
              </w:rPr>
              <w:t> 22</w:t>
            </w:r>
          </w:p>
        </w:tc>
        <w:tc>
          <w:tcPr>
            <w:tcW w:w="1136" w:type="dxa"/>
            <w:gridSpan w:val="2"/>
          </w:tcPr>
          <w:p>
            <w:pPr>
              <w:pStyle w:val="nTable"/>
              <w:spacing w:after="40"/>
              <w:rPr>
                <w:snapToGrid w:val="0"/>
                <w:sz w:val="19"/>
              </w:rPr>
            </w:pPr>
            <w:r>
              <w:rPr>
                <w:snapToGrid w:val="0"/>
                <w:sz w:val="19"/>
              </w:rPr>
              <w:t>77 of 2006</w:t>
            </w:r>
          </w:p>
        </w:tc>
        <w:tc>
          <w:tcPr>
            <w:tcW w:w="1134" w:type="dxa"/>
          </w:tcPr>
          <w:p>
            <w:pPr>
              <w:pStyle w:val="nTable"/>
              <w:spacing w:after="40"/>
              <w:rPr>
                <w:snapToGrid w:val="0"/>
                <w:sz w:val="19"/>
              </w:rPr>
            </w:pPr>
            <w:r>
              <w:rPr>
                <w:snapToGrid w:val="0"/>
                <w:sz w:val="19"/>
              </w:rPr>
              <w:t>21 Dec 2006</w:t>
            </w:r>
          </w:p>
        </w:tc>
        <w:tc>
          <w:tcPr>
            <w:tcW w:w="2551"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After w:val="1"/>
          <w:wAfter w:w="14" w:type="dxa"/>
          <w:cantSplit/>
        </w:trPr>
        <w:tc>
          <w:tcPr>
            <w:tcW w:w="7087" w:type="dxa"/>
            <w:gridSpan w:val="7"/>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gridAfter w:val="1"/>
          <w:wAfter w:w="14" w:type="dxa"/>
          <w:cantSplit/>
        </w:trPr>
        <w:tc>
          <w:tcPr>
            <w:tcW w:w="2266" w:type="dxa"/>
            <w:gridSpan w:val="2"/>
          </w:tcPr>
          <w:p>
            <w:pPr>
              <w:pStyle w:val="nTable"/>
              <w:spacing w:after="40"/>
              <w:rPr>
                <w:i/>
                <w:snapToGrid w:val="0"/>
                <w:sz w:val="19"/>
              </w:rPr>
            </w:pPr>
            <w:r>
              <w:rPr>
                <w:i/>
                <w:snapToGrid w:val="0"/>
                <w:sz w:val="19"/>
              </w:rPr>
              <w:t>Petroleum Amendment Act 2007</w:t>
            </w:r>
            <w:r>
              <w:rPr>
                <w:iCs/>
                <w:snapToGrid w:val="0"/>
                <w:sz w:val="19"/>
              </w:rPr>
              <w:t xml:space="preserve"> s. 106</w:t>
            </w:r>
            <w:r>
              <w:rPr>
                <w:sz w:val="19"/>
              </w:rPr>
              <w:t> </w:t>
            </w:r>
          </w:p>
        </w:tc>
        <w:tc>
          <w:tcPr>
            <w:tcW w:w="1136" w:type="dxa"/>
            <w:gridSpan w:val="2"/>
          </w:tcPr>
          <w:p>
            <w:pPr>
              <w:pStyle w:val="nTable"/>
              <w:keepNext/>
              <w:spacing w:after="40"/>
              <w:rPr>
                <w:snapToGrid w:val="0"/>
                <w:sz w:val="19"/>
              </w:rPr>
            </w:pPr>
            <w:r>
              <w:rPr>
                <w:sz w:val="19"/>
              </w:rPr>
              <w:t>35 of 2007</w:t>
            </w:r>
          </w:p>
        </w:tc>
        <w:tc>
          <w:tcPr>
            <w:tcW w:w="1134" w:type="dxa"/>
          </w:tcPr>
          <w:p>
            <w:pPr>
              <w:pStyle w:val="nTable"/>
              <w:spacing w:after="40"/>
              <w:rPr>
                <w:snapToGrid w:val="0"/>
                <w:sz w:val="19"/>
              </w:rPr>
            </w:pPr>
            <w:r>
              <w:rPr>
                <w:sz w:val="19"/>
              </w:rPr>
              <w:t>21 Dec 2007</w:t>
            </w:r>
          </w:p>
        </w:tc>
        <w:tc>
          <w:tcPr>
            <w:tcW w:w="2551" w:type="dxa"/>
            <w:gridSpan w:val="2"/>
          </w:tcPr>
          <w:p>
            <w:pPr>
              <w:pStyle w:val="nTable"/>
              <w:spacing w:after="40"/>
              <w:rPr>
                <w:snapToGrid w:val="0"/>
                <w:sz w:val="19"/>
              </w:rPr>
            </w:pPr>
            <w:r>
              <w:rPr>
                <w:sz w:val="19"/>
              </w:rPr>
              <w:t xml:space="preserve">19 Jan 2008 (see s. 2(b) and </w:t>
            </w:r>
            <w:r>
              <w:rPr>
                <w:i/>
                <w:iCs/>
                <w:sz w:val="19"/>
              </w:rPr>
              <w:t>Gazette</w:t>
            </w:r>
            <w:r>
              <w:rPr>
                <w:sz w:val="19"/>
              </w:rPr>
              <w:t xml:space="preserve"> 18 Jan 2008 p. 147)</w:t>
            </w:r>
          </w:p>
        </w:tc>
      </w:tr>
      <w:tr>
        <w:trPr>
          <w:gridAfter w:val="1"/>
          <w:wAfter w:w="14" w:type="dxa"/>
          <w:cantSplit/>
        </w:trPr>
        <w:tc>
          <w:tcPr>
            <w:tcW w:w="2266" w:type="dxa"/>
            <w:gridSpan w:val="2"/>
          </w:tcPr>
          <w:p>
            <w:pPr>
              <w:pStyle w:val="nTable"/>
              <w:spacing w:after="40"/>
              <w:rPr>
                <w:i/>
                <w:snapToGrid w:val="0"/>
                <w:sz w:val="19"/>
              </w:rPr>
            </w:pPr>
            <w:r>
              <w:rPr>
                <w:i/>
                <w:snapToGrid w:val="0"/>
                <w:sz w:val="19"/>
              </w:rPr>
              <w:t>Acts Amendment (Justice) Act 2008</w:t>
            </w:r>
            <w:r>
              <w:rPr>
                <w:iCs/>
                <w:sz w:val="19"/>
              </w:rPr>
              <w:t xml:space="preserve"> Pt. 24</w:t>
            </w:r>
          </w:p>
        </w:tc>
        <w:tc>
          <w:tcPr>
            <w:tcW w:w="1136" w:type="dxa"/>
            <w:gridSpan w:val="2"/>
          </w:tcPr>
          <w:p>
            <w:pPr>
              <w:pStyle w:val="nTable"/>
              <w:keepNext/>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gridSpan w:val="2"/>
          </w:tcPr>
          <w:p>
            <w:pPr>
              <w:pStyle w:val="nTable"/>
              <w:spacing w:after="4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gridAfter w:val="1"/>
          <w:wAfter w:w="14" w:type="dxa"/>
          <w:cantSplit/>
        </w:trPr>
        <w:tc>
          <w:tcPr>
            <w:tcW w:w="2266" w:type="dxa"/>
            <w:gridSpan w:val="2"/>
          </w:tcPr>
          <w:p>
            <w:pPr>
              <w:pStyle w:val="nTable"/>
              <w:spacing w:after="40"/>
              <w:rPr>
                <w:iCs/>
                <w:sz w:val="19"/>
                <w:vertAlign w:val="superscript"/>
              </w:rPr>
            </w:pPr>
            <w:r>
              <w:rPr>
                <w:i/>
                <w:sz w:val="19"/>
              </w:rPr>
              <w:t>Duties Legislation Amendment Act 2008</w:t>
            </w:r>
            <w:r>
              <w:rPr>
                <w:iCs/>
                <w:sz w:val="19"/>
              </w:rPr>
              <w:t xml:space="preserve"> Sch. 1 cl. 38</w:t>
            </w:r>
          </w:p>
        </w:tc>
        <w:tc>
          <w:tcPr>
            <w:tcW w:w="1136"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gridSpan w:val="2"/>
          </w:tcPr>
          <w:p>
            <w:pPr>
              <w:pStyle w:val="nTable"/>
              <w:spacing w:after="40"/>
              <w:rPr>
                <w:sz w:val="19"/>
              </w:rPr>
            </w:pPr>
            <w:r>
              <w:rPr>
                <w:sz w:val="19"/>
              </w:rPr>
              <w:t>1 Jul 2008 (see s. 2(d))</w:t>
            </w:r>
          </w:p>
        </w:tc>
      </w:tr>
      <w:tr>
        <w:trPr>
          <w:gridAfter w:val="1"/>
          <w:wAfter w:w="14" w:type="dxa"/>
          <w:cantSplit/>
        </w:trPr>
        <w:tc>
          <w:tcPr>
            <w:tcW w:w="2266" w:type="dxa"/>
            <w:gridSpan w:val="2"/>
          </w:tcPr>
          <w:p>
            <w:pPr>
              <w:pStyle w:val="nTable"/>
              <w:spacing w:after="40"/>
              <w:rPr>
                <w:i/>
                <w:sz w:val="19"/>
              </w:rPr>
            </w:pPr>
            <w:r>
              <w:rPr>
                <w:i/>
                <w:iCs/>
                <w:snapToGrid w:val="0"/>
                <w:sz w:val="19"/>
              </w:rPr>
              <w:t>Legal Profession Act 2008</w:t>
            </w:r>
            <w:r>
              <w:rPr>
                <w:i/>
                <w:snapToGrid w:val="0"/>
                <w:sz w:val="19"/>
              </w:rPr>
              <w:t xml:space="preserve"> </w:t>
            </w:r>
            <w:r>
              <w:rPr>
                <w:iCs/>
                <w:snapToGrid w:val="0"/>
                <w:sz w:val="19"/>
              </w:rPr>
              <w:t>s. 711</w:t>
            </w:r>
          </w:p>
        </w:tc>
        <w:tc>
          <w:tcPr>
            <w:tcW w:w="1136"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gridSpan w:val="2"/>
          </w:tcPr>
          <w:p>
            <w:pPr>
              <w:pStyle w:val="nTable"/>
              <w:spacing w:after="40"/>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gridAfter w:val="1"/>
          <w:wAfter w:w="14" w:type="dxa"/>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10</w:t>
            </w:r>
          </w:p>
        </w:tc>
        <w:tc>
          <w:tcPr>
            <w:tcW w:w="1136"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14" w:type="dxa"/>
          <w:cantSplit/>
        </w:trPr>
        <w:tc>
          <w:tcPr>
            <w:tcW w:w="7087" w:type="dxa"/>
            <w:gridSpan w:val="7"/>
          </w:tcPr>
          <w:p>
            <w:pPr>
              <w:pStyle w:val="nTable"/>
              <w:spacing w:after="40"/>
              <w:rPr>
                <w:snapToGrid w:val="0"/>
                <w:sz w:val="19"/>
              </w:rPr>
            </w:pPr>
            <w:r>
              <w:rPr>
                <w:b/>
                <w:sz w:val="19"/>
              </w:rPr>
              <w:t xml:space="preserve">Reprint 9: The </w:t>
            </w:r>
            <w:r>
              <w:rPr>
                <w:b/>
                <w:i/>
                <w:sz w:val="19"/>
              </w:rPr>
              <w:t>Transfer of Land Act 1893</w:t>
            </w:r>
            <w:r>
              <w:rPr>
                <w:b/>
                <w:sz w:val="19"/>
              </w:rPr>
              <w:t xml:space="preserve"> as at 21 Aug 2009</w:t>
            </w:r>
            <w:r>
              <w:rPr>
                <w:sz w:val="19"/>
              </w:rPr>
              <w:t xml:space="preserve"> (includes amendments listed above)</w:t>
            </w:r>
          </w:p>
        </w:tc>
      </w:tr>
      <w:tr>
        <w:trPr>
          <w:gridAfter w:val="1"/>
          <w:wAfter w:w="14" w:type="dxa"/>
        </w:trPr>
        <w:tc>
          <w:tcPr>
            <w:tcW w:w="2266" w:type="dxa"/>
            <w:gridSpan w:val="2"/>
          </w:tcPr>
          <w:p>
            <w:pPr>
              <w:pStyle w:val="nTable"/>
              <w:spacing w:after="40"/>
              <w:rPr>
                <w:iCs/>
                <w:sz w:val="19"/>
                <w:vertAlign w:val="superscript"/>
              </w:rPr>
            </w:pPr>
            <w:r>
              <w:rPr>
                <w:i/>
                <w:snapToGrid w:val="0"/>
                <w:sz w:val="19"/>
              </w:rPr>
              <w:t>Approvals and Related Reforms (No. 3) (Crown Land) Act 2010</w:t>
            </w:r>
            <w:r>
              <w:rPr>
                <w:iCs/>
                <w:snapToGrid w:val="0"/>
                <w:sz w:val="19"/>
              </w:rPr>
              <w:t xml:space="preserve"> Pt. 9</w:t>
            </w:r>
          </w:p>
        </w:tc>
        <w:tc>
          <w:tcPr>
            <w:tcW w:w="1136" w:type="dxa"/>
            <w:gridSpan w:val="2"/>
          </w:tcPr>
          <w:p>
            <w:pPr>
              <w:pStyle w:val="nTable"/>
              <w:spacing w:after="40"/>
              <w:rPr>
                <w:sz w:val="19"/>
              </w:rPr>
            </w:pPr>
            <w:r>
              <w:rPr>
                <w:sz w:val="19"/>
              </w:rPr>
              <w:t>8 of 2010</w:t>
            </w:r>
          </w:p>
        </w:tc>
        <w:tc>
          <w:tcPr>
            <w:tcW w:w="1134" w:type="dxa"/>
          </w:tcPr>
          <w:p>
            <w:pPr>
              <w:pStyle w:val="nTable"/>
              <w:spacing w:after="40"/>
              <w:rPr>
                <w:sz w:val="19"/>
              </w:rPr>
            </w:pPr>
            <w:r>
              <w:rPr>
                <w:sz w:val="19"/>
              </w:rPr>
              <w:t>3 Jun 2010</w:t>
            </w:r>
          </w:p>
        </w:tc>
        <w:tc>
          <w:tcPr>
            <w:tcW w:w="2551" w:type="dxa"/>
            <w:gridSpan w:val="2"/>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gridAfter w:val="1"/>
          <w:wAfter w:w="14" w:type="dxa"/>
          <w:cantSplit/>
        </w:trPr>
        <w:tc>
          <w:tcPr>
            <w:tcW w:w="2266"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38, 43(2) and 51</w:t>
            </w:r>
          </w:p>
        </w:tc>
        <w:tc>
          <w:tcPr>
            <w:tcW w:w="1136" w:type="dxa"/>
            <w:gridSpan w:val="2"/>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14" w:type="dxa"/>
          <w:cantSplit/>
        </w:trPr>
        <w:tc>
          <w:tcPr>
            <w:tcW w:w="7087" w:type="dxa"/>
            <w:gridSpan w:val="7"/>
            <w:tcBorders>
              <w:bottom w:val="single" w:sz="8" w:space="0" w:color="auto"/>
            </w:tcBorders>
          </w:tcPr>
          <w:p>
            <w:pPr>
              <w:pStyle w:val="nTable"/>
              <w:spacing w:after="40"/>
              <w:rPr>
                <w:snapToGrid w:val="0"/>
                <w:sz w:val="19"/>
              </w:rPr>
            </w:pPr>
            <w:r>
              <w:rPr>
                <w:b/>
                <w:sz w:val="19"/>
              </w:rPr>
              <w:t xml:space="preserve">Reprint 10: The </w:t>
            </w:r>
            <w:r>
              <w:rPr>
                <w:b/>
                <w:i/>
                <w:sz w:val="19"/>
              </w:rPr>
              <w:t>Transfer of Land Act 1893</w:t>
            </w:r>
            <w:r>
              <w:rPr>
                <w:b/>
                <w:sz w:val="19"/>
              </w:rPr>
              <w:t xml:space="preserve"> as at 7 Jan 2011</w:t>
            </w:r>
            <w:r>
              <w:rPr>
                <w:sz w:val="19"/>
              </w:rP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62" w:name="_Toc383511679"/>
      <w:r>
        <w:t>Provisions that have not come into operation</w:t>
      </w:r>
      <w:bookmarkEnd w:id="362"/>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5"/>
        <w:gridCol w:w="2552"/>
        <w:gridCol w:w="9"/>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vertAlign w:val="superscript"/>
              </w:rPr>
            </w:pPr>
            <w:r>
              <w:rPr>
                <w:i/>
                <w:sz w:val="19"/>
              </w:rPr>
              <w:t>Transfer of Land Amendment Act 2003</w:t>
            </w:r>
            <w:r>
              <w:rPr>
                <w:sz w:val="19"/>
              </w:rPr>
              <w:t xml:space="preserve"> s. 43, 46, 56 and 57 </w:t>
            </w:r>
            <w:r>
              <w:rPr>
                <w:sz w:val="19"/>
                <w:vertAlign w:val="superscript"/>
              </w:rPr>
              <w:t>21</w:t>
            </w:r>
          </w:p>
        </w:tc>
        <w:tc>
          <w:tcPr>
            <w:tcW w:w="1139" w:type="dxa"/>
            <w:tcBorders>
              <w:top w:val="single" w:sz="8" w:space="0" w:color="auto"/>
            </w:tcBorders>
          </w:tcPr>
          <w:p>
            <w:pPr>
              <w:pStyle w:val="nTable"/>
              <w:spacing w:after="40"/>
              <w:rPr>
                <w:sz w:val="19"/>
              </w:rPr>
            </w:pPr>
            <w:r>
              <w:rPr>
                <w:sz w:val="19"/>
              </w:rPr>
              <w:t>6 of 2003</w:t>
            </w:r>
            <w:r>
              <w:rPr>
                <w:sz w:val="19"/>
              </w:rPr>
              <w:br/>
              <w:t>(as amended by No. 60 of 2006 s. 164)</w:t>
            </w:r>
          </w:p>
        </w:tc>
        <w:tc>
          <w:tcPr>
            <w:tcW w:w="1135" w:type="dxa"/>
            <w:tcBorders>
              <w:top w:val="single" w:sz="8" w:space="0" w:color="auto"/>
            </w:tcBorders>
          </w:tcPr>
          <w:p>
            <w:pPr>
              <w:pStyle w:val="nTable"/>
              <w:spacing w:after="40"/>
              <w:rPr>
                <w:sz w:val="19"/>
              </w:rPr>
            </w:pPr>
            <w:r>
              <w:rPr>
                <w:sz w:val="19"/>
              </w:rPr>
              <w:t>25 Mar 2003</w:t>
            </w:r>
          </w:p>
        </w:tc>
        <w:tc>
          <w:tcPr>
            <w:tcW w:w="2561" w:type="dxa"/>
            <w:gridSpan w:val="2"/>
            <w:tcBorders>
              <w:top w:val="single" w:sz="8" w:space="0" w:color="auto"/>
            </w:tcBorders>
          </w:tcPr>
          <w:p>
            <w:pPr>
              <w:pStyle w:val="nTable"/>
              <w:spacing w:after="40"/>
              <w:rPr>
                <w:sz w:val="19"/>
              </w:rPr>
            </w:pPr>
            <w:r>
              <w:rPr>
                <w:sz w:val="19"/>
              </w:rPr>
              <w:t>To be proclaimed (see s. 2)</w:t>
            </w:r>
          </w:p>
        </w:tc>
      </w:tr>
      <w:tr>
        <w:trPr>
          <w:gridAfter w:val="1"/>
          <w:wAfter w:w="9" w:type="dxa"/>
          <w:cantSplit/>
        </w:trPr>
        <w:tc>
          <w:tcPr>
            <w:tcW w:w="2273" w:type="dxa"/>
            <w:tcBorders>
              <w:bottom w:val="single" w:sz="4" w:space="0" w:color="auto"/>
            </w:tcBorders>
            <w:shd w:val="clear" w:color="auto" w:fill="auto"/>
          </w:tcPr>
          <w:p>
            <w:pPr>
              <w:pStyle w:val="nTable"/>
              <w:spacing w:after="40"/>
              <w:rPr>
                <w:i/>
                <w:snapToGrid w:val="0"/>
                <w:sz w:val="19"/>
                <w:vertAlign w:val="superscript"/>
              </w:rPr>
            </w:pPr>
            <w:r>
              <w:rPr>
                <w:i/>
                <w:snapToGrid w:val="0"/>
                <w:sz w:val="19"/>
              </w:rPr>
              <w:t>Electronic Conveyancing Act 2014</w:t>
            </w:r>
            <w:r>
              <w:rPr>
                <w:snapToGrid w:val="0"/>
                <w:sz w:val="19"/>
              </w:rPr>
              <w:t xml:space="preserve"> Pt. 9 </w:t>
            </w:r>
            <w:r>
              <w:rPr>
                <w:snapToGrid w:val="0"/>
                <w:sz w:val="19"/>
                <w:vertAlign w:val="superscript"/>
              </w:rPr>
              <w:t>23</w:t>
            </w:r>
          </w:p>
        </w:tc>
        <w:tc>
          <w:tcPr>
            <w:tcW w:w="1139" w:type="dxa"/>
            <w:tcBorders>
              <w:bottom w:val="single" w:sz="4" w:space="0" w:color="auto"/>
            </w:tcBorders>
            <w:shd w:val="clear" w:color="auto" w:fill="auto"/>
          </w:tcPr>
          <w:p>
            <w:pPr>
              <w:pStyle w:val="nTable"/>
              <w:spacing w:after="40"/>
              <w:rPr>
                <w:rFonts w:ascii="Arial" w:hAnsi="Arial"/>
                <w:snapToGrid w:val="0"/>
                <w:sz w:val="19"/>
              </w:rPr>
            </w:pPr>
            <w:r>
              <w:rPr>
                <w:snapToGrid w:val="0"/>
                <w:sz w:val="19"/>
              </w:rPr>
              <w:t>2 of 2014</w:t>
            </w:r>
          </w:p>
        </w:tc>
        <w:tc>
          <w:tcPr>
            <w:tcW w:w="1135" w:type="dxa"/>
            <w:tcBorders>
              <w:bottom w:val="single" w:sz="4" w:space="0" w:color="auto"/>
            </w:tcBorders>
            <w:shd w:val="clear" w:color="auto" w:fill="auto"/>
          </w:tcPr>
          <w:p>
            <w:pPr>
              <w:pStyle w:val="nTable"/>
              <w:spacing w:after="40"/>
              <w:rPr>
                <w:sz w:val="19"/>
              </w:rPr>
            </w:pPr>
            <w:r>
              <w:rPr>
                <w:sz w:val="19"/>
              </w:rPr>
              <w:t>24 Mar 2014</w:t>
            </w:r>
          </w:p>
        </w:tc>
        <w:tc>
          <w:tcPr>
            <w:tcW w:w="2552" w:type="dxa"/>
            <w:tcBorders>
              <w:bottom w:val="single" w:sz="4" w:space="0" w:color="auto"/>
            </w:tcBorders>
            <w:shd w:val="clear" w:color="auto" w:fill="auto"/>
          </w:tcPr>
          <w:p>
            <w:pPr>
              <w:pStyle w:val="nTable"/>
              <w:spacing w:after="40"/>
              <w:rPr>
                <w:snapToGrid w:val="0"/>
                <w:sz w:val="19"/>
              </w:rPr>
            </w:pPr>
            <w:r>
              <w:rPr>
                <w:snapToGrid w:val="0"/>
                <w:sz w:val="19"/>
              </w:rPr>
              <w:t>To be proclaimed (see s. 2(c))</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Subsection"/>
      </w:pPr>
      <w:r>
        <w:rPr>
          <w:snapToGrid w:val="0"/>
          <w:vertAlign w:val="superscript"/>
        </w:rPr>
        <w:t>9</w:t>
      </w:r>
      <w:r>
        <w:rPr>
          <w:snapToGrid w:val="0"/>
        </w:rPr>
        <w:tab/>
      </w:r>
      <w:r>
        <w:t xml:space="preserve">On the date as at which this reprint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Subsection"/>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was amended by the </w:t>
      </w:r>
      <w:r>
        <w:rPr>
          <w:i/>
          <w:snapToGrid w:val="0"/>
        </w:rPr>
        <w:t>Transfer of Land Act Amendment Act 1950</w:t>
      </w:r>
      <w:r>
        <w:rPr>
          <w:iCs/>
          <w:snapToGrid w:val="0"/>
        </w:rPr>
        <w:t xml:space="preserve"> s. 75. See also note 17</w:t>
      </w:r>
      <w:r>
        <w:rPr>
          <w:snapToGrid w:val="0"/>
        </w:rPr>
        <w:t>.</w:t>
      </w:r>
    </w:p>
    <w:p>
      <w:pPr>
        <w:pStyle w:val="nSubsection"/>
        <w:rPr>
          <w:snapToGrid w:val="0"/>
        </w:rPr>
      </w:pPr>
      <w:r>
        <w:rPr>
          <w:snapToGrid w:val="0"/>
          <w:vertAlign w:val="superscript"/>
        </w:rPr>
        <w:t>15</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Subsection"/>
      </w:pPr>
      <w:r>
        <w:rPr>
          <w:snapToGrid w:val="0"/>
          <w:vertAlign w:val="superscript"/>
        </w:rPr>
        <w:t>16</w:t>
      </w:r>
      <w:r>
        <w:rPr>
          <w:snapToGrid w:val="0"/>
        </w:rPr>
        <w:tab/>
        <w:t xml:space="preserve">The </w:t>
      </w:r>
      <w:r>
        <w:rPr>
          <w:i/>
          <w:snapToGrid w:val="0"/>
        </w:rPr>
        <w:t>Transfer of Land Act Amendment Act 1950</w:t>
      </w:r>
      <w:r>
        <w:rPr>
          <w:snapToGrid w:val="0"/>
        </w:rPr>
        <w:t xml:space="preserve"> s. 75 sets out an amendment to this Act. However, s. 32 of that Act sets out an amendment to the </w:t>
      </w:r>
      <w:r>
        <w:rPr>
          <w:i/>
          <w:snapToGrid w:val="0"/>
        </w:rPr>
        <w:t>Transfer of Land Act 1893</w:t>
      </w:r>
      <w:r>
        <w:rPr>
          <w:iCs/>
          <w:snapToGrid w:val="0"/>
        </w:rPr>
        <w:t xml:space="preserve"> that achieves the same result</w:t>
      </w:r>
      <w:r>
        <w:t>.</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rPr>
      </w:pPr>
    </w:p>
    <w:p>
      <w:pPr>
        <w:pStyle w:val="nSubsection"/>
        <w:rPr>
          <w:snapToGrid w:val="0"/>
        </w:rPr>
      </w:pPr>
      <w:r>
        <w:rPr>
          <w:snapToGrid w:val="0"/>
          <w:vertAlign w:val="superscript"/>
        </w:rPr>
        <w:t>18</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Subsection"/>
        <w:keepNext/>
        <w:spacing w:before="160"/>
        <w:rPr>
          <w:snapToGrid w:val="0"/>
        </w:rPr>
      </w:pPr>
      <w:r>
        <w:rPr>
          <w:snapToGrid w:val="0"/>
          <w:vertAlign w:val="superscript"/>
        </w:rPr>
        <w:t>21</w:t>
      </w:r>
      <w:r>
        <w:rPr>
          <w:snapToGrid w:val="0"/>
        </w:rPr>
        <w:tab/>
      </w:r>
      <w:r>
        <w:t xml:space="preserve">On the date as at which this reprint was prepared, </w:t>
      </w:r>
      <w:r>
        <w:rPr>
          <w:snapToGrid w:val="0"/>
        </w:rPr>
        <w:t xml:space="preserve">the </w:t>
      </w:r>
      <w:r>
        <w:rPr>
          <w:i/>
          <w:sz w:val="19"/>
        </w:rPr>
        <w:t>Transfer of Land Amendment Act 2003</w:t>
      </w:r>
      <w:r>
        <w:rPr>
          <w:sz w:val="19"/>
        </w:rPr>
        <w:t xml:space="preserve"> s. 43, 46, 56 and 57</w:t>
      </w:r>
      <w:r>
        <w:rPr>
          <w:snapToGrid w:val="0"/>
        </w:rPr>
        <w:t xml:space="preserve"> </w:t>
      </w:r>
      <w:r>
        <w:rPr>
          <w:sz w:val="19"/>
        </w:rPr>
        <w:t xml:space="preserve">(as amended by No. 60 of 2003 s. 164) </w:t>
      </w:r>
      <w:r>
        <w:rPr>
          <w:snapToGrid w:val="0"/>
        </w:rPr>
        <w:t>had not come into operation.  They read as follows:</w:t>
      </w:r>
    </w:p>
    <w:p>
      <w:pPr>
        <w:pStyle w:val="BlankOpen"/>
        <w:rPr>
          <w:snapToGrid w:val="0"/>
        </w:rPr>
      </w:pPr>
    </w:p>
    <w:p>
      <w:pPr>
        <w:pStyle w:val="nzHeading5"/>
      </w:pPr>
      <w:r>
        <w:rPr>
          <w:rStyle w:val="CharSectno"/>
        </w:rPr>
        <w:t>43</w:t>
      </w:r>
      <w:r>
        <w:t>.</w:t>
      </w:r>
      <w:r>
        <w:tab/>
        <w:t>Section 136A amended</w:t>
      </w:r>
    </w:p>
    <w:p>
      <w:pPr>
        <w:pStyle w:val="nzSubsection"/>
      </w:pPr>
      <w:r>
        <w:tab/>
      </w:r>
      <w:r>
        <w:tab/>
        <w:t>Section 136A is amended by deleting “section 166 or 166A” and inserting instead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by inserting after “any transfer” —</w:t>
      </w:r>
    </w:p>
    <w:p>
      <w:pPr>
        <w:pStyle w:val="MiscOpen"/>
        <w:ind w:left="879"/>
      </w:pPr>
      <w:r>
        <w:t>“</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by deleting “think” and inserting instead —</w:t>
      </w:r>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p>
    <w:p>
      <w:pPr>
        <w:pStyle w:val="MiscOpen"/>
      </w:pPr>
      <w:r>
        <w:t>“</w:t>
      </w:r>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i/>
          <w:iCs/>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spacing w:before="100"/>
      </w:pPr>
      <w:r>
        <w:tab/>
        <w:t>(2)</w:t>
      </w:r>
      <w:r>
        <w:tab/>
        <w:t>An application under this section shall be in an approved form and —</w:t>
      </w:r>
    </w:p>
    <w:p>
      <w:pPr>
        <w:pStyle w:val="nzIndenta"/>
        <w:keepNext/>
        <w:spacing w:before="50"/>
      </w:pPr>
      <w:r>
        <w:tab/>
        <w:t>(a)</w:t>
      </w:r>
      <w:r>
        <w:tab/>
        <w:t>shall be made in relation to a plan or diagram of the proposed subdivision that —</w:t>
      </w:r>
    </w:p>
    <w:p>
      <w:pPr>
        <w:pStyle w:val="nzIndenti"/>
        <w:spacing w:before="50"/>
      </w:pPr>
      <w:r>
        <w:tab/>
        <w:t>(i)</w:t>
      </w:r>
      <w:r>
        <w:tab/>
        <w:t>is lodged or deposited with the Authority;</w:t>
      </w:r>
    </w:p>
    <w:p>
      <w:pPr>
        <w:pStyle w:val="nzIndenti"/>
        <w:spacing w:before="50"/>
      </w:pPr>
      <w:r>
        <w:tab/>
        <w:t>(ii)</w:t>
      </w:r>
      <w:r>
        <w:tab/>
        <w:t xml:space="preserve">is prepared in accordance with any relevant regulations made under this Act or the </w:t>
      </w:r>
      <w:r>
        <w:rPr>
          <w:i/>
        </w:rPr>
        <w:t>Licensed Surveyors Act 1909</w:t>
      </w:r>
      <w:r>
        <w:t>;</w:t>
      </w:r>
    </w:p>
    <w:p>
      <w:pPr>
        <w:pStyle w:val="nzIndenti"/>
        <w:spacing w:before="50"/>
      </w:pPr>
      <w:r>
        <w:tab/>
        <w:t>(iii)</w:t>
      </w:r>
      <w:r>
        <w:tab/>
        <w:t>contains, or is accompanied by a document that contains, such information, certificates and consents as are prescribed in the regulations; and</w:t>
      </w:r>
    </w:p>
    <w:p>
      <w:pPr>
        <w:pStyle w:val="nzIndenti"/>
        <w:spacing w:before="50"/>
      </w:pPr>
      <w:r>
        <w:tab/>
        <w:t>(iv)</w:t>
      </w:r>
      <w:r>
        <w:tab/>
        <w:t>is signed by or on behalf of the inspector of plans and surveys referred to in section 163 as being in order for dealings with or without conditions;</w:t>
      </w:r>
    </w:p>
    <w:p>
      <w:pPr>
        <w:pStyle w:val="nzIndenta"/>
        <w:spacing w:before="50"/>
      </w:pPr>
      <w:r>
        <w:tab/>
        <w:t>(b)</w:t>
      </w:r>
      <w:r>
        <w:tab/>
        <w:t>shall be accompanied by a disposition statement —</w:t>
      </w:r>
    </w:p>
    <w:p>
      <w:pPr>
        <w:pStyle w:val="nzIndenti"/>
        <w:spacing w:before="50"/>
      </w:pPr>
      <w:r>
        <w:tab/>
        <w:t>(i)</w:t>
      </w:r>
      <w:r>
        <w:tab/>
        <w:t>that is in an approved form; and</w:t>
      </w:r>
    </w:p>
    <w:p>
      <w:pPr>
        <w:pStyle w:val="nzIndenti"/>
        <w:spacing w:before="50"/>
      </w:pPr>
      <w:r>
        <w:tab/>
        <w:t>(ii)</w:t>
      </w:r>
      <w:r>
        <w:tab/>
        <w:t>in which is set out the amount of any consideration passing between any of the proprietors of the freehold in the land in consideration for the subdivision;</w:t>
      </w:r>
    </w:p>
    <w:p>
      <w:pPr>
        <w:pStyle w:val="nzIndenta"/>
        <w:spacing w:before="50"/>
      </w:pPr>
      <w:r>
        <w:tab/>
        <w:t>(c)</w:t>
      </w:r>
      <w:r>
        <w:tab/>
        <w:t>shall be accompanied by a document that contains such information, certificates and consents as are prescribed in the regulations;</w:t>
      </w:r>
    </w:p>
    <w:p>
      <w:pPr>
        <w:pStyle w:val="nzIndenta"/>
        <w:spacing w:before="50"/>
      </w:pPr>
      <w:r>
        <w:tab/>
        <w:t>(d)</w:t>
      </w:r>
      <w:r>
        <w:tab/>
        <w:t>shall be accompanied by such documents as the Registrar determines are necessary to satisfy any conditions before the plan or diagram referred to in subsection (2)(a) is in order for dealing; and</w:t>
      </w:r>
    </w:p>
    <w:p>
      <w:pPr>
        <w:pStyle w:val="nzIndenta"/>
        <w:spacing w:before="50"/>
      </w:pPr>
      <w:r>
        <w:tab/>
        <w:t>(e)</w:t>
      </w:r>
      <w:r>
        <w:tab/>
        <w:t>shall be accompanied by the prescribed fee.</w:t>
      </w:r>
    </w:p>
    <w:p>
      <w:pPr>
        <w:pStyle w:val="nzSubsection"/>
        <w:spacing w:before="100"/>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p>
    <w:p>
      <w:pPr>
        <w:pStyle w:val="nzIndenta"/>
      </w:pPr>
      <w:r>
        <w:tab/>
        <w:t>(a)</w:t>
      </w:r>
      <w:r>
        <w:tab/>
        <w:t>the disposal of the land or interests in the land to, or the vesting of the land or interests in the land in, the State of Western Australia, a public authority or a local government;</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p>
    <w:p>
      <w:pPr>
        <w:pStyle w:val="nzIndenta"/>
      </w:pPr>
      <w:r>
        <w:tab/>
        <w:t>(a)</w:t>
      </w:r>
      <w:r>
        <w:tab/>
        <w:t>the land that is the subject of the application is held by 2 or more proprietors as joint tenants; and</w:t>
      </w:r>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p>
    <w:p>
      <w:pPr>
        <w:pStyle w:val="nzSubsection"/>
      </w:pPr>
      <w:r>
        <w:tab/>
      </w:r>
      <w:r>
        <w:tab/>
        <w:t>“    , 166A or 166C    ”.</w:t>
      </w:r>
    </w:p>
    <w:p>
      <w:pPr>
        <w:pStyle w:val="BlankClose"/>
      </w:pPr>
    </w:p>
    <w:p>
      <w:pPr>
        <w:pStyle w:val="nSubsection"/>
        <w:keepNext/>
        <w:spacing w:before="160"/>
      </w:pPr>
      <w:bookmarkStart w:id="363" w:name="AutoSch"/>
      <w:bookmarkEnd w:id="363"/>
      <w:r>
        <w:rPr>
          <w:snapToGrid w:val="0"/>
          <w:vertAlign w:val="superscript"/>
        </w:rPr>
        <w:t>22</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Subsection"/>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rPr>
        <w:t xml:space="preserve">Electronic Conveyancing Act 2014 </w:t>
      </w:r>
      <w:r>
        <w:rPr>
          <w:snapToGrid w:val="0"/>
        </w:rPr>
        <w:t>Pt. 9 had not come into operation.  It reads as follows:</w:t>
      </w:r>
    </w:p>
    <w:p>
      <w:pPr>
        <w:pStyle w:val="BlankOpen"/>
      </w:pPr>
    </w:p>
    <w:p>
      <w:pPr>
        <w:pStyle w:val="nzHeading2"/>
      </w:pPr>
      <w:bookmarkStart w:id="364" w:name="_Toc373331429"/>
      <w:bookmarkStart w:id="365" w:name="_Toc373331620"/>
      <w:bookmarkStart w:id="366" w:name="_Toc382567479"/>
      <w:bookmarkStart w:id="367" w:name="_Toc382568158"/>
      <w:bookmarkStart w:id="368" w:name="_Toc382914453"/>
      <w:bookmarkStart w:id="369" w:name="_Toc382914644"/>
      <w:r>
        <w:rPr>
          <w:rStyle w:val="CharPartNo"/>
        </w:rPr>
        <w:t>Part 9</w:t>
      </w:r>
      <w:r>
        <w:rPr>
          <w:rStyle w:val="CharDivNo"/>
        </w:rPr>
        <w:t> </w:t>
      </w:r>
      <w:r>
        <w:t>—</w:t>
      </w:r>
      <w:r>
        <w:rPr>
          <w:rStyle w:val="CharDivText"/>
        </w:rPr>
        <w:t> </w:t>
      </w:r>
      <w:r>
        <w:rPr>
          <w:rStyle w:val="CharPartText"/>
          <w:i/>
        </w:rPr>
        <w:t>Transfer of Land Act 1893</w:t>
      </w:r>
      <w:r>
        <w:rPr>
          <w:rStyle w:val="CharPartText"/>
        </w:rPr>
        <w:t xml:space="preserve"> amended</w:t>
      </w:r>
      <w:bookmarkEnd w:id="364"/>
      <w:bookmarkEnd w:id="365"/>
      <w:bookmarkEnd w:id="366"/>
      <w:bookmarkEnd w:id="367"/>
      <w:bookmarkEnd w:id="368"/>
      <w:bookmarkEnd w:id="369"/>
    </w:p>
    <w:p>
      <w:pPr>
        <w:pStyle w:val="nzHeading5"/>
        <w:rPr>
          <w:snapToGrid w:val="0"/>
        </w:rPr>
      </w:pPr>
      <w:bookmarkStart w:id="370" w:name="_Toc382914645"/>
      <w:r>
        <w:rPr>
          <w:rStyle w:val="CharSectno"/>
        </w:rPr>
        <w:t>61</w:t>
      </w:r>
      <w:r>
        <w:rPr>
          <w:snapToGrid w:val="0"/>
        </w:rPr>
        <w:t>.</w:t>
      </w:r>
      <w:r>
        <w:rPr>
          <w:snapToGrid w:val="0"/>
        </w:rPr>
        <w:tab/>
        <w:t>Act amended</w:t>
      </w:r>
      <w:bookmarkEnd w:id="370"/>
    </w:p>
    <w:p>
      <w:pPr>
        <w:pStyle w:val="nzSubsection"/>
      </w:pPr>
      <w:r>
        <w:tab/>
      </w:r>
      <w:r>
        <w:tab/>
        <w:t xml:space="preserve">This Part amends the </w:t>
      </w:r>
      <w:r>
        <w:rPr>
          <w:i/>
        </w:rPr>
        <w:t>Transfer of Land Act 1893</w:t>
      </w:r>
      <w:r>
        <w:t>.</w:t>
      </w:r>
    </w:p>
    <w:p>
      <w:pPr>
        <w:pStyle w:val="nzHeading5"/>
      </w:pPr>
      <w:bookmarkStart w:id="371" w:name="_Toc382914646"/>
      <w:r>
        <w:rPr>
          <w:rStyle w:val="CharSectno"/>
        </w:rPr>
        <w:t>62</w:t>
      </w:r>
      <w:r>
        <w:t>.</w:t>
      </w:r>
      <w:r>
        <w:tab/>
        <w:t>Section 3 amended</w:t>
      </w:r>
      <w:bookmarkEnd w:id="371"/>
    </w:p>
    <w:p>
      <w:pPr>
        <w:pStyle w:val="nzSubsection"/>
      </w:pPr>
      <w:r>
        <w:tab/>
      </w:r>
      <w:r>
        <w:tab/>
        <w:t>After section 3(1) insert:</w:t>
      </w:r>
    </w:p>
    <w:p>
      <w:pPr>
        <w:pStyle w:val="BlankOpen"/>
      </w:pPr>
    </w:p>
    <w:p>
      <w:pPr>
        <w:pStyle w:val="nzSubsection"/>
      </w:pPr>
      <w:r>
        <w:tab/>
        <w:t>(2A)</w:t>
      </w:r>
      <w:r>
        <w:tab/>
        <w:t xml:space="preserve">If a provision of this Act is inconsistent with a provision of the </w:t>
      </w:r>
      <w:r>
        <w:rPr>
          <w:i/>
        </w:rPr>
        <w:t>Electronic Conveyancing Act 2014</w:t>
      </w:r>
      <w:r>
        <w:t>, the provision of that Act prevails to the extent of the inconsistency.</w:t>
      </w:r>
    </w:p>
    <w:p>
      <w:pPr>
        <w:pStyle w:val="BlankClose"/>
      </w:pPr>
    </w:p>
    <w:p>
      <w:pPr>
        <w:pStyle w:val="nzHeading5"/>
      </w:pPr>
      <w:bookmarkStart w:id="372" w:name="_Toc382914647"/>
      <w:r>
        <w:rPr>
          <w:rStyle w:val="CharSectno"/>
        </w:rPr>
        <w:t>63</w:t>
      </w:r>
      <w:r>
        <w:t>.</w:t>
      </w:r>
      <w:r>
        <w:tab/>
        <w:t>Section 4 amended</w:t>
      </w:r>
      <w:bookmarkEnd w:id="372"/>
    </w:p>
    <w:p>
      <w:pPr>
        <w:pStyle w:val="nzSubsection"/>
      </w:pPr>
      <w:r>
        <w:tab/>
        <w:t>(1)</w:t>
      </w:r>
      <w:r>
        <w:tab/>
        <w:t>In section 4(1) insert in alphabetical order:</w:t>
      </w:r>
    </w:p>
    <w:p>
      <w:pPr>
        <w:pStyle w:val="BlankOpen"/>
      </w:pPr>
    </w:p>
    <w:p>
      <w:pPr>
        <w:pStyle w:val="nzDefstart"/>
      </w:pPr>
      <w:r>
        <w:tab/>
      </w:r>
      <w:r>
        <w:rPr>
          <w:rStyle w:val="CharDefText"/>
        </w:rPr>
        <w:t>conveyancing transaction</w:t>
      </w:r>
      <w:r>
        <w:t xml:space="preserve"> has the meaning given in the </w:t>
      </w:r>
      <w:r>
        <w:rPr>
          <w:i/>
        </w:rPr>
        <w:t>Electronic Conveyancing Act 2014</w:t>
      </w:r>
      <w:r>
        <w:t xml:space="preserve"> section 3(1);</w:t>
      </w:r>
    </w:p>
    <w:p>
      <w:pPr>
        <w:pStyle w:val="nzDefstart"/>
      </w:pPr>
      <w:r>
        <w:tab/>
      </w:r>
      <w:r>
        <w:rPr>
          <w:rStyle w:val="CharDefText"/>
        </w:rPr>
        <w:t>counterpart</w:t>
      </w:r>
      <w:r>
        <w:t xml:space="preserve"> has the meaning given in subsection (1CA);</w:t>
      </w:r>
    </w:p>
    <w:p>
      <w:pPr>
        <w:pStyle w:val="nzDefstart"/>
      </w:pPr>
      <w:r>
        <w:tab/>
      </w:r>
      <w:r>
        <w:rPr>
          <w:rStyle w:val="CharDefText"/>
        </w:rPr>
        <w:t>digital signature</w:t>
      </w:r>
      <w:r>
        <w:t xml:space="preserve"> has the meaning given in the </w:t>
      </w:r>
      <w:r>
        <w:rPr>
          <w:i/>
        </w:rPr>
        <w:t>Electronic Conveyancing Act 2014</w:t>
      </w:r>
      <w:r>
        <w:t xml:space="preserve"> section 3(1);</w:t>
      </w:r>
    </w:p>
    <w:p>
      <w:pPr>
        <w:pStyle w:val="nzDefstart"/>
      </w:pPr>
      <w:r>
        <w:tab/>
      </w:r>
      <w:r>
        <w:rPr>
          <w:rStyle w:val="CharDefText"/>
        </w:rPr>
        <w:t>digitally sign</w:t>
      </w:r>
      <w:r>
        <w:t xml:space="preserve"> has the meaning given in the </w:t>
      </w:r>
      <w:r>
        <w:rPr>
          <w:i/>
        </w:rPr>
        <w:t>Electronic Conveyancing Act 2014</w:t>
      </w:r>
      <w:r>
        <w:t xml:space="preserve"> section 3(1);</w:t>
      </w:r>
    </w:p>
    <w:p>
      <w:pPr>
        <w:pStyle w:val="nzDefstart"/>
      </w:pPr>
      <w:r>
        <w:tab/>
      </w:r>
      <w:r>
        <w:rPr>
          <w:rStyle w:val="CharDefText"/>
        </w:rPr>
        <w:t>document</w:t>
      </w:r>
      <w:r>
        <w:t xml:space="preserve"> means any record of information however recorded, and includes — </w:t>
      </w:r>
    </w:p>
    <w:p>
      <w:pPr>
        <w:pStyle w:val="nzDefpara"/>
      </w:pPr>
      <w:r>
        <w:tab/>
        <w:t>(a)</w:t>
      </w:r>
      <w:r>
        <w:tab/>
        <w:t>anything on which there is writing; or</w:t>
      </w:r>
    </w:p>
    <w:p>
      <w:pPr>
        <w:pStyle w:val="nzDefpara"/>
      </w:pPr>
      <w:r>
        <w:tab/>
        <w:t>(b)</w:t>
      </w:r>
      <w:r>
        <w:tab/>
        <w:t>anything on which there are marks, figures, symbols or perforations having a meaning for persons qualified to interpret them; or</w:t>
      </w:r>
    </w:p>
    <w:p>
      <w:pPr>
        <w:pStyle w:val="nzDefpara"/>
      </w:pPr>
      <w:r>
        <w:tab/>
        <w:t>(c)</w:t>
      </w:r>
      <w:r>
        <w:tab/>
        <w:t>anything from which sounds, images or writings can be reproduced with or without the aid of anything else; or</w:t>
      </w:r>
    </w:p>
    <w:p>
      <w:pPr>
        <w:pStyle w:val="nzDefpara"/>
      </w:pPr>
      <w:r>
        <w:tab/>
        <w:t>(d)</w:t>
      </w:r>
      <w:r>
        <w:tab/>
        <w:t>a map, plan, drawing or photograph; or</w:t>
      </w:r>
    </w:p>
    <w:p>
      <w:pPr>
        <w:pStyle w:val="nzDefpara"/>
      </w:pPr>
      <w:r>
        <w:tab/>
        <w:t>(e)</w:t>
      </w:r>
      <w:r>
        <w:tab/>
        <w:t>any record of information that exists in a digital form and is capable of being reproduced, transmitted, stored and duplicated by electronic means;</w:t>
      </w:r>
    </w:p>
    <w:p>
      <w:pPr>
        <w:pStyle w:val="nzDefstart"/>
      </w:pPr>
      <w:r>
        <w:tab/>
      </w:r>
      <w:r>
        <w:rPr>
          <w:rStyle w:val="CharDefText"/>
        </w:rPr>
        <w:t>ELN</w:t>
      </w:r>
      <w:r>
        <w:t xml:space="preserve"> has the meaning given in the </w:t>
      </w:r>
      <w:r>
        <w:rPr>
          <w:i/>
        </w:rPr>
        <w:t>Electronic Conveyancing Act 2014</w:t>
      </w:r>
      <w:r>
        <w:t xml:space="preserve"> section 3(1);</w:t>
      </w:r>
    </w:p>
    <w:p>
      <w:pPr>
        <w:pStyle w:val="nzDefstart"/>
      </w:pPr>
      <w:r>
        <w:tab/>
      </w:r>
      <w:r>
        <w:rPr>
          <w:rStyle w:val="CharDefText"/>
        </w:rPr>
        <w:t>ELNO</w:t>
      </w:r>
      <w:r>
        <w:t xml:space="preserve"> has the meaning given in the </w:t>
      </w:r>
      <w:r>
        <w:rPr>
          <w:i/>
        </w:rPr>
        <w:t>Electronic Conveyancing Act 2014</w:t>
      </w:r>
      <w:r>
        <w:t xml:space="preserve"> section 3(1);</w:t>
      </w:r>
    </w:p>
    <w:p>
      <w:pPr>
        <w:pStyle w:val="nzDefstart"/>
      </w:pPr>
      <w:r>
        <w:tab/>
      </w:r>
      <w:r>
        <w:rPr>
          <w:rStyle w:val="CharDefText"/>
        </w:rPr>
        <w:t>participation rules</w:t>
      </w:r>
      <w:r>
        <w:t xml:space="preserve"> has the meaning given in the </w:t>
      </w:r>
      <w:r>
        <w:rPr>
          <w:i/>
        </w:rPr>
        <w:t>Electronic Conveyancing Act 2014</w:t>
      </w:r>
      <w:r>
        <w:t xml:space="preserve"> section 3(1);</w:t>
      </w:r>
    </w:p>
    <w:p>
      <w:pPr>
        <w:pStyle w:val="nzDefstart"/>
      </w:pPr>
      <w:r>
        <w:tab/>
      </w:r>
      <w:r>
        <w:rPr>
          <w:rStyle w:val="CharDefText"/>
        </w:rPr>
        <w:t>record</w:t>
      </w:r>
      <w:r>
        <w:t xml:space="preserve"> includes information stored or recorded by means of a computer;</w:t>
      </w:r>
    </w:p>
    <w:p>
      <w:pPr>
        <w:pStyle w:val="nzDefstart"/>
      </w:pPr>
      <w:r>
        <w:tab/>
      </w:r>
      <w:r>
        <w:rPr>
          <w:rStyle w:val="CharDefText"/>
        </w:rPr>
        <w:t>sign</w:t>
      </w:r>
      <w:r>
        <w:t xml:space="preserve"> includes digitally sign;</w:t>
      </w:r>
    </w:p>
    <w:p>
      <w:pPr>
        <w:pStyle w:val="nzDefstart"/>
      </w:pPr>
      <w:r>
        <w:tab/>
      </w:r>
      <w:r>
        <w:rPr>
          <w:rStyle w:val="CharDefText"/>
        </w:rPr>
        <w:t>signature</w:t>
      </w:r>
      <w:r>
        <w:t xml:space="preserve"> includes a digital signature;</w:t>
      </w:r>
    </w:p>
    <w:p>
      <w:pPr>
        <w:pStyle w:val="nzDefstart"/>
      </w:pPr>
      <w:r>
        <w:tab/>
      </w:r>
      <w:r>
        <w:rPr>
          <w:rStyle w:val="CharDefText"/>
        </w:rPr>
        <w:t>subscriber</w:t>
      </w:r>
      <w:r>
        <w:t xml:space="preserve"> has the meaning given in the </w:t>
      </w:r>
      <w:r>
        <w:rPr>
          <w:i/>
        </w:rPr>
        <w:t>Electronic Conveyancing Act 2014</w:t>
      </w:r>
      <w:r>
        <w:t xml:space="preserve"> section 3(1);</w:t>
      </w:r>
    </w:p>
    <w:p>
      <w:pPr>
        <w:pStyle w:val="BlankClose"/>
      </w:pPr>
    </w:p>
    <w:p>
      <w:pPr>
        <w:pStyle w:val="nzSubsection"/>
      </w:pPr>
      <w:r>
        <w:tab/>
        <w:t>(2)</w:t>
      </w:r>
      <w:r>
        <w:tab/>
        <w:t xml:space="preserve">In section 4(1) in the definition of </w:t>
      </w:r>
      <w:r>
        <w:rPr>
          <w:rStyle w:val="CharDefText"/>
        </w:rPr>
        <w:t>proprietor</w:t>
      </w:r>
      <w:r>
        <w:t xml:space="preserve"> after “the proprietor of that freehold land,” insert:</w:t>
      </w:r>
    </w:p>
    <w:p>
      <w:pPr>
        <w:pStyle w:val="BlankOpen"/>
      </w:pPr>
    </w:p>
    <w:p>
      <w:pPr>
        <w:pStyle w:val="nzSubsection"/>
      </w:pPr>
      <w:r>
        <w:tab/>
      </w:r>
      <w:r>
        <w:tab/>
        <w:t>lease, mortgage, charge,</w:t>
      </w:r>
    </w:p>
    <w:p>
      <w:pPr>
        <w:pStyle w:val="BlankClose"/>
      </w:pPr>
    </w:p>
    <w:p>
      <w:pPr>
        <w:pStyle w:val="nzSubsection"/>
      </w:pPr>
      <w:r>
        <w:tab/>
        <w:t>(3)</w:t>
      </w:r>
      <w:r>
        <w:tab/>
        <w:t>After section 4(1b) insert:</w:t>
      </w:r>
    </w:p>
    <w:p>
      <w:pPr>
        <w:pStyle w:val="BlankOpen"/>
      </w:pPr>
    </w:p>
    <w:p>
      <w:pPr>
        <w:pStyle w:val="nzSubsection"/>
      </w:pPr>
      <w:r>
        <w:tab/>
        <w:t>(1CA)</w:t>
      </w:r>
      <w:r>
        <w:tab/>
        <w:t xml:space="preserve">For the purposes of this Act, a document is a </w:t>
      </w:r>
      <w:r>
        <w:rPr>
          <w:rStyle w:val="CharDefText"/>
        </w:rPr>
        <w:t>counterpart</w:t>
      </w:r>
      <w:r>
        <w:t xml:space="preserve"> in relation to another document if — </w:t>
      </w:r>
    </w:p>
    <w:p>
      <w:pPr>
        <w:pStyle w:val="nzIndenta"/>
      </w:pPr>
      <w:r>
        <w:tab/>
        <w:t>(a)</w:t>
      </w:r>
      <w:r>
        <w:tab/>
        <w:t>the documents relate to the same conveyancing transaction; and</w:t>
      </w:r>
    </w:p>
    <w:p>
      <w:pPr>
        <w:pStyle w:val="nzIndenta"/>
      </w:pPr>
      <w:r>
        <w:tab/>
        <w:t>(b)</w:t>
      </w:r>
      <w:r>
        <w:tab/>
        <w:t xml:space="preserve">the documents contain exactly the same data or information, apart from all or any of the following — </w:t>
      </w:r>
    </w:p>
    <w:p>
      <w:pPr>
        <w:pStyle w:val="nzIndenti"/>
      </w:pPr>
      <w:r>
        <w:tab/>
        <w:t>(i)</w:t>
      </w:r>
      <w:r>
        <w:tab/>
        <w:t>any signature created for or appearing on each document;</w:t>
      </w:r>
    </w:p>
    <w:p>
      <w:pPr>
        <w:pStyle w:val="nzIndenti"/>
      </w:pPr>
      <w:r>
        <w:tab/>
        <w:t>(ii)</w:t>
      </w:r>
      <w:r>
        <w:tab/>
        <w:t>the details of any attesting witness;</w:t>
      </w:r>
    </w:p>
    <w:p>
      <w:pPr>
        <w:pStyle w:val="nzIndenti"/>
      </w:pPr>
      <w:r>
        <w:tab/>
        <w:t>(iii)</w:t>
      </w:r>
      <w:r>
        <w:tab/>
        <w:t>the date on which the documents were signed or witnessed;</w:t>
      </w:r>
    </w:p>
    <w:p>
      <w:pPr>
        <w:pStyle w:val="nzIndenti"/>
      </w:pPr>
      <w:r>
        <w:tab/>
        <w:t>(iv)</w:t>
      </w:r>
      <w:r>
        <w:tab/>
        <w:t xml:space="preserve">any data or information authorised or required by a taxation Act (as defined in the </w:t>
      </w:r>
      <w:r>
        <w:rPr>
          <w:i/>
        </w:rPr>
        <w:t>Taxation Administration Act 2003</w:t>
      </w:r>
      <w:r>
        <w:t xml:space="preserve"> Glossary);</w:t>
      </w:r>
    </w:p>
    <w:p>
      <w:pPr>
        <w:pStyle w:val="nzIndenti"/>
      </w:pPr>
      <w:r>
        <w:tab/>
        <w:t>(v)</w:t>
      </w:r>
      <w:r>
        <w:tab/>
        <w:t>anything else prescribed by the regulations for the purposes of this paragraph.</w:t>
      </w:r>
    </w:p>
    <w:p>
      <w:pPr>
        <w:pStyle w:val="BlankClose"/>
      </w:pPr>
    </w:p>
    <w:p>
      <w:pPr>
        <w:pStyle w:val="nzHeading5"/>
      </w:pPr>
      <w:bookmarkStart w:id="373" w:name="_Toc382914648"/>
      <w:r>
        <w:rPr>
          <w:rStyle w:val="CharSectno"/>
        </w:rPr>
        <w:t>64</w:t>
      </w:r>
      <w:r>
        <w:t>.</w:t>
      </w:r>
      <w:r>
        <w:tab/>
        <w:t>Section 14 replaced</w:t>
      </w:r>
      <w:bookmarkEnd w:id="373"/>
    </w:p>
    <w:p>
      <w:pPr>
        <w:pStyle w:val="nzSubsection"/>
      </w:pPr>
      <w:r>
        <w:tab/>
      </w:r>
      <w:r>
        <w:tab/>
        <w:t>Delete section 14 and insert:</w:t>
      </w:r>
    </w:p>
    <w:p>
      <w:pPr>
        <w:pStyle w:val="BlankOpen"/>
      </w:pPr>
    </w:p>
    <w:p>
      <w:pPr>
        <w:pStyle w:val="nzHeading5"/>
      </w:pPr>
      <w:bookmarkStart w:id="374" w:name="_Toc382914649"/>
      <w:r>
        <w:t>14.</w:t>
      </w:r>
      <w:r>
        <w:tab/>
        <w:t>Commissioner and Registrar may exercise functions electronically</w:t>
      </w:r>
      <w:bookmarkEnd w:id="374"/>
    </w:p>
    <w:p>
      <w:pPr>
        <w:pStyle w:val="nzSubsection"/>
      </w:pPr>
      <w:r>
        <w:tab/>
        <w:t>(1)</w:t>
      </w:r>
      <w:r>
        <w:tab/>
        <w:t>Anything that the Commissioner is required or authorised to do under this Act may be done by the Commissioner by electronic means in any way the Commissioner determines is appropriate.</w:t>
      </w:r>
    </w:p>
    <w:p>
      <w:pPr>
        <w:pStyle w:val="nzSubsection"/>
      </w:pPr>
      <w:r>
        <w:tab/>
        <w:t>(2)</w:t>
      </w:r>
      <w:r>
        <w:tab/>
        <w:t>Anything that the Registrar is required or authorised to do under this Act may be done by the Registrar by electronic means in any way the Registrar determines is appropriate.</w:t>
      </w:r>
    </w:p>
    <w:p>
      <w:pPr>
        <w:pStyle w:val="nz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nz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BlankClose"/>
      </w:pPr>
    </w:p>
    <w:p>
      <w:pPr>
        <w:pStyle w:val="nzHeading5"/>
      </w:pPr>
      <w:bookmarkStart w:id="375" w:name="_Toc382914650"/>
      <w:r>
        <w:rPr>
          <w:rStyle w:val="CharSectno"/>
        </w:rPr>
        <w:t>65</w:t>
      </w:r>
      <w:r>
        <w:t>.</w:t>
      </w:r>
      <w:r>
        <w:tab/>
        <w:t>Section 30 amended</w:t>
      </w:r>
      <w:bookmarkEnd w:id="375"/>
    </w:p>
    <w:p>
      <w:pPr>
        <w:pStyle w:val="nzSubsection"/>
      </w:pPr>
      <w:r>
        <w:tab/>
      </w:r>
      <w:r>
        <w:tab/>
        <w:t>Delete section 30(5) and insert:</w:t>
      </w:r>
    </w:p>
    <w:p>
      <w:pPr>
        <w:pStyle w:val="BlankOpen"/>
      </w:pPr>
    </w:p>
    <w:p>
      <w:pPr>
        <w:pStyle w:val="nzSubsection"/>
      </w:pPr>
      <w:r>
        <w:tab/>
        <w:t>(5)</w:t>
      </w:r>
      <w:r>
        <w:tab/>
        <w:t xml:space="preserve">A caveat under this section cannot be lodged unless one of the following is specified in it for the purposes of the service of notices in relation to the caveat — </w:t>
      </w:r>
    </w:p>
    <w:p>
      <w:pPr>
        <w:pStyle w:val="nzIndenta"/>
      </w:pPr>
      <w:r>
        <w:tab/>
        <w:t>(a)</w:t>
      </w:r>
      <w:r>
        <w:tab/>
        <w:t>an address in Australia;</w:t>
      </w:r>
    </w:p>
    <w:p>
      <w:pPr>
        <w:pStyle w:val="nzIndenta"/>
      </w:pPr>
      <w:r>
        <w:tab/>
        <w:t>(b)</w:t>
      </w:r>
      <w:r>
        <w:tab/>
        <w:t>a number for a facsimile machine in Australia;</w:t>
      </w:r>
    </w:p>
    <w:p>
      <w:pPr>
        <w:pStyle w:val="nzIndenta"/>
      </w:pPr>
      <w:r>
        <w:tab/>
        <w:t>(c)</w:t>
      </w:r>
      <w:r>
        <w:tab/>
        <w:t>a way of receiving notices electronically (for example, an email address) that is prescribed by the regulations for the purposes of this paragraph.</w:t>
      </w:r>
    </w:p>
    <w:p>
      <w:pPr>
        <w:pStyle w:val="BlankClose"/>
      </w:pPr>
    </w:p>
    <w:p>
      <w:pPr>
        <w:pStyle w:val="nzHeading5"/>
      </w:pPr>
      <w:bookmarkStart w:id="376" w:name="_Toc382914651"/>
      <w:r>
        <w:rPr>
          <w:rStyle w:val="CharSectno"/>
        </w:rPr>
        <w:t>66</w:t>
      </w:r>
      <w:r>
        <w:t>.</w:t>
      </w:r>
      <w:r>
        <w:tab/>
        <w:t>Section 48B amended</w:t>
      </w:r>
      <w:bookmarkEnd w:id="376"/>
    </w:p>
    <w:p>
      <w:pPr>
        <w:pStyle w:val="nzSubsection"/>
      </w:pPr>
      <w:r>
        <w:tab/>
      </w:r>
      <w:r>
        <w:tab/>
        <w:t>Delete section 48B(4) and insert:</w:t>
      </w:r>
    </w:p>
    <w:p>
      <w:pPr>
        <w:pStyle w:val="BlankOpen"/>
      </w:pPr>
    </w:p>
    <w:p>
      <w:pPr>
        <w:pStyle w:val="nzSubsection"/>
      </w:pPr>
      <w:r>
        <w:tab/>
        <w:t>(4)</w:t>
      </w:r>
      <w:r>
        <w:tab/>
        <w:t xml:space="preserve">If land is the subject of a certificate of title, the Registrar may cancel the duplicate certificate of title for the land if — </w:t>
      </w:r>
    </w:p>
    <w:p>
      <w:pPr>
        <w:pStyle w:val="nzIndenta"/>
      </w:pPr>
      <w:r>
        <w:tab/>
        <w:t>(a)</w:t>
      </w:r>
      <w:r>
        <w:tab/>
        <w:t>a request is made in accordance with subsection (5A) for the cancellation of the duplicate certificate of title; and</w:t>
      </w:r>
    </w:p>
    <w:p>
      <w:pPr>
        <w:pStyle w:val="nzIndenta"/>
      </w:pPr>
      <w:r>
        <w:tab/>
        <w:t>(b)</w:t>
      </w:r>
      <w:r>
        <w:tab/>
        <w:t>the duplicate certificate of title is delivered to the Registrar for retention, disposal or destruction.</w:t>
      </w:r>
    </w:p>
    <w:p>
      <w:pPr>
        <w:pStyle w:val="nzSubsection"/>
      </w:pPr>
      <w:r>
        <w:tab/>
        <w:t>(5A)</w:t>
      </w:r>
      <w:r>
        <w:tab/>
        <w:t xml:space="preserve">A request may be made under subsection (4) by — </w:t>
      </w:r>
    </w:p>
    <w:p>
      <w:pPr>
        <w:pStyle w:val="nzIndenta"/>
      </w:pPr>
      <w:r>
        <w:tab/>
        <w:t>(a)</w:t>
      </w:r>
      <w:r>
        <w:tab/>
        <w:t>a proprietor of the land (including the proprietor of a registered mortgage or registered charge over the land); or</w:t>
      </w:r>
    </w:p>
    <w:p>
      <w:pPr>
        <w:pStyle w:val="nz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nzSubsection"/>
      </w:pPr>
      <w:r>
        <w:tab/>
        <w:t>(5B)</w:t>
      </w:r>
      <w:r>
        <w:tab/>
        <w:t>On cancelling a duplicate certificate of title under subsection (4), the Registrar must endorse the certificate of title to that effect.</w:t>
      </w:r>
    </w:p>
    <w:p>
      <w:pPr>
        <w:pStyle w:val="BlankClose"/>
      </w:pPr>
    </w:p>
    <w:p>
      <w:pPr>
        <w:pStyle w:val="nzHeading5"/>
      </w:pPr>
      <w:bookmarkStart w:id="377" w:name="_Toc382914652"/>
      <w:r>
        <w:rPr>
          <w:rStyle w:val="CharSectno"/>
        </w:rPr>
        <w:t>67</w:t>
      </w:r>
      <w:r>
        <w:t>.</w:t>
      </w:r>
      <w:r>
        <w:tab/>
        <w:t>Section 52 amended</w:t>
      </w:r>
      <w:bookmarkEnd w:id="377"/>
    </w:p>
    <w:p>
      <w:pPr>
        <w:pStyle w:val="nzSubsection"/>
      </w:pPr>
      <w:r>
        <w:tab/>
      </w:r>
      <w:r>
        <w:tab/>
        <w:t>Delete section 52(2) and insert:</w:t>
      </w:r>
    </w:p>
    <w:p>
      <w:pPr>
        <w:pStyle w:val="BlankOpen"/>
      </w:pPr>
    </w:p>
    <w:p>
      <w:pPr>
        <w:pStyle w:val="nz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BlankClose"/>
      </w:pPr>
    </w:p>
    <w:p>
      <w:pPr>
        <w:pStyle w:val="nzHeading5"/>
      </w:pPr>
      <w:bookmarkStart w:id="378" w:name="_Toc382914653"/>
      <w:r>
        <w:rPr>
          <w:rStyle w:val="CharSectno"/>
        </w:rPr>
        <w:t>68</w:t>
      </w:r>
      <w:r>
        <w:t>.</w:t>
      </w:r>
      <w:r>
        <w:tab/>
        <w:t>Section 54 amended</w:t>
      </w:r>
      <w:bookmarkEnd w:id="378"/>
    </w:p>
    <w:p>
      <w:pPr>
        <w:pStyle w:val="nzSubsection"/>
      </w:pPr>
      <w:r>
        <w:tab/>
      </w:r>
      <w:r>
        <w:tab/>
        <w:t>In section 54(3) delete “section and seal each memorandum.” and insert:</w:t>
      </w:r>
    </w:p>
    <w:p>
      <w:pPr>
        <w:pStyle w:val="BlankOpen"/>
        <w:widowControl w:val="0"/>
      </w:pPr>
    </w:p>
    <w:p>
      <w:pPr>
        <w:pStyle w:val="nzSubsection"/>
      </w:pPr>
      <w:r>
        <w:tab/>
      </w:r>
      <w:r>
        <w:tab/>
        <w:t>section.</w:t>
      </w:r>
    </w:p>
    <w:p>
      <w:pPr>
        <w:pStyle w:val="BlankClose"/>
        <w:keepNext/>
        <w:widowControl w:val="0"/>
      </w:pPr>
    </w:p>
    <w:p>
      <w:pPr>
        <w:pStyle w:val="nzHeading5"/>
      </w:pPr>
      <w:bookmarkStart w:id="379" w:name="_Toc382914654"/>
      <w:r>
        <w:rPr>
          <w:rStyle w:val="CharSectno"/>
        </w:rPr>
        <w:t>69</w:t>
      </w:r>
      <w:r>
        <w:t>.</w:t>
      </w:r>
      <w:r>
        <w:tab/>
        <w:t>Section 57 amended</w:t>
      </w:r>
      <w:bookmarkEnd w:id="379"/>
    </w:p>
    <w:p>
      <w:pPr>
        <w:pStyle w:val="nzSubsection"/>
      </w:pPr>
      <w:r>
        <w:tab/>
      </w:r>
      <w:r>
        <w:tab/>
        <w:t>In section 57:</w:t>
      </w:r>
    </w:p>
    <w:p>
      <w:pPr>
        <w:pStyle w:val="nzIndenta"/>
      </w:pPr>
      <w:r>
        <w:tab/>
        <w:t>(a)</w:t>
      </w:r>
      <w:r>
        <w:tab/>
        <w:t>delete “certificate of title, instrument” and insert:</w:t>
      </w:r>
    </w:p>
    <w:p>
      <w:pPr>
        <w:pStyle w:val="BlankOpen"/>
      </w:pPr>
    </w:p>
    <w:p>
      <w:pPr>
        <w:pStyle w:val="nzIndenta"/>
      </w:pPr>
      <w:r>
        <w:tab/>
      </w:r>
      <w:r>
        <w:tab/>
        <w:t>certificate of title</w:t>
      </w:r>
    </w:p>
    <w:p>
      <w:pPr>
        <w:pStyle w:val="BlankClose"/>
      </w:pPr>
    </w:p>
    <w:p>
      <w:pPr>
        <w:pStyle w:val="nzIndenta"/>
      </w:pPr>
      <w:r>
        <w:tab/>
        <w:t>(b)</w:t>
      </w:r>
      <w:r>
        <w:tab/>
        <w:t>delete paragraph (a).</w:t>
      </w:r>
    </w:p>
    <w:p>
      <w:pPr>
        <w:pStyle w:val="nzNotesPerm"/>
      </w:pPr>
      <w:r>
        <w:tab/>
        <w:t>Note:</w:t>
      </w:r>
      <w:r>
        <w:tab/>
        <w:t>The heading to amended section 57 is to read:</w:t>
      </w:r>
    </w:p>
    <w:p>
      <w:pPr>
        <w:pStyle w:val="nzNotesPerm"/>
        <w:rPr>
          <w:b/>
          <w:bCs/>
        </w:rPr>
      </w:pPr>
      <w:r>
        <w:tab/>
      </w:r>
      <w:r>
        <w:tab/>
      </w:r>
      <w:r>
        <w:rPr>
          <w:b/>
          <w:bCs/>
        </w:rPr>
        <w:t>Memoranda of instruments to be entered</w:t>
      </w:r>
    </w:p>
    <w:p>
      <w:pPr>
        <w:pStyle w:val="nzHeading5"/>
      </w:pPr>
      <w:bookmarkStart w:id="380" w:name="_Toc382914655"/>
      <w:r>
        <w:rPr>
          <w:rStyle w:val="CharSectno"/>
        </w:rPr>
        <w:t>70</w:t>
      </w:r>
      <w:r>
        <w:t>.</w:t>
      </w:r>
      <w:r>
        <w:tab/>
        <w:t>Section 74 amended</w:t>
      </w:r>
      <w:bookmarkEnd w:id="380"/>
    </w:p>
    <w:p>
      <w:pPr>
        <w:pStyle w:val="nzSubsection"/>
      </w:pPr>
      <w:r>
        <w:tab/>
      </w:r>
      <w:r>
        <w:tab/>
        <w:t>After section 74(5) insert:</w:t>
      </w:r>
    </w:p>
    <w:p>
      <w:pPr>
        <w:pStyle w:val="BlankOpen"/>
      </w:pPr>
    </w:p>
    <w:p>
      <w:pPr>
        <w:pStyle w:val="nzSubsection"/>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BlankClose"/>
      </w:pPr>
    </w:p>
    <w:p>
      <w:pPr>
        <w:pStyle w:val="nzHeading5"/>
      </w:pPr>
      <w:bookmarkStart w:id="381" w:name="_Toc382914656"/>
      <w:r>
        <w:rPr>
          <w:rStyle w:val="CharSectno"/>
        </w:rPr>
        <w:t>71</w:t>
      </w:r>
      <w:r>
        <w:t>.</w:t>
      </w:r>
      <w:r>
        <w:tab/>
        <w:t>Section 74B amended</w:t>
      </w:r>
      <w:bookmarkEnd w:id="381"/>
    </w:p>
    <w:p>
      <w:pPr>
        <w:pStyle w:val="nzSubsection"/>
      </w:pPr>
      <w:r>
        <w:tab/>
      </w:r>
      <w:r>
        <w:tab/>
        <w:t>After section 74B(2) insert:</w:t>
      </w:r>
    </w:p>
    <w:p>
      <w:pPr>
        <w:pStyle w:val="BlankOpen"/>
      </w:pPr>
    </w:p>
    <w:p>
      <w:pPr>
        <w:pStyle w:val="nzSubsection"/>
      </w:pPr>
      <w:r>
        <w:tab/>
        <w:t>(3)</w:t>
      </w:r>
      <w:r>
        <w:tab/>
        <w:t xml:space="preserve">Subsection (4) applies if — </w:t>
      </w:r>
    </w:p>
    <w:p>
      <w:pPr>
        <w:pStyle w:val="nzIndenta"/>
      </w:pPr>
      <w:r>
        <w:tab/>
        <w:t>(a)</w:t>
      </w:r>
      <w:r>
        <w:tab/>
        <w:t xml:space="preserve">a document is lodged electronically under the </w:t>
      </w:r>
      <w:r>
        <w:rPr>
          <w:i/>
        </w:rPr>
        <w:t>Electronic Conveyancing Act 2014</w:t>
      </w:r>
      <w:r>
        <w:t>; and</w:t>
      </w:r>
    </w:p>
    <w:p>
      <w:pPr>
        <w:pStyle w:val="nzIndenta"/>
      </w:pPr>
      <w:r>
        <w:tab/>
        <w:t>(b)</w:t>
      </w:r>
      <w:r>
        <w:tab/>
        <w:t xml:space="preserve">in connection with the lodging of that document, a duplicate certificate of title is not produced but is dealt with in another way in accordance with — </w:t>
      </w:r>
    </w:p>
    <w:p>
      <w:pPr>
        <w:pStyle w:val="nzIndenti"/>
      </w:pPr>
      <w:r>
        <w:tab/>
        <w:t>(i)</w:t>
      </w:r>
      <w:r>
        <w:tab/>
        <w:t>regulations made under this Act; or</w:t>
      </w:r>
    </w:p>
    <w:p>
      <w:pPr>
        <w:pStyle w:val="nzIndenti"/>
      </w:pPr>
      <w:r>
        <w:tab/>
        <w:t>(ii)</w:t>
      </w:r>
      <w:r>
        <w:tab/>
        <w:t>requirements determined under section 182A;</w:t>
      </w:r>
    </w:p>
    <w:p>
      <w:pPr>
        <w:pStyle w:val="nzIndenta"/>
      </w:pPr>
      <w:r>
        <w:tab/>
      </w:r>
      <w:r>
        <w:tab/>
        <w:t>and</w:t>
      </w:r>
    </w:p>
    <w:p>
      <w:pPr>
        <w:pStyle w:val="nzIndenta"/>
      </w:pPr>
      <w:r>
        <w:tab/>
        <w:t>(c)</w:t>
      </w:r>
      <w:r>
        <w:tab/>
        <w:t>that document is later withdrawn from registration or is rejected.</w:t>
      </w:r>
    </w:p>
    <w:p>
      <w:pPr>
        <w:pStyle w:val="nzSubsection"/>
      </w:pPr>
      <w:r>
        <w:tab/>
        <w:t>(4)</w:t>
      </w:r>
      <w:r>
        <w:tab/>
        <w:t xml:space="preserve">If this subsection applies, the Registrar may cause a new duplicate certificate of title or, in the case of a digital title, a new edition of the duplicate certificate of title to be issued to — </w:t>
      </w:r>
    </w:p>
    <w:p>
      <w:pPr>
        <w:pStyle w:val="nzIndenta"/>
      </w:pPr>
      <w:r>
        <w:tab/>
        <w:t>(a)</w:t>
      </w:r>
      <w:r>
        <w:tab/>
        <w:t>the proprietor of the land that is the subject of the certificate of title; or</w:t>
      </w:r>
    </w:p>
    <w:p>
      <w:pPr>
        <w:pStyle w:val="nzIndenta"/>
      </w:pPr>
      <w:r>
        <w:tab/>
        <w:t>(b)</w:t>
      </w:r>
      <w:r>
        <w:tab/>
        <w:t>a person named and authorised by the proprietor as the person to whom the duplicate may be issued.</w:t>
      </w:r>
    </w:p>
    <w:p>
      <w:pPr>
        <w:pStyle w:val="BlankClose"/>
      </w:pPr>
    </w:p>
    <w:p>
      <w:pPr>
        <w:pStyle w:val="nzHeading5"/>
      </w:pPr>
      <w:bookmarkStart w:id="382" w:name="_Toc382914657"/>
      <w:r>
        <w:rPr>
          <w:rStyle w:val="CharSectno"/>
        </w:rPr>
        <w:t>72</w:t>
      </w:r>
      <w:r>
        <w:t>.</w:t>
      </w:r>
      <w:r>
        <w:tab/>
        <w:t>Section 81W amended</w:t>
      </w:r>
      <w:bookmarkEnd w:id="382"/>
    </w:p>
    <w:p>
      <w:pPr>
        <w:pStyle w:val="nzSubsection"/>
      </w:pPr>
      <w:r>
        <w:tab/>
      </w:r>
      <w:r>
        <w:tab/>
        <w:t>Delete section 81W(9) and insert:</w:t>
      </w:r>
    </w:p>
    <w:p>
      <w:pPr>
        <w:pStyle w:val="BlankOpen"/>
      </w:pPr>
    </w:p>
    <w:p>
      <w:pPr>
        <w:pStyle w:val="nzSubsection"/>
      </w:pPr>
      <w:r>
        <w:tab/>
        <w:t>(9)</w:t>
      </w:r>
      <w:r>
        <w:tab/>
        <w:t xml:space="preserve">A caveat cannot be lodged under subsection (6) unless one of the following is specified in it for the purposes of the service of notices in relation to the caveat — </w:t>
      </w:r>
    </w:p>
    <w:p>
      <w:pPr>
        <w:pStyle w:val="nzIndenta"/>
      </w:pPr>
      <w:r>
        <w:tab/>
        <w:t>(a)</w:t>
      </w:r>
      <w:r>
        <w:tab/>
        <w:t>an address in Australia;</w:t>
      </w:r>
    </w:p>
    <w:p>
      <w:pPr>
        <w:pStyle w:val="nzIndenta"/>
      </w:pPr>
      <w:r>
        <w:tab/>
        <w:t>(b)</w:t>
      </w:r>
      <w:r>
        <w:tab/>
        <w:t>a number for a facsimile machine in Australia;</w:t>
      </w:r>
    </w:p>
    <w:p>
      <w:pPr>
        <w:pStyle w:val="nzIndenta"/>
      </w:pPr>
      <w:r>
        <w:tab/>
        <w:t>(c)</w:t>
      </w:r>
      <w:r>
        <w:tab/>
        <w:t>a way of receiving notices electronically (for example, an email address) that is prescribed by the regulations for the purposes of this paragraph.</w:t>
      </w:r>
    </w:p>
    <w:p>
      <w:pPr>
        <w:pStyle w:val="BlankClose"/>
      </w:pPr>
    </w:p>
    <w:p>
      <w:pPr>
        <w:pStyle w:val="nzHeading5"/>
      </w:pPr>
      <w:bookmarkStart w:id="383" w:name="_Toc382914658"/>
      <w:r>
        <w:rPr>
          <w:rStyle w:val="CharSectno"/>
        </w:rPr>
        <w:t>73</w:t>
      </w:r>
      <w:r>
        <w:t>.</w:t>
      </w:r>
      <w:r>
        <w:tab/>
        <w:t>Section 105 amended</w:t>
      </w:r>
      <w:bookmarkEnd w:id="383"/>
    </w:p>
    <w:p>
      <w:pPr>
        <w:pStyle w:val="nzSubsection"/>
      </w:pPr>
      <w:r>
        <w:tab/>
      </w:r>
      <w:r>
        <w:tab/>
        <w:t>After section 105(2) insert:</w:t>
      </w:r>
    </w:p>
    <w:p>
      <w:pPr>
        <w:pStyle w:val="BlankOpen"/>
      </w:pPr>
    </w:p>
    <w:p>
      <w:pPr>
        <w:pStyle w:val="nzSubsection"/>
      </w:pPr>
      <w:r>
        <w:tab/>
        <w:t>(3)</w:t>
      </w:r>
      <w:r>
        <w:tab/>
        <w:t xml:space="preserve">Subsection (4) applies if — </w:t>
      </w:r>
    </w:p>
    <w:p>
      <w:pPr>
        <w:pStyle w:val="nz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nzIndenta"/>
      </w:pPr>
      <w:r>
        <w:tab/>
        <w:t>(b)</w:t>
      </w:r>
      <w:r>
        <w:tab/>
        <w:t xml:space="preserve">the counterpart of the charging instrument lodged — </w:t>
      </w:r>
    </w:p>
    <w:p>
      <w:pPr>
        <w:pStyle w:val="nzIndenti"/>
      </w:pPr>
      <w:r>
        <w:tab/>
        <w:t>(i)</w:t>
      </w:r>
      <w:r>
        <w:tab/>
        <w:t>purports to be signed by the person who, on registration of the mortgage or charge, will become the proprietor of the mortgage or charge; but</w:t>
      </w:r>
    </w:p>
    <w:p>
      <w:pPr>
        <w:pStyle w:val="nzIndenti"/>
      </w:pPr>
      <w:r>
        <w:tab/>
        <w:t>(ii)</w:t>
      </w:r>
      <w:r>
        <w:tab/>
        <w:t>does not purport to be signed by the proprietor of the land;</w:t>
      </w:r>
    </w:p>
    <w:p>
      <w:pPr>
        <w:pStyle w:val="nzIndenta"/>
      </w:pPr>
      <w:r>
        <w:tab/>
      </w:r>
      <w:r>
        <w:tab/>
        <w:t>and</w:t>
      </w:r>
    </w:p>
    <w:p>
      <w:pPr>
        <w:pStyle w:val="nzIndenta"/>
      </w:pPr>
      <w:r>
        <w:tab/>
        <w:t>(c)</w:t>
      </w:r>
      <w:r>
        <w:tab/>
        <w:t>a counterpart of the charging instrument purporting to be signed by the proprietor of the land is not also lodged for registration; and</w:t>
      </w:r>
    </w:p>
    <w:p>
      <w:pPr>
        <w:pStyle w:val="nzIndenta"/>
      </w:pPr>
      <w:r>
        <w:tab/>
        <w:t>(d)</w:t>
      </w:r>
      <w:r>
        <w:tab/>
        <w:t>the charging instrument is registered.</w:t>
      </w:r>
    </w:p>
    <w:p>
      <w:pPr>
        <w:pStyle w:val="nz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nzSubsection"/>
      </w:pPr>
      <w:r>
        <w:tab/>
        <w:t>(5)</w:t>
      </w:r>
      <w:r>
        <w:tab/>
        <w:t>Subsection (4) overrides section 58.</w:t>
      </w:r>
    </w:p>
    <w:p>
      <w:pPr>
        <w:pStyle w:val="BlankClose"/>
      </w:pPr>
    </w:p>
    <w:p>
      <w:pPr>
        <w:pStyle w:val="nzHeading5"/>
      </w:pPr>
      <w:bookmarkStart w:id="384" w:name="_Toc382914659"/>
      <w:r>
        <w:rPr>
          <w:rStyle w:val="CharSectno"/>
        </w:rPr>
        <w:t>74</w:t>
      </w:r>
      <w:r>
        <w:t>.</w:t>
      </w:r>
      <w:r>
        <w:tab/>
        <w:t>Section 127A inserted</w:t>
      </w:r>
      <w:bookmarkEnd w:id="384"/>
    </w:p>
    <w:p>
      <w:pPr>
        <w:pStyle w:val="nzSubsection"/>
      </w:pPr>
      <w:r>
        <w:tab/>
      </w:r>
      <w:r>
        <w:tab/>
        <w:t>After section 126 insert:</w:t>
      </w:r>
    </w:p>
    <w:p>
      <w:pPr>
        <w:pStyle w:val="BlankOpen"/>
      </w:pPr>
    </w:p>
    <w:p>
      <w:pPr>
        <w:pStyle w:val="nzHeading5"/>
      </w:pPr>
      <w:bookmarkStart w:id="385" w:name="_Toc382914660"/>
      <w:r>
        <w:t>127A.</w:t>
      </w:r>
      <w:r>
        <w:tab/>
        <w:t>Subsequent mortgages or charges</w:t>
      </w:r>
      <w:bookmarkEnd w:id="385"/>
    </w:p>
    <w:p>
      <w:pPr>
        <w:pStyle w:val="nzSubsection"/>
      </w:pPr>
      <w:r>
        <w:tab/>
        <w:t>(1)</w:t>
      </w:r>
      <w:r>
        <w:tab/>
        <w:t xml:space="preserve">In this section — </w:t>
      </w:r>
    </w:p>
    <w:p>
      <w:pPr>
        <w:pStyle w:val="nzDefstart"/>
      </w:pPr>
      <w:r>
        <w:tab/>
      </w:r>
      <w:r>
        <w:rPr>
          <w:rStyle w:val="CharDefText"/>
        </w:rPr>
        <w:t>mortgage</w:t>
      </w:r>
      <w:r>
        <w:t xml:space="preserve"> includes a charge;</w:t>
      </w:r>
    </w:p>
    <w:p>
      <w:pPr>
        <w:pStyle w:val="nzDefstart"/>
      </w:pPr>
      <w:r>
        <w:tab/>
      </w:r>
      <w:r>
        <w:rPr>
          <w:rStyle w:val="CharDefText"/>
        </w:rPr>
        <w:t>mortgagee</w:t>
      </w:r>
      <w:r>
        <w:t xml:space="preserve"> includes an annuitant.</w:t>
      </w:r>
    </w:p>
    <w:p>
      <w:pPr>
        <w:pStyle w:val="nzSubsection"/>
      </w:pPr>
      <w:r>
        <w:tab/>
        <w:t>(2)</w:t>
      </w:r>
      <w:r>
        <w:tab/>
        <w:t>If any land under the operation of this Act is subject to a mortgage, the registration of a subsequent mortgage does not require the consent of the existing mortgagee.</w:t>
      </w:r>
    </w:p>
    <w:p>
      <w:pPr>
        <w:pStyle w:val="nzSubsection"/>
      </w:pPr>
      <w:r>
        <w:tab/>
        <w:t>(3)</w:t>
      </w:r>
      <w:r>
        <w:tab/>
        <w:t xml:space="preserve">If any land under the operation of this Act is subject to a mortgage, the execution or attempted execution of a subsequent mortgage does not — </w:t>
      </w:r>
    </w:p>
    <w:p>
      <w:pPr>
        <w:pStyle w:val="nzIndenta"/>
      </w:pPr>
      <w:r>
        <w:tab/>
        <w:t>(a)</w:t>
      </w:r>
      <w:r>
        <w:tab/>
        <w:t>constitute a breach of any term, covenant or condition contained in the existing mortgage; or</w:t>
      </w:r>
    </w:p>
    <w:p>
      <w:pPr>
        <w:pStyle w:val="nzIndenta"/>
      </w:pPr>
      <w:r>
        <w:tab/>
        <w:t>(b)</w:t>
      </w:r>
      <w:r>
        <w:tab/>
        <w:t>give rise to any forfeiture or penalty; or</w:t>
      </w:r>
    </w:p>
    <w:p>
      <w:pPr>
        <w:pStyle w:val="nz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nzSubsection"/>
      </w:pPr>
      <w:r>
        <w:tab/>
        <w:t>(4)</w:t>
      </w:r>
      <w:r>
        <w:tab/>
        <w:t>This section has effect despite any provision to the contrary in any mortgage.</w:t>
      </w:r>
    </w:p>
    <w:p>
      <w:pPr>
        <w:pStyle w:val="nz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BlankClose"/>
        <w:keepLines w:val="0"/>
        <w:widowControl w:val="0"/>
      </w:pPr>
    </w:p>
    <w:p>
      <w:pPr>
        <w:pStyle w:val="nzHeading5"/>
      </w:pPr>
      <w:bookmarkStart w:id="386" w:name="_Toc382914661"/>
      <w:r>
        <w:rPr>
          <w:rStyle w:val="CharSectno"/>
        </w:rPr>
        <w:t>75</w:t>
      </w:r>
      <w:r>
        <w:t>.</w:t>
      </w:r>
      <w:r>
        <w:tab/>
        <w:t>Section 129A amended</w:t>
      </w:r>
      <w:bookmarkEnd w:id="386"/>
    </w:p>
    <w:p>
      <w:pPr>
        <w:pStyle w:val="nzSubsection"/>
      </w:pPr>
      <w:r>
        <w:tab/>
      </w:r>
      <w:r>
        <w:tab/>
        <w:t>In section 129A(3) delete “section 52(2)(a),” and insert:</w:t>
      </w:r>
    </w:p>
    <w:p>
      <w:pPr>
        <w:pStyle w:val="BlankOpen"/>
      </w:pPr>
    </w:p>
    <w:p>
      <w:pPr>
        <w:pStyle w:val="nzSubsection"/>
      </w:pPr>
      <w:r>
        <w:tab/>
      </w:r>
      <w:r>
        <w:tab/>
        <w:t>section 52(2),</w:t>
      </w:r>
    </w:p>
    <w:p>
      <w:pPr>
        <w:pStyle w:val="BlankClose"/>
      </w:pPr>
    </w:p>
    <w:p>
      <w:pPr>
        <w:pStyle w:val="nzHeading5"/>
      </w:pPr>
      <w:bookmarkStart w:id="387" w:name="_Toc382914662"/>
      <w:r>
        <w:rPr>
          <w:rStyle w:val="CharSectno"/>
        </w:rPr>
        <w:t>76</w:t>
      </w:r>
      <w:r>
        <w:t>.</w:t>
      </w:r>
      <w:r>
        <w:tab/>
        <w:t>Section 137 amended</w:t>
      </w:r>
      <w:bookmarkEnd w:id="387"/>
    </w:p>
    <w:p>
      <w:pPr>
        <w:pStyle w:val="nzSubsection"/>
      </w:pPr>
      <w:r>
        <w:tab/>
      </w:r>
      <w:r>
        <w:tab/>
        <w:t>Delete section 137(1D) and insert:</w:t>
      </w:r>
    </w:p>
    <w:p>
      <w:pPr>
        <w:pStyle w:val="BlankOpen"/>
      </w:pPr>
    </w:p>
    <w:p>
      <w:pPr>
        <w:pStyle w:val="nzSubsection"/>
      </w:pPr>
      <w:r>
        <w:tab/>
        <w:t>(1D)</w:t>
      </w:r>
      <w:r>
        <w:tab/>
        <w:t xml:space="preserve">A caveat under this section cannot be lodged unless one of the following is specified in it for the purposes of the service of notices in relation to the caveat — </w:t>
      </w:r>
    </w:p>
    <w:p>
      <w:pPr>
        <w:pStyle w:val="nzIndenta"/>
      </w:pPr>
      <w:r>
        <w:tab/>
        <w:t>(a)</w:t>
      </w:r>
      <w:r>
        <w:tab/>
        <w:t>an address in Australia;</w:t>
      </w:r>
    </w:p>
    <w:p>
      <w:pPr>
        <w:pStyle w:val="nzIndenta"/>
      </w:pPr>
      <w:r>
        <w:tab/>
        <w:t>(b)</w:t>
      </w:r>
      <w:r>
        <w:tab/>
        <w:t>a number for a facsimile machine in Australia;</w:t>
      </w:r>
    </w:p>
    <w:p>
      <w:pPr>
        <w:pStyle w:val="nzIndenta"/>
      </w:pPr>
      <w:r>
        <w:tab/>
        <w:t>(c)</w:t>
      </w:r>
      <w:r>
        <w:tab/>
        <w:t>a way of receiving notices electronically (for example, an email address) that is prescribed by the regulations for the purposes of this paragraph.</w:t>
      </w:r>
    </w:p>
    <w:p>
      <w:pPr>
        <w:pStyle w:val="BlankClose"/>
      </w:pPr>
    </w:p>
    <w:p>
      <w:pPr>
        <w:pStyle w:val="nzHeading5"/>
      </w:pPr>
      <w:bookmarkStart w:id="388" w:name="_Toc382914663"/>
      <w:r>
        <w:rPr>
          <w:rStyle w:val="CharSectno"/>
        </w:rPr>
        <w:t>77</w:t>
      </w:r>
      <w:r>
        <w:t>.</w:t>
      </w:r>
      <w:r>
        <w:tab/>
        <w:t>Section 180 replaced</w:t>
      </w:r>
      <w:bookmarkEnd w:id="388"/>
    </w:p>
    <w:p>
      <w:pPr>
        <w:pStyle w:val="nzSubsection"/>
      </w:pPr>
      <w:r>
        <w:tab/>
      </w:r>
      <w:r>
        <w:tab/>
        <w:t>Delete section 180 and insert:</w:t>
      </w:r>
    </w:p>
    <w:p>
      <w:pPr>
        <w:pStyle w:val="BlankOpen"/>
      </w:pPr>
    </w:p>
    <w:p>
      <w:pPr>
        <w:pStyle w:val="nzHeading5"/>
      </w:pPr>
      <w:bookmarkStart w:id="389" w:name="_Toc382914664"/>
      <w:r>
        <w:t>180.</w:t>
      </w:r>
      <w:r>
        <w:tab/>
        <w:t>Commissioner may summons people to provide information</w:t>
      </w:r>
      <w:bookmarkEnd w:id="389"/>
    </w:p>
    <w:p>
      <w:pPr>
        <w:pStyle w:val="nz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nzIndenta"/>
      </w:pPr>
      <w:r>
        <w:tab/>
        <w:t>(a)</w:t>
      </w:r>
      <w:r>
        <w:tab/>
        <w:t xml:space="preserve">to give an explanation concerning — </w:t>
      </w:r>
    </w:p>
    <w:p>
      <w:pPr>
        <w:pStyle w:val="nzIndenti"/>
      </w:pPr>
      <w:r>
        <w:tab/>
        <w:t>(i)</w:t>
      </w:r>
      <w:r>
        <w:tab/>
        <w:t>any land; or</w:t>
      </w:r>
    </w:p>
    <w:p>
      <w:pPr>
        <w:pStyle w:val="nzIndenti"/>
      </w:pPr>
      <w:r>
        <w:tab/>
        <w:t>(ii)</w:t>
      </w:r>
      <w:r>
        <w:tab/>
        <w:t>any document affecting the title to any land; or</w:t>
      </w:r>
    </w:p>
    <w:p>
      <w:pPr>
        <w:pStyle w:val="nzIndenti"/>
      </w:pPr>
      <w:r>
        <w:tab/>
        <w:t>(iii)</w:t>
      </w:r>
      <w:r>
        <w:tab/>
        <w:t>any conveyancing transaction;</w:t>
      </w:r>
    </w:p>
    <w:p>
      <w:pPr>
        <w:pStyle w:val="nzIndenta"/>
      </w:pPr>
      <w:r>
        <w:tab/>
        <w:t>(b)</w:t>
      </w:r>
      <w:r>
        <w:tab/>
        <w:t xml:space="preserve">to produce any grant, certificate of title, will, mortgage or other instrument or document in the person’s possession or within the person’s control — </w:t>
      </w:r>
    </w:p>
    <w:p>
      <w:pPr>
        <w:pStyle w:val="nzIndenti"/>
      </w:pPr>
      <w:r>
        <w:tab/>
        <w:t>(i)</w:t>
      </w:r>
      <w:r>
        <w:tab/>
        <w:t>affecting any land or the title to any land; or</w:t>
      </w:r>
    </w:p>
    <w:p>
      <w:pPr>
        <w:pStyle w:val="nzIndenti"/>
      </w:pPr>
      <w:r>
        <w:tab/>
        <w:t>(ii)</w:t>
      </w:r>
      <w:r>
        <w:tab/>
        <w:t>relating to any conveyancing transaction.</w:t>
      </w:r>
    </w:p>
    <w:p>
      <w:pPr>
        <w:pStyle w:val="nzSubsection"/>
      </w:pPr>
      <w:r>
        <w:tab/>
        <w:t>(2)</w:t>
      </w:r>
      <w:r>
        <w:tab/>
        <w:t xml:space="preserve">The persons referred to in subsection (1) are the following — </w:t>
      </w:r>
    </w:p>
    <w:p>
      <w:pPr>
        <w:pStyle w:val="nzIndenta"/>
      </w:pPr>
      <w:r>
        <w:tab/>
        <w:t>(a)</w:t>
      </w:r>
      <w:r>
        <w:tab/>
        <w:t xml:space="preserve">the proprietor, mortgagee or other person interested in any land under, or proposed to be brought under, the operation of this Act in respect of which — </w:t>
      </w:r>
    </w:p>
    <w:p>
      <w:pPr>
        <w:pStyle w:val="nzIndenti"/>
      </w:pPr>
      <w:r>
        <w:tab/>
        <w:t>(i)</w:t>
      </w:r>
      <w:r>
        <w:tab/>
        <w:t>any transfer, lease, mortgage, charge, carbon right, carbon covenant, tree plantation agreement or other dealing is proposed to be transacted or registered; or</w:t>
      </w:r>
    </w:p>
    <w:p>
      <w:pPr>
        <w:pStyle w:val="nzIndenti"/>
      </w:pPr>
      <w:r>
        <w:tab/>
        <w:t>(ii)</w:t>
      </w:r>
      <w:r>
        <w:tab/>
        <w:t>any discharge from any mortgage or charge, or any surrender of a carbon right, carbon covenant or plantation interest, is proposed to be transacted or registered; or</w:t>
      </w:r>
    </w:p>
    <w:p>
      <w:pPr>
        <w:pStyle w:val="nzIndenti"/>
      </w:pPr>
      <w:r>
        <w:tab/>
        <w:t>(iii)</w:t>
      </w:r>
      <w:r>
        <w:tab/>
        <w:t>any transmission is proposed to be registered;</w:t>
      </w:r>
    </w:p>
    <w:p>
      <w:pPr>
        <w:pStyle w:val="nz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nzIndenti"/>
      </w:pPr>
      <w:r>
        <w:tab/>
        <w:t>(i)</w:t>
      </w:r>
      <w:r>
        <w:tab/>
        <w:t>a subscriber;</w:t>
      </w:r>
    </w:p>
    <w:p>
      <w:pPr>
        <w:pStyle w:val="nzIndenti"/>
      </w:pPr>
      <w:r>
        <w:tab/>
        <w:t>(ii)</w:t>
      </w:r>
      <w:r>
        <w:tab/>
        <w:t>any of a subscriber’s employees, agents, contractors or officers;</w:t>
      </w:r>
    </w:p>
    <w:p>
      <w:pPr>
        <w:pStyle w:val="nzIndenti"/>
      </w:pPr>
      <w:r>
        <w:tab/>
        <w:t>(iii)</w:t>
      </w:r>
      <w:r>
        <w:tab/>
        <w:t>an Australian lawyer;</w:t>
      </w:r>
    </w:p>
    <w:p>
      <w:pPr>
        <w:pStyle w:val="nzIndenti"/>
      </w:pPr>
      <w:r>
        <w:tab/>
        <w:t>(iv)</w:t>
      </w:r>
      <w:r>
        <w:tab/>
        <w:t xml:space="preserve">a settlement agent as defined in the </w:t>
      </w:r>
      <w:r>
        <w:rPr>
          <w:i/>
        </w:rPr>
        <w:t>Settlement Agents Act 1981</w:t>
      </w:r>
      <w:r>
        <w:t xml:space="preserve"> section 3(1);</w:t>
      </w:r>
    </w:p>
    <w:p>
      <w:pPr>
        <w:pStyle w:val="nzIndenti"/>
      </w:pPr>
      <w:r>
        <w:tab/>
        <w:t>(v)</w:t>
      </w:r>
      <w:r>
        <w:tab/>
        <w:t>an ELNO;</w:t>
      </w:r>
    </w:p>
    <w:p>
      <w:pPr>
        <w:pStyle w:val="nzIndenti"/>
      </w:pPr>
      <w:r>
        <w:tab/>
        <w:t>(vi)</w:t>
      </w:r>
      <w:r>
        <w:tab/>
        <w:t>any of an ELNO’s employees, agents, contractors or officers.</w:t>
      </w:r>
    </w:p>
    <w:p>
      <w:pPr>
        <w:pStyle w:val="nzSubsection"/>
      </w:pPr>
      <w:r>
        <w:tab/>
        <w:t>(3)</w:t>
      </w:r>
      <w:r>
        <w:tab/>
        <w:t xml:space="preserve">A summons under subsection (1) must be — </w:t>
      </w:r>
    </w:p>
    <w:p>
      <w:pPr>
        <w:pStyle w:val="nzIndenta"/>
      </w:pPr>
      <w:r>
        <w:tab/>
        <w:t>(a)</w:t>
      </w:r>
      <w:r>
        <w:tab/>
        <w:t>in an approved form; and</w:t>
      </w:r>
    </w:p>
    <w:p>
      <w:pPr>
        <w:pStyle w:val="nzIndenta"/>
      </w:pPr>
      <w:r>
        <w:tab/>
        <w:t>(b)</w:t>
      </w:r>
      <w:r>
        <w:tab/>
        <w:t>signed by the Commissioner; and</w:t>
      </w:r>
    </w:p>
    <w:p>
      <w:pPr>
        <w:pStyle w:val="nzIndenta"/>
      </w:pPr>
      <w:r>
        <w:tab/>
        <w:t>(c)</w:t>
      </w:r>
      <w:r>
        <w:tab/>
        <w:t>served on the person summoned in accordance with section 240 as if it were a notice to which that section applies.</w:t>
      </w:r>
    </w:p>
    <w:p>
      <w:pPr>
        <w:pStyle w:val="nzSubsection"/>
      </w:pPr>
      <w:r>
        <w:tab/>
        <w:t>(4)</w:t>
      </w:r>
      <w:r>
        <w:tab/>
        <w:t xml:space="preserve">For the purposes of this section — </w:t>
      </w:r>
    </w:p>
    <w:p>
      <w:pPr>
        <w:pStyle w:val="nzIndenta"/>
      </w:pPr>
      <w:r>
        <w:tab/>
        <w:t>(a)</w:t>
      </w:r>
      <w:r>
        <w:tab/>
        <w:t>the Commissioner may require a person summoned under subsection (1) to take an oath or to make an affirmation; and</w:t>
      </w:r>
    </w:p>
    <w:p>
      <w:pPr>
        <w:pStyle w:val="nzIndenta"/>
      </w:pPr>
      <w:r>
        <w:tab/>
        <w:t>(b)</w:t>
      </w:r>
      <w:r>
        <w:tab/>
        <w:t>the Commissioner may administer an oath or affirmation to the person.</w:t>
      </w:r>
    </w:p>
    <w:p>
      <w:pPr>
        <w:pStyle w:val="nzSubsection"/>
      </w:pPr>
      <w:r>
        <w:tab/>
        <w:t>(5)</w:t>
      </w:r>
      <w:r>
        <w:tab/>
        <w:t xml:space="preserve">If a person is summoned under subsection (1), the Commissioner may deal with the person as in the case of contempt of the Supreme Court if the person — </w:t>
      </w:r>
    </w:p>
    <w:p>
      <w:pPr>
        <w:pStyle w:val="nzIndenta"/>
      </w:pPr>
      <w:r>
        <w:tab/>
        <w:t>(a)</w:t>
      </w:r>
      <w:r>
        <w:tab/>
        <w:t xml:space="preserve">fails, refuses or neglects — </w:t>
      </w:r>
    </w:p>
    <w:p>
      <w:pPr>
        <w:pStyle w:val="nzIndenti"/>
      </w:pPr>
      <w:r>
        <w:tab/>
        <w:t>(i)</w:t>
      </w:r>
      <w:r>
        <w:tab/>
        <w:t>to attend the Commissioner for the purpose of being examined; or</w:t>
      </w:r>
    </w:p>
    <w:p>
      <w:pPr>
        <w:pStyle w:val="nzIndenti"/>
      </w:pPr>
      <w:r>
        <w:tab/>
        <w:t>(ii)</w:t>
      </w:r>
      <w:r>
        <w:tab/>
        <w:t>to produce any document as required by the summons; or</w:t>
      </w:r>
    </w:p>
    <w:p>
      <w:pPr>
        <w:pStyle w:val="nzIndenti"/>
      </w:pPr>
      <w:r>
        <w:tab/>
        <w:t>(iii)</w:t>
      </w:r>
      <w:r>
        <w:tab/>
        <w:t>to allow any document to which subparagraph (ii) applies to be inspected;</w:t>
      </w:r>
    </w:p>
    <w:p>
      <w:pPr>
        <w:pStyle w:val="nzIndenta"/>
      </w:pPr>
      <w:r>
        <w:tab/>
      </w:r>
      <w:r>
        <w:tab/>
        <w:t>or</w:t>
      </w:r>
    </w:p>
    <w:p>
      <w:pPr>
        <w:pStyle w:val="nzIndenta"/>
      </w:pPr>
      <w:r>
        <w:tab/>
        <w:t>(b)</w:t>
      </w:r>
      <w:r>
        <w:tab/>
        <w:t>refuses or neglects to give any explanation required by the Commissioner.</w:t>
      </w:r>
    </w:p>
    <w:p>
      <w:pPr>
        <w:pStyle w:val="nz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nzHeading5"/>
      </w:pPr>
      <w:bookmarkStart w:id="390" w:name="_Toc382914665"/>
      <w:r>
        <w:t>181A.</w:t>
      </w:r>
      <w:r>
        <w:tab/>
        <w:t>Commissioner and Registrar may require supporting documentation or evidence or verification</w:t>
      </w:r>
      <w:bookmarkEnd w:id="390"/>
    </w:p>
    <w:p>
      <w:pPr>
        <w:pStyle w:val="nzSubsection"/>
      </w:pPr>
      <w:r>
        <w:tab/>
        <w:t>(1)</w:t>
      </w:r>
      <w:r>
        <w:tab/>
        <w:t xml:space="preserve">In this section — </w:t>
      </w:r>
    </w:p>
    <w:p>
      <w:pPr>
        <w:pStyle w:val="nzDefstart"/>
      </w:pPr>
      <w:r>
        <w:tab/>
      </w:r>
      <w:r>
        <w:rPr>
          <w:rStyle w:val="CharDefText"/>
        </w:rPr>
        <w:t>lodge</w:t>
      </w:r>
      <w:r>
        <w:t xml:space="preserve"> includes deposit, present and file.</w:t>
      </w:r>
    </w:p>
    <w:p>
      <w:pPr>
        <w:pStyle w:val="nz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nzIndenta"/>
      </w:pPr>
      <w:r>
        <w:tab/>
        <w:t>(a)</w:t>
      </w:r>
      <w:r>
        <w:tab/>
        <w:t>to submit or produce any document supporting or authenticating the document;</w:t>
      </w:r>
    </w:p>
    <w:p>
      <w:pPr>
        <w:pStyle w:val="nzIndenta"/>
      </w:pPr>
      <w:r>
        <w:tab/>
        <w:t>(b)</w:t>
      </w:r>
      <w:r>
        <w:tab/>
        <w:t>to provide specified information relating to the document;</w:t>
      </w:r>
    </w:p>
    <w:p>
      <w:pPr>
        <w:pStyle w:val="nzIndenta"/>
      </w:pPr>
      <w:r>
        <w:tab/>
        <w:t>(c)</w:t>
      </w:r>
      <w:r>
        <w:tab/>
        <w:t xml:space="preserve">to submit or produce evidence relating to a certification given in or with the document, including (without limitation) — </w:t>
      </w:r>
    </w:p>
    <w:p>
      <w:pPr>
        <w:pStyle w:val="nzIndenti"/>
      </w:pPr>
      <w:r>
        <w:tab/>
        <w:t>(i)</w:t>
      </w:r>
      <w:r>
        <w:tab/>
        <w:t>evidence showing the truth of the certification;</w:t>
      </w:r>
    </w:p>
    <w:p>
      <w:pPr>
        <w:pStyle w:val="nzIndenti"/>
      </w:pPr>
      <w:r>
        <w:tab/>
        <w:t>(ii)</w:t>
      </w:r>
      <w:r>
        <w:tab/>
        <w:t>evidence that the person who gave the certification was entitled to give it;</w:t>
      </w:r>
    </w:p>
    <w:p>
      <w:pPr>
        <w:pStyle w:val="nzIndenta"/>
      </w:pPr>
      <w:r>
        <w:tab/>
        <w:t>(d)</w:t>
      </w:r>
      <w:r>
        <w:tab/>
        <w:t>to verify any document, information, evidence, certification or other matter by statutory declaration.</w:t>
      </w:r>
    </w:p>
    <w:p>
      <w:pPr>
        <w:pStyle w:val="nz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nzIndenta"/>
      </w:pPr>
      <w:r>
        <w:tab/>
        <w:t>(a)</w:t>
      </w:r>
      <w:r>
        <w:tab/>
        <w:t>to give a certification in or in relation to the document;</w:t>
      </w:r>
    </w:p>
    <w:p>
      <w:pPr>
        <w:pStyle w:val="nzIndenta"/>
      </w:pPr>
      <w:r>
        <w:tab/>
        <w:t>(b)</w:t>
      </w:r>
      <w:r>
        <w:tab/>
        <w:t xml:space="preserve">to verify the identity and authority of — </w:t>
      </w:r>
    </w:p>
    <w:p>
      <w:pPr>
        <w:pStyle w:val="nzIndenti"/>
      </w:pPr>
      <w:r>
        <w:tab/>
        <w:t>(i)</w:t>
      </w:r>
      <w:r>
        <w:tab/>
        <w:t>any person who is a party to the conveyancing transaction to which the document relates;</w:t>
      </w:r>
    </w:p>
    <w:p>
      <w:pPr>
        <w:pStyle w:val="nzIndenti"/>
      </w:pPr>
      <w:r>
        <w:tab/>
        <w:t>(ii)</w:t>
      </w:r>
      <w:r>
        <w:tab/>
        <w:t>any person who signed or authorised the signing of the document.</w:t>
      </w:r>
    </w:p>
    <w:p>
      <w:pPr>
        <w:pStyle w:val="nzSubsection"/>
      </w:pPr>
      <w:r>
        <w:tab/>
        <w:t>(4)</w:t>
      </w:r>
      <w:r>
        <w:tab/>
        <w:t xml:space="preserve">A requirement made under subsection (2) or (3) — </w:t>
      </w:r>
    </w:p>
    <w:p>
      <w:pPr>
        <w:pStyle w:val="nzIndenta"/>
      </w:pPr>
      <w:r>
        <w:tab/>
        <w:t>(a)</w:t>
      </w:r>
      <w:r>
        <w:tab/>
        <w:t>must be given by notice served on the person to whom the requirement relates; and</w:t>
      </w:r>
    </w:p>
    <w:p>
      <w:pPr>
        <w:pStyle w:val="nzIndenta"/>
      </w:pPr>
      <w:r>
        <w:tab/>
        <w:t>(b)</w:t>
      </w:r>
      <w:r>
        <w:tab/>
        <w:t>must specify a period within which the requirement must be complied with; and</w:t>
      </w:r>
    </w:p>
    <w:p>
      <w:pPr>
        <w:pStyle w:val="nzIndenta"/>
      </w:pPr>
      <w:r>
        <w:tab/>
        <w:t>(c)</w:t>
      </w:r>
      <w:r>
        <w:tab/>
        <w:t>may specify how the requirement is to be complied with.</w:t>
      </w:r>
    </w:p>
    <w:p>
      <w:pPr>
        <w:pStyle w:val="nz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nzIndenta"/>
      </w:pPr>
      <w:r>
        <w:tab/>
        <w:t>(a)</w:t>
      </w:r>
      <w:r>
        <w:tab/>
        <w:t>may reject the document; and</w:t>
      </w:r>
    </w:p>
    <w:p>
      <w:pPr>
        <w:pStyle w:val="nzIndenta"/>
      </w:pPr>
      <w:r>
        <w:tab/>
        <w:t>(b)</w:t>
      </w:r>
      <w:r>
        <w:tab/>
        <w:t>if the document is rejected, must notify the refusal to the person lodging the document.</w:t>
      </w:r>
    </w:p>
    <w:p>
      <w:pPr>
        <w:pStyle w:val="nzSubsection"/>
      </w:pPr>
      <w:r>
        <w:tab/>
        <w:t>(6)</w:t>
      </w:r>
      <w:r>
        <w:tab/>
        <w:t>If a document is rejected under subsection (5), section 192(2) applies as if the document had been rejected under section 192(1).</w:t>
      </w:r>
    </w:p>
    <w:p>
      <w:pPr>
        <w:pStyle w:val="nzHeading5"/>
      </w:pPr>
      <w:bookmarkStart w:id="391" w:name="_Toc382914666"/>
      <w:r>
        <w:t>181B.</w:t>
      </w:r>
      <w:r>
        <w:tab/>
        <w:t>Commissioner and Registrar may require verification by statutory declaration</w:t>
      </w:r>
      <w:bookmarkEnd w:id="391"/>
    </w:p>
    <w:p>
      <w:pPr>
        <w:pStyle w:val="nz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nz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BlankClose"/>
      </w:pPr>
    </w:p>
    <w:p>
      <w:pPr>
        <w:pStyle w:val="nzHeading5"/>
      </w:pPr>
      <w:bookmarkStart w:id="392" w:name="_Toc382914667"/>
      <w:r>
        <w:rPr>
          <w:rStyle w:val="CharSectno"/>
        </w:rPr>
        <w:t>78</w:t>
      </w:r>
      <w:r>
        <w:t>.</w:t>
      </w:r>
      <w:r>
        <w:tab/>
        <w:t>Section 181 amended</w:t>
      </w:r>
      <w:bookmarkEnd w:id="392"/>
    </w:p>
    <w:p>
      <w:pPr>
        <w:pStyle w:val="nzSubsection"/>
      </w:pPr>
      <w:r>
        <w:tab/>
        <w:t>(1)</w:t>
      </w:r>
      <w:r>
        <w:tab/>
        <w:t>After section 181(1)(bb) insert:</w:t>
      </w:r>
    </w:p>
    <w:p>
      <w:pPr>
        <w:pStyle w:val="BlankOpen"/>
      </w:pPr>
    </w:p>
    <w:p>
      <w:pPr>
        <w:pStyle w:val="nzIndenta"/>
      </w:pPr>
      <w:r>
        <w:tab/>
        <w:t>(bc)</w:t>
      </w:r>
      <w:r>
        <w:tab/>
        <w:t xml:space="preserve">prescribing requirements relating to the lodgment, presentation, filing or deposit of documents with the Authority, the Commissioner or the Registrar, including (without limitation) — </w:t>
      </w:r>
    </w:p>
    <w:p>
      <w:pPr>
        <w:pStyle w:val="nzIndenti"/>
      </w:pPr>
      <w:r>
        <w:tab/>
        <w:t>(i)</w:t>
      </w:r>
      <w:r>
        <w:tab/>
        <w:t xml:space="preserve">the types of document that can be lodged electronically under the </w:t>
      </w:r>
      <w:r>
        <w:rPr>
          <w:i/>
        </w:rPr>
        <w:t>Electronic Conveyancing Act 2014</w:t>
      </w:r>
      <w:r>
        <w:t xml:space="preserve"> section 7(1);</w:t>
      </w:r>
    </w:p>
    <w:p>
      <w:pPr>
        <w:pStyle w:val="nz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nz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nzIndenti"/>
      </w:pPr>
      <w:r>
        <w:tab/>
        <w:t>(iv)</w:t>
      </w:r>
      <w:r>
        <w:tab/>
        <w:t>how long documents must be retained;</w:t>
      </w:r>
    </w:p>
    <w:p>
      <w:pPr>
        <w:pStyle w:val="nzIndenti"/>
      </w:pPr>
      <w:r>
        <w:tab/>
        <w:t>(v)</w:t>
      </w:r>
      <w:r>
        <w:tab/>
        <w:t xml:space="preserve">the documents required to support or authenticate a document lodged electronically under the </w:t>
      </w:r>
      <w:r>
        <w:rPr>
          <w:i/>
        </w:rPr>
        <w:t>Electronic Conveyancing Act 2014</w:t>
      </w:r>
      <w:r>
        <w:t xml:space="preserve"> section 7(1);</w:t>
      </w:r>
    </w:p>
    <w:p>
      <w:pPr>
        <w:pStyle w:val="nzIndenta"/>
      </w:pPr>
      <w:r>
        <w:tab/>
      </w:r>
      <w:r>
        <w:tab/>
        <w:t>and</w:t>
      </w:r>
    </w:p>
    <w:p>
      <w:pPr>
        <w:pStyle w:val="nz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nzIndenti"/>
      </w:pPr>
      <w:r>
        <w:tab/>
        <w:t>(i)</w:t>
      </w:r>
      <w:r>
        <w:tab/>
        <w:t>dispensing with, or authorising the Registrar to dispense with, any requirement of this Act to produce or present or deliver up to the Registrar, or to bring in or lodge, a duplicate certificate of title;</w:t>
      </w:r>
    </w:p>
    <w:p>
      <w:pPr>
        <w:pStyle w:val="nzIndenti"/>
      </w:pPr>
      <w:r>
        <w:tab/>
        <w:t>(ii)</w:t>
      </w:r>
      <w:r>
        <w:tab/>
        <w:t>prescribing how a duplicate certificate of title is to be dealt with if its production, presentation, delivery up, lodging or bringing in is dispensed with;</w:t>
      </w:r>
    </w:p>
    <w:p>
      <w:pPr>
        <w:pStyle w:val="nz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nz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nzIndenta"/>
      </w:pPr>
      <w:r>
        <w:tab/>
      </w:r>
      <w:r>
        <w:tab/>
        <w:t>and</w:t>
      </w:r>
    </w:p>
    <w:p>
      <w:pPr>
        <w:pStyle w:val="nzIndenta"/>
      </w:pPr>
      <w:r>
        <w:tab/>
        <w:t>(be)</w:t>
      </w:r>
      <w:r>
        <w:tab/>
        <w:t xml:space="preserve">prescribing requirements relating to certifications that must be included in or with documents lodged, presented, filed or deposited with the Authority, the Commissioner or the Registrar (whether electronically or in paper form), including (without limitation) — </w:t>
      </w:r>
    </w:p>
    <w:p>
      <w:pPr>
        <w:pStyle w:val="nzIndenti"/>
      </w:pPr>
      <w:r>
        <w:tab/>
        <w:t>(i)</w:t>
      </w:r>
      <w:r>
        <w:tab/>
        <w:t>the matters that are required to be certified;</w:t>
      </w:r>
    </w:p>
    <w:p>
      <w:pPr>
        <w:pStyle w:val="nzIndenti"/>
      </w:pPr>
      <w:r>
        <w:tab/>
        <w:t>(ii)</w:t>
      </w:r>
      <w:r>
        <w:tab/>
        <w:t>the persons or classes of persons who can give certifications;</w:t>
      </w:r>
    </w:p>
    <w:p>
      <w:pPr>
        <w:pStyle w:val="nzIndenti"/>
      </w:pPr>
      <w:r>
        <w:tab/>
        <w:t>(iii)</w:t>
      </w:r>
      <w:r>
        <w:tab/>
        <w:t>the form of certifications;</w:t>
      </w:r>
    </w:p>
    <w:p>
      <w:pPr>
        <w:pStyle w:val="nzIndenti"/>
      </w:pPr>
      <w:r>
        <w:tab/>
        <w:t>(iv)</w:t>
      </w:r>
      <w:r>
        <w:tab/>
        <w:t>the evidence showing the truth of a certification that must be retained and how long the evidence must be retained;</w:t>
      </w:r>
    </w:p>
    <w:p>
      <w:pPr>
        <w:pStyle w:val="nzIndenta"/>
      </w:pPr>
      <w:r>
        <w:tab/>
      </w:r>
      <w:r>
        <w:tab/>
        <w:t>and</w:t>
      </w:r>
    </w:p>
    <w:p>
      <w:pPr>
        <w:pStyle w:val="nzIndenta"/>
      </w:pPr>
      <w:r>
        <w:tab/>
        <w:t>(bf)</w:t>
      </w:r>
      <w:r>
        <w:tab/>
        <w:t>prescribing requirements relating to 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 and</w:t>
      </w:r>
    </w:p>
    <w:p>
      <w:pPr>
        <w:pStyle w:val="nzIndenta"/>
      </w:pPr>
      <w:r>
        <w:tab/>
        <w:t>(bg)</w:t>
      </w:r>
      <w:r>
        <w:tab/>
        <w:t xml:space="preserve">prescribing requirements relating to 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nzIndenti"/>
      </w:pPr>
      <w:r>
        <w:tab/>
        <w:t>(i)</w:t>
      </w:r>
      <w:r>
        <w:tab/>
        <w:t>requiring or permitting a consent, permission or approval to be endorsed, lodged or given by electronic means;</w:t>
      </w:r>
    </w:p>
    <w:p>
      <w:pPr>
        <w:pStyle w:val="nzIndenti"/>
      </w:pPr>
      <w:r>
        <w:tab/>
        <w:t>(ii)</w:t>
      </w:r>
      <w:r>
        <w:tab/>
        <w:t>requiring or permitting a consent, permission or approval that otherwise would be required or authorised to accompany or be endorsed on or lodged with a document to be lodged or given separately;</w:t>
      </w:r>
    </w:p>
    <w:p>
      <w:pPr>
        <w:pStyle w:val="nzIndenta"/>
      </w:pPr>
      <w:r>
        <w:tab/>
      </w:r>
      <w:r>
        <w:tab/>
        <w:t>and</w:t>
      </w:r>
    </w:p>
    <w:p>
      <w:pPr>
        <w:pStyle w:val="nzIndenta"/>
      </w:pPr>
      <w:r>
        <w:tab/>
        <w:t>(bh)</w:t>
      </w:r>
      <w:r>
        <w:tab/>
        <w:t xml:space="preserve">prescribing requirements relating to 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nzIndenti"/>
      </w:pPr>
      <w:r>
        <w:tab/>
        <w:t>(i)</w:t>
      </w:r>
      <w:r>
        <w:tab/>
        <w:t>the standards to which identity and authority are to be verified;</w:t>
      </w:r>
    </w:p>
    <w:p>
      <w:pPr>
        <w:pStyle w:val="nzIndenti"/>
      </w:pPr>
      <w:r>
        <w:tab/>
        <w:t>(ii)</w:t>
      </w:r>
      <w:r>
        <w:tab/>
        <w:t>the documents or classes of documents in relation to which verification requirements apply;</w:t>
      </w:r>
    </w:p>
    <w:p>
      <w:pPr>
        <w:pStyle w:val="nzIndenti"/>
      </w:pPr>
      <w:r>
        <w:tab/>
        <w:t>(iii)</w:t>
      </w:r>
      <w:r>
        <w:tab/>
        <w:t>the persons or classes of persons who can undertake verification;</w:t>
      </w:r>
    </w:p>
    <w:p>
      <w:pPr>
        <w:pStyle w:val="nzIndenti"/>
      </w:pPr>
      <w:r>
        <w:tab/>
        <w:t>(iv)</w:t>
      </w:r>
      <w:r>
        <w:tab/>
        <w:t>the evidence showing the steps taken to satisfy the verification requirements that must be retained and how long the evidence must be retained;</w:t>
      </w:r>
    </w:p>
    <w:p>
      <w:pPr>
        <w:pStyle w:val="nzIndenta"/>
      </w:pPr>
      <w:r>
        <w:tab/>
      </w:r>
      <w:r>
        <w:tab/>
        <w:t>and</w:t>
      </w:r>
    </w:p>
    <w:p>
      <w:pPr>
        <w:pStyle w:val="nzIndenta"/>
      </w:pPr>
      <w:r>
        <w:tab/>
        <w:t>(bi)</w:t>
      </w:r>
      <w:r>
        <w:tab/>
        <w:t>prescribing requirements relating to applications made under this Act to the Commissioner; and</w:t>
      </w:r>
    </w:p>
    <w:p>
      <w:pPr>
        <w:pStyle w:val="nz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pPr>
        <w:pStyle w:val="BlankClose"/>
      </w:pPr>
    </w:p>
    <w:p>
      <w:pPr>
        <w:pStyle w:val="nzSubsection"/>
      </w:pPr>
      <w:r>
        <w:tab/>
        <w:t>(2)</w:t>
      </w:r>
      <w:r>
        <w:tab/>
        <w:t>After section 181(3) insert:</w:t>
      </w:r>
    </w:p>
    <w:p>
      <w:pPr>
        <w:pStyle w:val="BlankOpen"/>
      </w:pPr>
    </w:p>
    <w:p>
      <w:pPr>
        <w:pStyle w:val="nzSubsection"/>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BlankClose"/>
      </w:pPr>
    </w:p>
    <w:p>
      <w:pPr>
        <w:pStyle w:val="nzHeading5"/>
      </w:pPr>
      <w:bookmarkStart w:id="393" w:name="_Toc382914668"/>
      <w:r>
        <w:rPr>
          <w:rStyle w:val="CharSectno"/>
        </w:rPr>
        <w:t>79</w:t>
      </w:r>
      <w:r>
        <w:t>.</w:t>
      </w:r>
      <w:r>
        <w:tab/>
        <w:t>Sections 182A and 182B inserted</w:t>
      </w:r>
      <w:bookmarkEnd w:id="393"/>
    </w:p>
    <w:p>
      <w:pPr>
        <w:pStyle w:val="nzSubsection"/>
      </w:pPr>
      <w:r>
        <w:tab/>
      </w:r>
      <w:r>
        <w:tab/>
        <w:t>After section 181 insert:</w:t>
      </w:r>
    </w:p>
    <w:p>
      <w:pPr>
        <w:pStyle w:val="BlankOpen"/>
      </w:pPr>
    </w:p>
    <w:p>
      <w:pPr>
        <w:pStyle w:val="nzHeading5"/>
      </w:pPr>
      <w:bookmarkStart w:id="394" w:name="_Toc382914669"/>
      <w:r>
        <w:t>182A.</w:t>
      </w:r>
      <w:r>
        <w:tab/>
        <w:t>Commissioner and Registrar may determine requirements</w:t>
      </w:r>
      <w:bookmarkEnd w:id="394"/>
    </w:p>
    <w:p>
      <w:pPr>
        <w:pStyle w:val="nzSubsection"/>
      </w:pPr>
      <w:r>
        <w:tab/>
        <w:t>(1)</w:t>
      </w:r>
      <w:r>
        <w:tab/>
        <w:t xml:space="preserve">The Commissioner or the Registrar may determine requirements relating to all or any of the following matters — </w:t>
      </w:r>
    </w:p>
    <w:p>
      <w:pPr>
        <w:pStyle w:val="nzIndenta"/>
      </w:pPr>
      <w:r>
        <w:tab/>
        <w:t>(a)</w:t>
      </w:r>
      <w:r>
        <w:tab/>
        <w:t xml:space="preserve">the lodgment, presentation, filing or deposit of documents with the Authority, the Commissioner or the Registrar, including (without limitation) — </w:t>
      </w:r>
    </w:p>
    <w:p>
      <w:pPr>
        <w:pStyle w:val="nzIndenti"/>
      </w:pPr>
      <w:r>
        <w:tab/>
        <w:t>(i)</w:t>
      </w:r>
      <w:r>
        <w:tab/>
        <w:t xml:space="preserve">the types of document that can be lodged electronically under the </w:t>
      </w:r>
      <w:r>
        <w:rPr>
          <w:i/>
        </w:rPr>
        <w:t>Electronic Conveyancing Act 2014</w:t>
      </w:r>
      <w:r>
        <w:t xml:space="preserve"> section 7(1);</w:t>
      </w:r>
    </w:p>
    <w:p>
      <w:pPr>
        <w:pStyle w:val="nz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nz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nzIndenti"/>
      </w:pPr>
      <w:r>
        <w:tab/>
        <w:t>(iv)</w:t>
      </w:r>
      <w:r>
        <w:tab/>
        <w:t>how long documents must be retained;</w:t>
      </w:r>
    </w:p>
    <w:p>
      <w:pPr>
        <w:pStyle w:val="nzIndenti"/>
      </w:pPr>
      <w:r>
        <w:tab/>
        <w:t>(v)</w:t>
      </w:r>
      <w:r>
        <w:tab/>
        <w:t xml:space="preserve">the documents required to support or authenticate a document lodged electronically under the </w:t>
      </w:r>
      <w:r>
        <w:rPr>
          <w:i/>
        </w:rPr>
        <w:t>Electronic Conveyancing Act 2014</w:t>
      </w:r>
      <w:r>
        <w:t xml:space="preserve"> section 7(1);</w:t>
      </w:r>
    </w:p>
    <w:p>
      <w:pPr>
        <w:pStyle w:val="nz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nzIndenti"/>
      </w:pPr>
      <w:r>
        <w:tab/>
        <w:t>(i)</w:t>
      </w:r>
      <w:r>
        <w:tab/>
        <w:t>dispensing with, or authorising the Registrar to dispense with, any requirement of this Act to produce or present or deliver up to the Registrar, or to bring in or lodge, a duplicate certificate of title;</w:t>
      </w:r>
    </w:p>
    <w:p>
      <w:pPr>
        <w:pStyle w:val="nzIndenti"/>
      </w:pPr>
      <w:r>
        <w:tab/>
        <w:t>(ii)</w:t>
      </w:r>
      <w:r>
        <w:tab/>
        <w:t>how a duplicate certificate of title is to be dealt with if its production, presentation, delivery up, lodging or bringing in is dispensed with;</w:t>
      </w:r>
    </w:p>
    <w:p>
      <w:pPr>
        <w:pStyle w:val="nz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nz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nzIndenta"/>
      </w:pPr>
      <w:r>
        <w:tab/>
        <w:t>(c)</w:t>
      </w:r>
      <w:r>
        <w:tab/>
        <w:t xml:space="preserve">certifications that must be included in or with documents lodged, presented or deposited with the Authority, the Commissioner or the Registrar (whether electronically or in paper form), including (without limitation) — </w:t>
      </w:r>
    </w:p>
    <w:p>
      <w:pPr>
        <w:pStyle w:val="nzIndenti"/>
      </w:pPr>
      <w:r>
        <w:tab/>
        <w:t>(i)</w:t>
      </w:r>
      <w:r>
        <w:tab/>
        <w:t>the matters that are required to be certified;</w:t>
      </w:r>
    </w:p>
    <w:p>
      <w:pPr>
        <w:pStyle w:val="nzIndenti"/>
      </w:pPr>
      <w:r>
        <w:tab/>
        <w:t>(ii)</w:t>
      </w:r>
      <w:r>
        <w:tab/>
        <w:t>the persons or classes of persons who may give certifications;</w:t>
      </w:r>
    </w:p>
    <w:p>
      <w:pPr>
        <w:pStyle w:val="nzIndenti"/>
      </w:pPr>
      <w:r>
        <w:tab/>
        <w:t>(iii)</w:t>
      </w:r>
      <w:r>
        <w:tab/>
        <w:t>the form of certifications;</w:t>
      </w:r>
    </w:p>
    <w:p>
      <w:pPr>
        <w:pStyle w:val="nzIndenti"/>
      </w:pPr>
      <w:r>
        <w:tab/>
        <w:t>(iv)</w:t>
      </w:r>
      <w:r>
        <w:tab/>
        <w:t>the evidence showing the truth of a certification that must be retained and how long the evidence must be retained;</w:t>
      </w:r>
    </w:p>
    <w:p>
      <w:pPr>
        <w:pStyle w:val="nzIndenta"/>
      </w:pPr>
      <w:r>
        <w:tab/>
        <w:t>(d)</w:t>
      </w:r>
      <w:r>
        <w:tab/>
        <w:t>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w:t>
      </w:r>
    </w:p>
    <w:p>
      <w:pPr>
        <w:pStyle w:val="nzIndenta"/>
      </w:pPr>
      <w:r>
        <w:tab/>
        <w:t>(e)</w:t>
      </w:r>
      <w:r>
        <w:tab/>
        <w: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nzIndenti"/>
      </w:pPr>
      <w:r>
        <w:tab/>
        <w:t>(i)</w:t>
      </w:r>
      <w:r>
        <w:tab/>
        <w:t>requiring or permitting a consent, permission or approval to be endorsed, lodged or given by electronic means;</w:t>
      </w:r>
    </w:p>
    <w:p>
      <w:pPr>
        <w:pStyle w:val="nzIndenti"/>
      </w:pPr>
      <w:r>
        <w:tab/>
        <w:t>(ii)</w:t>
      </w:r>
      <w:r>
        <w:tab/>
        <w:t>requiring or permitting a consent, permission or approval that otherwise would be required or authorised to accompany or be endorsed on or lodged with a document to be lodged or given separately;</w:t>
      </w:r>
    </w:p>
    <w:p>
      <w:pPr>
        <w:pStyle w:val="nzIndenta"/>
      </w:pPr>
      <w:r>
        <w:tab/>
        <w:t>(f)</w:t>
      </w:r>
      <w:r>
        <w:tab/>
        <w:t xml:space="preserve">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nzIndenti"/>
      </w:pPr>
      <w:r>
        <w:tab/>
        <w:t>(i)</w:t>
      </w:r>
      <w:r>
        <w:tab/>
        <w:t>the standards to which identity and authority are to be verified;</w:t>
      </w:r>
    </w:p>
    <w:p>
      <w:pPr>
        <w:pStyle w:val="nzIndenti"/>
      </w:pPr>
      <w:r>
        <w:tab/>
        <w:t>(ii)</w:t>
      </w:r>
      <w:r>
        <w:tab/>
        <w:t>the documents or classes of documents in relation to which verification requirements apply;</w:t>
      </w:r>
    </w:p>
    <w:p>
      <w:pPr>
        <w:pStyle w:val="nzIndenti"/>
      </w:pPr>
      <w:r>
        <w:tab/>
        <w:t>(iii)</w:t>
      </w:r>
      <w:r>
        <w:tab/>
        <w:t>the persons or classes of persons who can undertake verification;</w:t>
      </w:r>
    </w:p>
    <w:p>
      <w:pPr>
        <w:pStyle w:val="nzIndenti"/>
      </w:pPr>
      <w:r>
        <w:tab/>
        <w:t>(iv)</w:t>
      </w:r>
      <w:r>
        <w:tab/>
        <w:t>the evidence showing the steps taken to satisfy the verification requirements that must be retained and how long the evidence must be retained;</w:t>
      </w:r>
    </w:p>
    <w:p>
      <w:pPr>
        <w:pStyle w:val="nzIndenta"/>
      </w:pPr>
      <w:r>
        <w:tab/>
        <w:t>(g)</w:t>
      </w:r>
      <w:r>
        <w:tab/>
        <w:t>applications made under this Act to the Commissioner.</w:t>
      </w:r>
    </w:p>
    <w:p>
      <w:pPr>
        <w:pStyle w:val="nz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nz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nz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nzSubsection"/>
      </w:pPr>
      <w:r>
        <w:tab/>
        <w:t>(5)</w:t>
      </w:r>
      <w:r>
        <w:tab/>
        <w:t>This section does not limit the matters that may be prescribed under section 181.</w:t>
      </w:r>
    </w:p>
    <w:p>
      <w:pPr>
        <w:pStyle w:val="nzHeading5"/>
      </w:pPr>
      <w:bookmarkStart w:id="395" w:name="_Toc382914670"/>
      <w:r>
        <w:t>182B.</w:t>
      </w:r>
      <w:r>
        <w:tab/>
        <w:t>Publication of requirements</w:t>
      </w:r>
      <w:bookmarkEnd w:id="395"/>
    </w:p>
    <w:p>
      <w:pPr>
        <w:pStyle w:val="nzSubsection"/>
      </w:pPr>
      <w:r>
        <w:tab/>
        <w:t>(1)</w:t>
      </w:r>
      <w:r>
        <w:tab/>
        <w:t xml:space="preserve">In this section — </w:t>
      </w:r>
    </w:p>
    <w:p>
      <w:pPr>
        <w:pStyle w:val="nzDefstart"/>
      </w:pPr>
      <w:r>
        <w:tab/>
      </w:r>
      <w:r>
        <w:rPr>
          <w:rStyle w:val="CharDefText"/>
        </w:rPr>
        <w:t>requirement</w:t>
      </w:r>
      <w:r>
        <w:t xml:space="preserve"> means a requirement determined under section 182A;</w:t>
      </w:r>
    </w:p>
    <w:p>
      <w:pPr>
        <w:pStyle w:val="nzDefstart"/>
      </w:pPr>
      <w:r>
        <w:tab/>
      </w:r>
      <w:r>
        <w:rPr>
          <w:rStyle w:val="CharDefText"/>
        </w:rPr>
        <w:t>working day</w:t>
      </w:r>
      <w:r>
        <w:t xml:space="preserve"> means a day other than a Saturday, a Sunday or a public holiday throughout the State.</w:t>
      </w:r>
    </w:p>
    <w:p>
      <w:pPr>
        <w:pStyle w:val="nzSubsection"/>
      </w:pPr>
      <w:r>
        <w:tab/>
        <w:t>(2)</w:t>
      </w:r>
      <w:r>
        <w:tab/>
        <w:t xml:space="preserve">The Registrar must ensure — </w:t>
      </w:r>
    </w:p>
    <w:p>
      <w:pPr>
        <w:pStyle w:val="nzIndenta"/>
      </w:pPr>
      <w:r>
        <w:tab/>
        <w:t>(a)</w:t>
      </w:r>
      <w:r>
        <w:tab/>
        <w:t>that all current requirements are publicly available free of charge; and</w:t>
      </w:r>
    </w:p>
    <w:p>
      <w:pPr>
        <w:pStyle w:val="nzIndenta"/>
      </w:pPr>
      <w:r>
        <w:tab/>
        <w:t>(b)</w:t>
      </w:r>
      <w:r>
        <w:tab/>
        <w:t>that requirements, and any changes to requirements, are made publicly available at least 20 working days before the requirements or, as the case requires, the changes to them take effect.</w:t>
      </w:r>
    </w:p>
    <w:p>
      <w:pPr>
        <w:pStyle w:val="nz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nz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nzIndenta"/>
      </w:pPr>
      <w:r>
        <w:tab/>
        <w:t>(a)</w:t>
      </w:r>
      <w:r>
        <w:tab/>
        <w:t>by means of a website;</w:t>
      </w:r>
    </w:p>
    <w:p>
      <w:pPr>
        <w:pStyle w:val="nzIndenta"/>
      </w:pPr>
      <w:r>
        <w:tab/>
        <w:t>(b)</w:t>
      </w:r>
      <w:r>
        <w:tab/>
        <w:t>by publication in a practice manual, customer information bulletin or other similar publication issued by the Authority.</w:t>
      </w:r>
    </w:p>
    <w:p>
      <w:pPr>
        <w:pStyle w:val="BlankClose"/>
      </w:pPr>
    </w:p>
    <w:p>
      <w:pPr>
        <w:pStyle w:val="nzHeading5"/>
      </w:pPr>
      <w:bookmarkStart w:id="396" w:name="_Toc382914671"/>
      <w:r>
        <w:rPr>
          <w:rStyle w:val="CharSectno"/>
        </w:rPr>
        <w:t>80</w:t>
      </w:r>
      <w:r>
        <w:t>.</w:t>
      </w:r>
      <w:r>
        <w:tab/>
        <w:t>Section 188 amended</w:t>
      </w:r>
      <w:bookmarkEnd w:id="396"/>
    </w:p>
    <w:p>
      <w:pPr>
        <w:pStyle w:val="nzSubsection"/>
      </w:pPr>
      <w:r>
        <w:tab/>
      </w:r>
      <w:r>
        <w:tab/>
        <w:t>Delete section 188(8) and insert:</w:t>
      </w:r>
    </w:p>
    <w:p>
      <w:pPr>
        <w:pStyle w:val="BlankOpen"/>
      </w:pPr>
    </w:p>
    <w:p>
      <w:pPr>
        <w:pStyle w:val="nzSubsection"/>
      </w:pPr>
      <w:r>
        <w:tab/>
        <w:t>(8)</w:t>
      </w:r>
      <w:r>
        <w:tab/>
        <w:t xml:space="preserve">Despite any other provision of this Act, the Registrar may destroy any document that is lodged, presented, filed or deposited with the Authority or registered in its office if — </w:t>
      </w:r>
    </w:p>
    <w:p>
      <w:pPr>
        <w:pStyle w:val="nzIndenta"/>
      </w:pPr>
      <w:r>
        <w:tab/>
        <w:t>(a)</w:t>
      </w:r>
      <w:r>
        <w:tab/>
        <w:t>the Commissioner and the Registrar are of the opinion that the retention of the document serves no useful purpose; and</w:t>
      </w:r>
    </w:p>
    <w:p>
      <w:pPr>
        <w:pStyle w:val="nzIndenta"/>
      </w:pPr>
      <w:r>
        <w:tab/>
        <w:t>(b)</w:t>
      </w:r>
      <w:r>
        <w:tab/>
        <w:t xml:space="preserve">the Minister approves the destruction of — </w:t>
      </w:r>
    </w:p>
    <w:p>
      <w:pPr>
        <w:pStyle w:val="nzIndenti"/>
      </w:pPr>
      <w:r>
        <w:tab/>
        <w:t>(i)</w:t>
      </w:r>
      <w:r>
        <w:tab/>
        <w:t>the document; or</w:t>
      </w:r>
    </w:p>
    <w:p>
      <w:pPr>
        <w:pStyle w:val="nzIndenti"/>
      </w:pPr>
      <w:r>
        <w:tab/>
        <w:t>(ii)</w:t>
      </w:r>
      <w:r>
        <w:tab/>
        <w:t>a class of documents in which that document is included.</w:t>
      </w:r>
    </w:p>
    <w:p>
      <w:pPr>
        <w:pStyle w:val="nzSubsection"/>
      </w:pPr>
      <w:r>
        <w:tab/>
        <w:t>(9)</w:t>
      </w:r>
      <w:r>
        <w:tab/>
        <w:t>The destruction of a cancelled duplicate certificate of title does not require the Minister’s approval under subsection (8).</w:t>
      </w:r>
    </w:p>
    <w:p>
      <w:pPr>
        <w:pStyle w:val="BlankClose"/>
      </w:pPr>
    </w:p>
    <w:p>
      <w:pPr>
        <w:pStyle w:val="nzHeading5"/>
      </w:pPr>
      <w:bookmarkStart w:id="397" w:name="_Toc382914672"/>
      <w:r>
        <w:rPr>
          <w:rStyle w:val="CharSectno"/>
        </w:rPr>
        <w:t>81</w:t>
      </w:r>
      <w:r>
        <w:t>.</w:t>
      </w:r>
      <w:r>
        <w:tab/>
        <w:t>Section 189 amended</w:t>
      </w:r>
      <w:bookmarkEnd w:id="397"/>
    </w:p>
    <w:p>
      <w:pPr>
        <w:pStyle w:val="nzSubsection"/>
      </w:pPr>
      <w:r>
        <w:tab/>
      </w:r>
      <w:r>
        <w:tab/>
        <w:t>In section 189(1) delete “appearing on the face of any instrument” and insert:</w:t>
      </w:r>
    </w:p>
    <w:p>
      <w:pPr>
        <w:pStyle w:val="BlankOpen"/>
      </w:pPr>
    </w:p>
    <w:p>
      <w:pPr>
        <w:pStyle w:val="nzSubsection"/>
      </w:pPr>
      <w:r>
        <w:tab/>
      </w:r>
      <w:r>
        <w:tab/>
        <w:t>in any instrument (whether in paper or electronic form)</w:t>
      </w:r>
    </w:p>
    <w:p>
      <w:pPr>
        <w:pStyle w:val="BlankClose"/>
      </w:pPr>
    </w:p>
    <w:p>
      <w:pPr>
        <w:pStyle w:val="nzHeading5"/>
      </w:pPr>
      <w:bookmarkStart w:id="398" w:name="_Toc382914673"/>
      <w:r>
        <w:rPr>
          <w:rStyle w:val="CharSectno"/>
        </w:rPr>
        <w:t>82</w:t>
      </w:r>
      <w:r>
        <w:t>.</w:t>
      </w:r>
      <w:r>
        <w:tab/>
        <w:t>Sections 192A to 192E inserted</w:t>
      </w:r>
      <w:bookmarkEnd w:id="398"/>
    </w:p>
    <w:p>
      <w:pPr>
        <w:pStyle w:val="nzSubsection"/>
      </w:pPr>
      <w:r>
        <w:tab/>
      </w:r>
      <w:r>
        <w:tab/>
        <w:t>After section 191 insert:</w:t>
      </w:r>
    </w:p>
    <w:p>
      <w:pPr>
        <w:pStyle w:val="BlankOpen"/>
      </w:pPr>
    </w:p>
    <w:p>
      <w:pPr>
        <w:pStyle w:val="nzHeading5"/>
      </w:pPr>
      <w:bookmarkStart w:id="399" w:name="_Toc382914674"/>
      <w:r>
        <w:t>192A.</w:t>
      </w:r>
      <w:r>
        <w:tab/>
        <w:t>Registrar entitled to assume that lodging party has certain authorities from other interested parties</w:t>
      </w:r>
      <w:bookmarkEnd w:id="399"/>
    </w:p>
    <w:p>
      <w:pPr>
        <w:pStyle w:val="nzSubsection"/>
      </w:pPr>
      <w:r>
        <w:tab/>
        <w:t>(1)</w:t>
      </w:r>
      <w:r>
        <w:tab/>
        <w:t xml:space="preserve">In this section — </w:t>
      </w:r>
    </w:p>
    <w:p>
      <w:pPr>
        <w:pStyle w:val="nzDefstart"/>
      </w:pPr>
      <w:r>
        <w:tab/>
      </w:r>
      <w:r>
        <w:rPr>
          <w:rStyle w:val="CharDefText"/>
        </w:rPr>
        <w:t>lodge</w:t>
      </w:r>
      <w:r>
        <w:t xml:space="preserve"> includes deposit, present and file.</w:t>
      </w:r>
    </w:p>
    <w:p>
      <w:pPr>
        <w:pStyle w:val="nzSubsection"/>
      </w:pPr>
      <w:r>
        <w:tab/>
        <w:t>(2)</w:t>
      </w:r>
      <w:r>
        <w:tab/>
        <w:t xml:space="preserve">This section applies to any document that is lodged — </w:t>
      </w:r>
    </w:p>
    <w:p>
      <w:pPr>
        <w:pStyle w:val="nzIndenta"/>
      </w:pPr>
      <w:r>
        <w:tab/>
        <w:t>(a)</w:t>
      </w:r>
      <w:r>
        <w:tab/>
        <w:t>for registration; or</w:t>
      </w:r>
    </w:p>
    <w:p>
      <w:pPr>
        <w:pStyle w:val="nzIndenta"/>
      </w:pPr>
      <w:r>
        <w:tab/>
        <w:t>(b)</w:t>
      </w:r>
      <w:r>
        <w:tab/>
        <w:t>in relation to any land, title, estate or interest; or</w:t>
      </w:r>
    </w:p>
    <w:p>
      <w:pPr>
        <w:pStyle w:val="nzIndenta"/>
      </w:pPr>
      <w:r>
        <w:tab/>
        <w:t>(c)</w:t>
      </w:r>
      <w:r>
        <w:tab/>
        <w:t>in connection with any application or dealing.</w:t>
      </w:r>
    </w:p>
    <w:p>
      <w:pPr>
        <w:pStyle w:val="nz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nzIndenta"/>
      </w:pPr>
      <w:r>
        <w:tab/>
        <w:t>(a)</w:t>
      </w:r>
      <w:r>
        <w:tab/>
        <w:t>to lodge it;</w:t>
      </w:r>
    </w:p>
    <w:p>
      <w:pPr>
        <w:pStyle w:val="nzIndenta"/>
      </w:pPr>
      <w:r>
        <w:tab/>
        <w:t>(b)</w:t>
      </w:r>
      <w:r>
        <w:tab/>
        <w:t>if applicable, to withdraw it from registration;</w:t>
      </w:r>
    </w:p>
    <w:p>
      <w:pPr>
        <w:pStyle w:val="nzIndenta"/>
      </w:pPr>
      <w:r>
        <w:tab/>
        <w:t>(c)</w:t>
      </w:r>
      <w:r>
        <w:tab/>
        <w:t>to uplift it for amendment;</w:t>
      </w:r>
    </w:p>
    <w:p>
      <w:pPr>
        <w:pStyle w:val="nzIndenta"/>
      </w:pPr>
      <w:r>
        <w:tab/>
        <w:t>(d)</w:t>
      </w:r>
      <w:r>
        <w:tab/>
        <w:t>to do anything to or in relation to the document that a person claiming under, or having an interest in, the document could do if they had lodged it;</w:t>
      </w:r>
    </w:p>
    <w:p>
      <w:pPr>
        <w:pStyle w:val="nzIndenta"/>
      </w:pPr>
      <w:r>
        <w:tab/>
        <w:t>(e)</w:t>
      </w:r>
      <w:r>
        <w:tab/>
        <w:t>to receive requisitions, communications and notices in respect of it;</w:t>
      </w:r>
    </w:p>
    <w:p>
      <w:pPr>
        <w:pStyle w:val="nzIndenta"/>
      </w:pPr>
      <w:r>
        <w:tab/>
        <w:t>(f)</w:t>
      </w:r>
      <w:r>
        <w:tab/>
        <w:t xml:space="preserve">to attend to all other matters that may arise — </w:t>
      </w:r>
    </w:p>
    <w:p>
      <w:pPr>
        <w:pStyle w:val="nzIndenti"/>
      </w:pPr>
      <w:r>
        <w:tab/>
        <w:t>(i)</w:t>
      </w:r>
      <w:r>
        <w:tab/>
        <w:t>in the course of registration of the document (if applicable); or</w:t>
      </w:r>
    </w:p>
    <w:p>
      <w:pPr>
        <w:pStyle w:val="nzIndenti"/>
      </w:pPr>
      <w:r>
        <w:tab/>
        <w:t>(ii)</w:t>
      </w:r>
      <w:r>
        <w:tab/>
        <w:t>in the course of any other action that the Registrar is authorised under this Act or any other Act to take with respect to the document.</w:t>
      </w:r>
    </w:p>
    <w:p>
      <w:pPr>
        <w:pStyle w:val="nzSubsection"/>
      </w:pPr>
      <w:r>
        <w:tab/>
        <w:t>(4)</w:t>
      </w:r>
      <w:r>
        <w:tab/>
        <w:t xml:space="preserve">This section does not apply to any document lodged before the </w:t>
      </w:r>
      <w:r>
        <w:rPr>
          <w:i/>
        </w:rPr>
        <w:t>Electronic Conveyancing Act 2014</w:t>
      </w:r>
      <w:r>
        <w:t xml:space="preserve"> section 82 comes into operation.</w:t>
      </w:r>
    </w:p>
    <w:p>
      <w:pPr>
        <w:pStyle w:val="nzHeading5"/>
      </w:pPr>
      <w:bookmarkStart w:id="400" w:name="_Toc382914675"/>
      <w:r>
        <w:t>192B.</w:t>
      </w:r>
      <w:r>
        <w:tab/>
        <w:t>Registrar may refuse lodgment for non</w:t>
      </w:r>
      <w:r>
        <w:noBreakHyphen/>
        <w:t>compliance with certain requirements</w:t>
      </w:r>
      <w:bookmarkEnd w:id="400"/>
    </w:p>
    <w:p>
      <w:pPr>
        <w:pStyle w:val="nzSubsection"/>
      </w:pPr>
      <w:r>
        <w:tab/>
        <w:t>(1)</w:t>
      </w:r>
      <w:r>
        <w:tab/>
        <w:t xml:space="preserve">In this section — </w:t>
      </w:r>
    </w:p>
    <w:p>
      <w:pPr>
        <w:pStyle w:val="nzDefstart"/>
      </w:pPr>
      <w:r>
        <w:tab/>
      </w:r>
      <w:r>
        <w:rPr>
          <w:rStyle w:val="CharDefText"/>
        </w:rPr>
        <w:t>lodge</w:t>
      </w:r>
      <w:r>
        <w:t xml:space="preserve"> includes deposit, present and file.</w:t>
      </w:r>
    </w:p>
    <w:p>
      <w:pPr>
        <w:pStyle w:val="nzSubsection"/>
      </w:pPr>
      <w:r>
        <w:tab/>
        <w:t>(2)</w:t>
      </w:r>
      <w:r>
        <w:tab/>
        <w:t xml:space="preserve">The Registrar may refuse to accept a document for lodgment if — </w:t>
      </w:r>
    </w:p>
    <w:p>
      <w:pPr>
        <w:pStyle w:val="nzIndenta"/>
      </w:pPr>
      <w:r>
        <w:tab/>
        <w:t>(a)</w:t>
      </w:r>
      <w:r>
        <w:tab/>
        <w:t xml:space="preserve">the document does not comply with — </w:t>
      </w:r>
    </w:p>
    <w:p>
      <w:pPr>
        <w:pStyle w:val="nzIndenti"/>
      </w:pPr>
      <w:r>
        <w:tab/>
        <w:t>(i)</w:t>
      </w:r>
      <w:r>
        <w:tab/>
        <w:t>the requirements of this Act or any regulations made under this Act; or</w:t>
      </w:r>
    </w:p>
    <w:p>
      <w:pPr>
        <w:pStyle w:val="nzIndenti"/>
      </w:pPr>
      <w:r>
        <w:tab/>
        <w:t>(ii)</w:t>
      </w:r>
      <w:r>
        <w:tab/>
        <w:t>a requirement determined under section 182A; or</w:t>
      </w:r>
    </w:p>
    <w:p>
      <w:pPr>
        <w:pStyle w:val="nzIndenti"/>
      </w:pPr>
      <w:r>
        <w:tab/>
        <w:t>(iii)</w:t>
      </w:r>
      <w:r>
        <w:tab/>
        <w:t xml:space="preserve">the requirements of the </w:t>
      </w:r>
      <w:r>
        <w:rPr>
          <w:i/>
        </w:rPr>
        <w:t>Electronic Conveyancing Act 2014</w:t>
      </w:r>
      <w:r>
        <w:t xml:space="preserve"> or any participation rules;</w:t>
      </w:r>
    </w:p>
    <w:p>
      <w:pPr>
        <w:pStyle w:val="nzIndenta"/>
      </w:pPr>
      <w:r>
        <w:tab/>
      </w:r>
      <w:r>
        <w:tab/>
        <w:t>or</w:t>
      </w:r>
    </w:p>
    <w:p>
      <w:pPr>
        <w:pStyle w:val="nzIndenta"/>
      </w:pPr>
      <w:r>
        <w:tab/>
        <w:t>(b)</w:t>
      </w:r>
      <w:r>
        <w:tab/>
        <w:t>any requirement mentioned in paragraph (a)(i) to (iii) that relates to the lodging of the document is not complied with.</w:t>
      </w:r>
    </w:p>
    <w:p>
      <w:pPr>
        <w:pStyle w:val="nzSubsection"/>
      </w:pPr>
      <w:r>
        <w:tab/>
        <w:t>(3)</w:t>
      </w:r>
      <w:r>
        <w:tab/>
        <w:t>This section does not limit or affect any other obligation or power to refuse to accept a document for lodgment.</w:t>
      </w:r>
    </w:p>
    <w:p>
      <w:pPr>
        <w:pStyle w:val="nzHeading5"/>
      </w:pPr>
      <w:bookmarkStart w:id="401" w:name="_Toc382914676"/>
      <w:r>
        <w:t>192C.</w:t>
      </w:r>
      <w:r>
        <w:tab/>
        <w:t>Commissioner may refuse to take action if requirements not complied with</w:t>
      </w:r>
      <w:bookmarkEnd w:id="401"/>
    </w:p>
    <w:p>
      <w:pPr>
        <w:pStyle w:val="nzSubsection"/>
      </w:pPr>
      <w:r>
        <w:tab/>
        <w:t>(1)</w:t>
      </w:r>
      <w:r>
        <w:tab/>
        <w:t xml:space="preserve">The Commissioner may refuse to take any action that the Commissioner is required or authorised to take under this Act if — </w:t>
      </w:r>
    </w:p>
    <w:p>
      <w:pPr>
        <w:pStyle w:val="nzIndenta"/>
      </w:pPr>
      <w:r>
        <w:tab/>
        <w:t>(a)</w:t>
      </w:r>
      <w:r>
        <w:tab/>
        <w:t xml:space="preserve">the taking of that action is dependent on compliance with — </w:t>
      </w:r>
    </w:p>
    <w:p>
      <w:pPr>
        <w:pStyle w:val="nzIndenti"/>
      </w:pPr>
      <w:r>
        <w:tab/>
        <w:t>(i)</w:t>
      </w:r>
      <w:r>
        <w:tab/>
        <w:t>a requirement of this Act or any regulations made under this Act; or</w:t>
      </w:r>
    </w:p>
    <w:p>
      <w:pPr>
        <w:pStyle w:val="nzIndenti"/>
      </w:pPr>
      <w:r>
        <w:tab/>
        <w:t>(ii)</w:t>
      </w:r>
      <w:r>
        <w:tab/>
        <w:t>a requirement determined under section 182A; or</w:t>
      </w:r>
    </w:p>
    <w:p>
      <w:pPr>
        <w:pStyle w:val="nzIndenti"/>
      </w:pPr>
      <w:r>
        <w:tab/>
        <w:t>(iii)</w:t>
      </w:r>
      <w:r>
        <w:tab/>
        <w:t xml:space="preserve">a requirement of the </w:t>
      </w:r>
      <w:r>
        <w:rPr>
          <w:i/>
        </w:rPr>
        <w:t>Electronic Conveyancing Act 2014</w:t>
      </w:r>
      <w:r>
        <w:t xml:space="preserve"> or any participation rules;</w:t>
      </w:r>
    </w:p>
    <w:p>
      <w:pPr>
        <w:pStyle w:val="nzIndenta"/>
      </w:pPr>
      <w:r>
        <w:tab/>
      </w:r>
      <w:r>
        <w:tab/>
        <w:t>and</w:t>
      </w:r>
    </w:p>
    <w:p>
      <w:pPr>
        <w:pStyle w:val="nzIndenta"/>
      </w:pPr>
      <w:r>
        <w:tab/>
        <w:t>(b)</w:t>
      </w:r>
      <w:r>
        <w:tab/>
        <w:t>that requirement has not been complied with.</w:t>
      </w:r>
    </w:p>
    <w:p>
      <w:pPr>
        <w:pStyle w:val="nzSubsection"/>
      </w:pPr>
      <w:r>
        <w:tab/>
        <w:t>(2)</w:t>
      </w:r>
      <w:r>
        <w:tab/>
        <w:t xml:space="preserve">For the purposes of subsection (1), taking an action includes (without limiting subsection (1)) — </w:t>
      </w:r>
    </w:p>
    <w:p>
      <w:pPr>
        <w:pStyle w:val="nzIndenta"/>
      </w:pPr>
      <w:r>
        <w:tab/>
        <w:t>(a)</w:t>
      </w:r>
      <w:r>
        <w:tab/>
        <w:t>accepting an application under this Act or any regulations made under this Act; and</w:t>
      </w:r>
    </w:p>
    <w:p>
      <w:pPr>
        <w:pStyle w:val="nzIndenta"/>
      </w:pPr>
      <w:r>
        <w:tab/>
        <w:t>(b)</w:t>
      </w:r>
      <w:r>
        <w:tab/>
        <w:t>giving a direction to the Registrar.</w:t>
      </w:r>
    </w:p>
    <w:p>
      <w:pPr>
        <w:pStyle w:val="nz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nzSubsection"/>
      </w:pPr>
      <w:r>
        <w:tab/>
        <w:t>(4)</w:t>
      </w:r>
      <w:r>
        <w:tab/>
        <w:t xml:space="preserve">A notice given under subsection (3) — </w:t>
      </w:r>
    </w:p>
    <w:p>
      <w:pPr>
        <w:pStyle w:val="nzIndenta"/>
      </w:pPr>
      <w:r>
        <w:tab/>
        <w:t>(a)</w:t>
      </w:r>
      <w:r>
        <w:tab/>
        <w:t>must be served on the person to whom it is directed; and</w:t>
      </w:r>
    </w:p>
    <w:p>
      <w:pPr>
        <w:pStyle w:val="nzIndenta"/>
      </w:pPr>
      <w:r>
        <w:tab/>
        <w:t>(b)</w:t>
      </w:r>
      <w:r>
        <w:tab/>
        <w:t>must specify a period within which the non</w:t>
      </w:r>
      <w:r>
        <w:noBreakHyphen/>
        <w:t>compliance must be rectified; and</w:t>
      </w:r>
    </w:p>
    <w:p>
      <w:pPr>
        <w:pStyle w:val="nzIndenta"/>
      </w:pPr>
      <w:r>
        <w:tab/>
        <w:t>(c)</w:t>
      </w:r>
      <w:r>
        <w:tab/>
        <w:t>may specify how the non</w:t>
      </w:r>
      <w:r>
        <w:noBreakHyphen/>
        <w:t>compliance is to be rectified.</w:t>
      </w:r>
    </w:p>
    <w:p>
      <w:pPr>
        <w:pStyle w:val="nzSubsection"/>
      </w:pPr>
      <w:r>
        <w:tab/>
        <w:t>(5)</w:t>
      </w:r>
      <w:r>
        <w:tab/>
        <w:t>If a notice of non</w:t>
      </w:r>
      <w:r>
        <w:noBreakHyphen/>
        <w:t xml:space="preserve">compliance given under subsection (3) relates to a document — </w:t>
      </w:r>
    </w:p>
    <w:p>
      <w:pPr>
        <w:pStyle w:val="nzIndenta"/>
      </w:pPr>
      <w:r>
        <w:tab/>
        <w:t>(a)</w:t>
      </w:r>
      <w:r>
        <w:tab/>
        <w:t>the notice is to be taken to be a notice given under section 192(1) by the Registrar in relation to the document; and</w:t>
      </w:r>
    </w:p>
    <w:p>
      <w:pPr>
        <w:pStyle w:val="nzIndenta"/>
      </w:pPr>
      <w:r>
        <w:tab/>
        <w:t>(b)</w:t>
      </w:r>
      <w:r>
        <w:tab/>
        <w:t>section 192 applies accordingly with all necessary changes.</w:t>
      </w:r>
    </w:p>
    <w:p>
      <w:pPr>
        <w:pStyle w:val="nzSubsection"/>
      </w:pPr>
      <w:r>
        <w:tab/>
        <w:t>(6)</w:t>
      </w:r>
      <w:r>
        <w:tab/>
        <w:t>This section does not limit or affect any other obligation or power to refuse to take any action.</w:t>
      </w:r>
    </w:p>
    <w:p>
      <w:pPr>
        <w:pStyle w:val="nzHeading5"/>
      </w:pPr>
      <w:bookmarkStart w:id="402" w:name="_Toc382914677"/>
      <w:r>
        <w:t>192D.</w:t>
      </w:r>
      <w:r>
        <w:tab/>
        <w:t>Registrar may refuse registration, noting or recording for non</w:t>
      </w:r>
      <w:r>
        <w:noBreakHyphen/>
        <w:t>compliance with requirements</w:t>
      </w:r>
      <w:bookmarkEnd w:id="402"/>
    </w:p>
    <w:p>
      <w:pPr>
        <w:pStyle w:val="nzSubsection"/>
      </w:pPr>
      <w:r>
        <w:tab/>
        <w:t>(1)</w:t>
      </w:r>
      <w:r>
        <w:tab/>
        <w:t xml:space="preserve">In this section — </w:t>
      </w:r>
    </w:p>
    <w:p>
      <w:pPr>
        <w:pStyle w:val="nzDefstart"/>
      </w:pPr>
      <w:r>
        <w:tab/>
      </w:r>
      <w:r>
        <w:rPr>
          <w:rStyle w:val="CharDefText"/>
        </w:rPr>
        <w:t>lodge</w:t>
      </w:r>
      <w:r>
        <w:t xml:space="preserve"> includes deposit, present and file.</w:t>
      </w:r>
    </w:p>
    <w:p>
      <w:pPr>
        <w:pStyle w:val="nzSubsection"/>
      </w:pPr>
      <w:r>
        <w:tab/>
        <w:t>(2)</w:t>
      </w:r>
      <w:r>
        <w:tab/>
        <w:t xml:space="preserve">This section applies to any document that is lodged — </w:t>
      </w:r>
    </w:p>
    <w:p>
      <w:pPr>
        <w:pStyle w:val="nzIndenta"/>
      </w:pPr>
      <w:r>
        <w:tab/>
        <w:t>(a)</w:t>
      </w:r>
      <w:r>
        <w:tab/>
        <w:t>for registration; or</w:t>
      </w:r>
    </w:p>
    <w:p>
      <w:pPr>
        <w:pStyle w:val="nzIndenta"/>
      </w:pPr>
      <w:r>
        <w:tab/>
        <w:t>(b)</w:t>
      </w:r>
      <w:r>
        <w:tab/>
        <w:t>in relation to any land, title, estate or interest; or</w:t>
      </w:r>
    </w:p>
    <w:p>
      <w:pPr>
        <w:pStyle w:val="nzIndenta"/>
      </w:pPr>
      <w:r>
        <w:tab/>
        <w:t>(c)</w:t>
      </w:r>
      <w:r>
        <w:tab/>
        <w:t>in connection with any application or dealing.</w:t>
      </w:r>
    </w:p>
    <w:p>
      <w:pPr>
        <w:pStyle w:val="nzSubsection"/>
      </w:pPr>
      <w:r>
        <w:tab/>
        <w:t>(3)</w:t>
      </w:r>
      <w:r>
        <w:tab/>
        <w:t xml:space="preserve">The Registrar may refuse to register, note, file or record a document to which this section applies if — </w:t>
      </w:r>
    </w:p>
    <w:p>
      <w:pPr>
        <w:pStyle w:val="nzIndenta"/>
      </w:pPr>
      <w:r>
        <w:tab/>
        <w:t>(a)</w:t>
      </w:r>
      <w:r>
        <w:tab/>
        <w:t xml:space="preserve">the document does not comply with — </w:t>
      </w:r>
    </w:p>
    <w:p>
      <w:pPr>
        <w:pStyle w:val="nzIndenti"/>
      </w:pPr>
      <w:r>
        <w:tab/>
        <w:t>(i)</w:t>
      </w:r>
      <w:r>
        <w:tab/>
        <w:t>the requirements of this Act or any regulations made under this Act; or</w:t>
      </w:r>
    </w:p>
    <w:p>
      <w:pPr>
        <w:pStyle w:val="nzIndenti"/>
      </w:pPr>
      <w:r>
        <w:tab/>
        <w:t>(ii)</w:t>
      </w:r>
      <w:r>
        <w:tab/>
        <w:t>a requirement determined under section 182A; or</w:t>
      </w:r>
    </w:p>
    <w:p>
      <w:pPr>
        <w:pStyle w:val="nzIndenti"/>
      </w:pPr>
      <w:r>
        <w:tab/>
        <w:t>(iii)</w:t>
      </w:r>
      <w:r>
        <w:tab/>
        <w:t xml:space="preserve">the requirements of the </w:t>
      </w:r>
      <w:r>
        <w:rPr>
          <w:i/>
        </w:rPr>
        <w:t>Electronic Conveyancing Act 2014</w:t>
      </w:r>
      <w:r>
        <w:t xml:space="preserve"> or any participation rules;</w:t>
      </w:r>
    </w:p>
    <w:p>
      <w:pPr>
        <w:pStyle w:val="nzIndenta"/>
      </w:pPr>
      <w:r>
        <w:tab/>
      </w:r>
      <w:r>
        <w:tab/>
        <w:t>or</w:t>
      </w:r>
    </w:p>
    <w:p>
      <w:pPr>
        <w:pStyle w:val="nzIndenta"/>
      </w:pPr>
      <w:r>
        <w:tab/>
        <w:t>(b)</w:t>
      </w:r>
      <w:r>
        <w:tab/>
        <w:t>any requirement mentioned in paragraph (a)(i) to (iii) that relates to the registration, noting, filing or recording of the document is not complied with.</w:t>
      </w:r>
    </w:p>
    <w:p>
      <w:pPr>
        <w:pStyle w:val="nzSubsection"/>
      </w:pPr>
      <w:r>
        <w:tab/>
        <w:t>(4)</w:t>
      </w:r>
      <w:r>
        <w:tab/>
        <w:t xml:space="preserve">For the purposes of subsection (3), noting a document (the </w:t>
      </w:r>
      <w:r>
        <w:rPr>
          <w:rStyle w:val="CharDefText"/>
        </w:rPr>
        <w:t>first document</w:t>
      </w:r>
      <w:r>
        <w:t xml:space="preserve">) includes (without limiting subsection (3)) — </w:t>
      </w:r>
    </w:p>
    <w:p>
      <w:pPr>
        <w:pStyle w:val="nzIndenta"/>
      </w:pPr>
      <w:r>
        <w:tab/>
        <w:t>(a)</w:t>
      </w:r>
      <w:r>
        <w:tab/>
        <w:t>noting another document to the effect that a provision of the first document is incorporated in the other document; and</w:t>
      </w:r>
    </w:p>
    <w:p>
      <w:pPr>
        <w:pStyle w:val="nzIndenta"/>
      </w:pPr>
      <w:r>
        <w:tab/>
        <w:t>(b)</w:t>
      </w:r>
      <w:r>
        <w:tab/>
        <w:t>endorsing another document to an effect stated in the first document; and</w:t>
      </w:r>
    </w:p>
    <w:p>
      <w:pPr>
        <w:pStyle w:val="nzIndenta"/>
      </w:pPr>
      <w:r>
        <w:tab/>
        <w:t>(c)</w:t>
      </w:r>
      <w:r>
        <w:tab/>
        <w:t>removing a notification from, or modifying a notification in, another document in a way requested in the first document.</w:t>
      </w:r>
    </w:p>
    <w:p>
      <w:pPr>
        <w:pStyle w:val="nzSubsection"/>
      </w:pPr>
      <w:r>
        <w:tab/>
        <w:t>(5)</w:t>
      </w:r>
      <w:r>
        <w:tab/>
        <w:t>This section does not limit or affect any other obligation or power to refuse to register, note or record a document.</w:t>
      </w:r>
    </w:p>
    <w:p>
      <w:pPr>
        <w:pStyle w:val="nzHeading5"/>
      </w:pPr>
      <w:bookmarkStart w:id="403" w:name="_Toc382914678"/>
      <w:r>
        <w:t>192E.</w:t>
      </w:r>
      <w:r>
        <w:tab/>
        <w:t>Notice of non</w:t>
      </w:r>
      <w:r>
        <w:noBreakHyphen/>
        <w:t>compliance under section 192D</w:t>
      </w:r>
      <w:bookmarkEnd w:id="403"/>
    </w:p>
    <w:p>
      <w:pPr>
        <w:pStyle w:val="nz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nzSubsection"/>
      </w:pPr>
      <w:r>
        <w:tab/>
        <w:t>(2)</w:t>
      </w:r>
      <w:r>
        <w:tab/>
        <w:t xml:space="preserve">A notice given under subsection (1) — </w:t>
      </w:r>
    </w:p>
    <w:p>
      <w:pPr>
        <w:pStyle w:val="nzIndenta"/>
      </w:pPr>
      <w:r>
        <w:tab/>
        <w:t>(a)</w:t>
      </w:r>
      <w:r>
        <w:tab/>
        <w:t>must be served on the person who lodged the document; and</w:t>
      </w:r>
    </w:p>
    <w:p>
      <w:pPr>
        <w:pStyle w:val="nzIndenta"/>
      </w:pPr>
      <w:r>
        <w:tab/>
        <w:t>(b)</w:t>
      </w:r>
      <w:r>
        <w:tab/>
        <w:t>must specify a period within which the non</w:t>
      </w:r>
      <w:r>
        <w:noBreakHyphen/>
        <w:t>compliance must be rectified; and</w:t>
      </w:r>
    </w:p>
    <w:p>
      <w:pPr>
        <w:pStyle w:val="nzIndenta"/>
      </w:pPr>
      <w:r>
        <w:tab/>
        <w:t>(c)</w:t>
      </w:r>
      <w:r>
        <w:tab/>
        <w:t>may specify how the non</w:t>
      </w:r>
      <w:r>
        <w:noBreakHyphen/>
        <w:t>compliance is to be rectified.</w:t>
      </w:r>
    </w:p>
    <w:p>
      <w:pPr>
        <w:pStyle w:val="nzSubsection"/>
      </w:pPr>
      <w:r>
        <w:tab/>
        <w:t>(3)</w:t>
      </w:r>
      <w:r>
        <w:tab/>
        <w:t>If a notice of non</w:t>
      </w:r>
      <w:r>
        <w:noBreakHyphen/>
        <w:t xml:space="preserve">compliance is given under subsection (2) in relation to a document — </w:t>
      </w:r>
    </w:p>
    <w:p>
      <w:pPr>
        <w:pStyle w:val="nzIndenta"/>
      </w:pPr>
      <w:r>
        <w:tab/>
        <w:t>(a)</w:t>
      </w:r>
      <w:r>
        <w:tab/>
        <w:t>the notice is to be taken to be a notice given under section 192(1) in relation to the document; and</w:t>
      </w:r>
    </w:p>
    <w:p>
      <w:pPr>
        <w:pStyle w:val="nzIndenta"/>
      </w:pPr>
      <w:r>
        <w:tab/>
        <w:t>(b)</w:t>
      </w:r>
      <w:r>
        <w:tab/>
        <w:t>section 192 applies accordingly with all necessary changes.</w:t>
      </w:r>
    </w:p>
    <w:p>
      <w:pPr>
        <w:pStyle w:val="BlankClose"/>
      </w:pPr>
    </w:p>
    <w:p>
      <w:pPr>
        <w:pStyle w:val="nzHeading5"/>
      </w:pPr>
      <w:bookmarkStart w:id="404" w:name="_Toc382914679"/>
      <w:r>
        <w:rPr>
          <w:rStyle w:val="CharSectno"/>
        </w:rPr>
        <w:t>83</w:t>
      </w:r>
      <w:r>
        <w:t>.</w:t>
      </w:r>
      <w:r>
        <w:tab/>
        <w:t>Section 192 amended</w:t>
      </w:r>
      <w:bookmarkEnd w:id="404"/>
    </w:p>
    <w:p>
      <w:pPr>
        <w:pStyle w:val="nzSubsection"/>
      </w:pPr>
      <w:r>
        <w:tab/>
      </w:r>
      <w:r>
        <w:tab/>
        <w:t>In section 192(2)(b) delete “as a penalty”.</w:t>
      </w:r>
    </w:p>
    <w:p>
      <w:pPr>
        <w:pStyle w:val="nzHeading5"/>
      </w:pPr>
      <w:bookmarkStart w:id="405" w:name="_Toc382914680"/>
      <w:r>
        <w:rPr>
          <w:rStyle w:val="CharSectno"/>
        </w:rPr>
        <w:t>84</w:t>
      </w:r>
      <w:r>
        <w:t>.</w:t>
      </w:r>
      <w:r>
        <w:tab/>
        <w:t>Section 193 amended</w:t>
      </w:r>
      <w:bookmarkEnd w:id="405"/>
    </w:p>
    <w:p>
      <w:pPr>
        <w:pStyle w:val="nzSubsection"/>
      </w:pPr>
      <w:r>
        <w:tab/>
      </w:r>
      <w:r>
        <w:tab/>
        <w:t>In section 193 after “by this Act” insert:</w:t>
      </w:r>
    </w:p>
    <w:p>
      <w:pPr>
        <w:pStyle w:val="BlankOpen"/>
      </w:pPr>
    </w:p>
    <w:p>
      <w:pPr>
        <w:pStyle w:val="nzSubsection"/>
      </w:pPr>
      <w:r>
        <w:tab/>
      </w:r>
      <w:r>
        <w:tab/>
        <w:t xml:space="preserve">or the </w:t>
      </w:r>
      <w:r>
        <w:rPr>
          <w:i/>
        </w:rPr>
        <w:t>Electronic Conveyancing Act 2014</w:t>
      </w:r>
    </w:p>
    <w:p>
      <w:pPr>
        <w:pStyle w:val="BlankClose"/>
      </w:pPr>
    </w:p>
    <w:p>
      <w:pPr>
        <w:pStyle w:val="nzHeading5"/>
      </w:pPr>
      <w:bookmarkStart w:id="406" w:name="_Toc382914681"/>
      <w:r>
        <w:rPr>
          <w:rStyle w:val="CharSectno"/>
        </w:rPr>
        <w:t>85</w:t>
      </w:r>
      <w:r>
        <w:t>.</w:t>
      </w:r>
      <w:r>
        <w:tab/>
        <w:t>Section 198 amended</w:t>
      </w:r>
      <w:bookmarkEnd w:id="406"/>
    </w:p>
    <w:p>
      <w:pPr>
        <w:pStyle w:val="nzSubsection"/>
      </w:pPr>
      <w:r>
        <w:tab/>
      </w:r>
      <w:r>
        <w:tab/>
        <w:t>In section 198 delete “this Act.” and insert:</w:t>
      </w:r>
    </w:p>
    <w:p>
      <w:pPr>
        <w:pStyle w:val="BlankOpen"/>
      </w:pPr>
    </w:p>
    <w:p>
      <w:pPr>
        <w:pStyle w:val="nzSubsection"/>
      </w:pPr>
      <w:r>
        <w:tab/>
      </w:r>
      <w:r>
        <w:tab/>
        <w:t xml:space="preserve">this Act or the </w:t>
      </w:r>
      <w:r>
        <w:rPr>
          <w:i/>
        </w:rPr>
        <w:t>Electronic Conveyancing Act 2014</w:t>
      </w:r>
      <w:r>
        <w:t>.</w:t>
      </w:r>
    </w:p>
    <w:p>
      <w:pPr>
        <w:pStyle w:val="BlankClose"/>
      </w:pPr>
    </w:p>
    <w:p>
      <w:pPr>
        <w:pStyle w:val="nzHeading5"/>
      </w:pPr>
      <w:bookmarkStart w:id="407" w:name="_Toc382914682"/>
      <w:r>
        <w:rPr>
          <w:rStyle w:val="CharSectno"/>
        </w:rPr>
        <w:t>86</w:t>
      </w:r>
      <w:r>
        <w:t>.</w:t>
      </w:r>
      <w:r>
        <w:tab/>
        <w:t>Sections 214 to 214B replaced</w:t>
      </w:r>
      <w:bookmarkEnd w:id="407"/>
    </w:p>
    <w:p>
      <w:pPr>
        <w:pStyle w:val="nzSubsection"/>
      </w:pPr>
      <w:r>
        <w:tab/>
      </w:r>
      <w:r>
        <w:tab/>
        <w:t>Delete sections 214 to 214B and insert:</w:t>
      </w:r>
    </w:p>
    <w:p>
      <w:pPr>
        <w:pStyle w:val="BlankOpen"/>
      </w:pPr>
    </w:p>
    <w:p>
      <w:pPr>
        <w:pStyle w:val="nzHeading5"/>
      </w:pPr>
      <w:bookmarkStart w:id="408" w:name="_Toc382914683"/>
      <w:r>
        <w:t>214.</w:t>
      </w:r>
      <w:r>
        <w:tab/>
        <w:t>Offences</w:t>
      </w:r>
      <w:bookmarkEnd w:id="408"/>
    </w:p>
    <w:p>
      <w:pPr>
        <w:pStyle w:val="nzSubsection"/>
      </w:pPr>
      <w:r>
        <w:tab/>
        <w:t>(1)</w:t>
      </w:r>
      <w:r>
        <w:tab/>
        <w:t>A person must not do any of the things set out in subsection (3).</w:t>
      </w:r>
    </w:p>
    <w:p>
      <w:pPr>
        <w:pStyle w:val="nzPenstart"/>
      </w:pPr>
      <w:r>
        <w:tab/>
        <w:t>Penalty: imprisonment for 10 years and a fine of $100 000.</w:t>
      </w:r>
    </w:p>
    <w:p>
      <w:pPr>
        <w:pStyle w:val="nzPenstart"/>
      </w:pPr>
      <w:r>
        <w:tab/>
        <w:t>Summary conviction penalty: imprisonment for 3 years and a fine of $40 000.</w:t>
      </w:r>
    </w:p>
    <w:p>
      <w:pPr>
        <w:pStyle w:val="nzSubsection"/>
      </w:pPr>
      <w:r>
        <w:tab/>
        <w:t>(2)</w:t>
      </w:r>
      <w:r>
        <w:tab/>
        <w:t>An offence under subsection (1) is a crime.</w:t>
      </w:r>
    </w:p>
    <w:p>
      <w:pPr>
        <w:pStyle w:val="nzSubsection"/>
      </w:pPr>
      <w:r>
        <w:tab/>
        <w:t>(3)</w:t>
      </w:r>
      <w:r>
        <w:tab/>
        <w:t xml:space="preserve">The things to which subsection (1) applies are — </w:t>
      </w:r>
    </w:p>
    <w:p>
      <w:pPr>
        <w:pStyle w:val="nzIndenta"/>
      </w:pPr>
      <w:r>
        <w:tab/>
        <w:t>(a)</w:t>
      </w:r>
      <w:r>
        <w:tab/>
        <w:t xml:space="preserve">making any statement or declaration that the person making it knows is false or misleading in a material particular in — </w:t>
      </w:r>
    </w:p>
    <w:p>
      <w:pPr>
        <w:pStyle w:val="nzIndenti"/>
      </w:pPr>
      <w:r>
        <w:tab/>
        <w:t>(i)</w:t>
      </w:r>
      <w:r>
        <w:tab/>
        <w:t>any application under this Act; or</w:t>
      </w:r>
    </w:p>
    <w:p>
      <w:pPr>
        <w:pStyle w:val="nzIndenti"/>
      </w:pPr>
      <w:r>
        <w:tab/>
        <w:t>(ii)</w:t>
      </w:r>
      <w:r>
        <w:tab/>
        <w:t>any document lodged, deposited, presented or filed under this Act;</w:t>
      </w:r>
    </w:p>
    <w:p>
      <w:pPr>
        <w:pStyle w:val="nzIndenta"/>
      </w:pPr>
      <w:r>
        <w:tab/>
        <w:t>(b)</w:t>
      </w:r>
      <w:r>
        <w:tab/>
        <w:t>making or giving any certification required under this Act that the person making or giving it knows is false or misleading in a material particular;</w:t>
      </w:r>
    </w:p>
    <w:p>
      <w:pPr>
        <w:pStyle w:val="nzIndenta"/>
      </w:pPr>
      <w:r>
        <w:tab/>
        <w:t>(c)</w:t>
      </w:r>
      <w:r>
        <w:tab/>
        <w:t>providing to the Commissioner or Registrar any material, document, fact or information that the person providing it knows is false or misleading in a material particular;</w:t>
      </w:r>
    </w:p>
    <w:p>
      <w:pPr>
        <w:pStyle w:val="nzIndenta"/>
      </w:pPr>
      <w:r>
        <w:tab/>
        <w:t>(d)</w:t>
      </w:r>
      <w:r>
        <w:tab/>
        <w:t>suppressing, withholding or concealing from the Commissioner or Registrar any material, document, fact or information;</w:t>
      </w:r>
    </w:p>
    <w:p>
      <w:pPr>
        <w:pStyle w:val="nzIndenta"/>
      </w:pPr>
      <w:r>
        <w:tab/>
        <w:t>(e)</w:t>
      </w:r>
      <w:r>
        <w:tab/>
        <w:t>making any statutory declaration authorised or required under this Act that the person making it knows is false or misleading in a material particular;</w:t>
      </w:r>
    </w:p>
    <w:p>
      <w:pPr>
        <w:pStyle w:val="nzIndenta"/>
      </w:pPr>
      <w:r>
        <w:tab/>
        <w:t>(f)</w:t>
      </w:r>
      <w:r>
        <w:tab/>
        <w:t>giving evidence in the course of an examination before the Commissioner that the person giving it knows is false or misleading in a material particular;</w:t>
      </w:r>
    </w:p>
    <w:p>
      <w:pPr>
        <w:pStyle w:val="nzIndenta"/>
      </w:pPr>
      <w:r>
        <w:tab/>
        <w:t>(g)</w:t>
      </w:r>
      <w:r>
        <w:tab/>
        <w:t xml:space="preserve">fraudulently procuring — </w:t>
      </w:r>
    </w:p>
    <w:p>
      <w:pPr>
        <w:pStyle w:val="nzIndenti"/>
      </w:pPr>
      <w:r>
        <w:tab/>
        <w:t>(i)</w:t>
      </w:r>
      <w:r>
        <w:tab/>
        <w:t>a certificate of title or instrument; or</w:t>
      </w:r>
    </w:p>
    <w:p>
      <w:pPr>
        <w:pStyle w:val="nzIndenti"/>
      </w:pPr>
      <w:r>
        <w:tab/>
        <w:t>(ii)</w:t>
      </w:r>
      <w:r>
        <w:tab/>
        <w:t>an entry in the Register; or</w:t>
      </w:r>
    </w:p>
    <w:p>
      <w:pPr>
        <w:pStyle w:val="nzIndenti"/>
      </w:pPr>
      <w:r>
        <w:tab/>
        <w:t>(iii)</w:t>
      </w:r>
      <w:r>
        <w:tab/>
        <w:t>any erasure or alteration in any entry in the Register;</w:t>
      </w:r>
    </w:p>
    <w:p>
      <w:pPr>
        <w:pStyle w:val="nzIndenta"/>
      </w:pPr>
      <w:r>
        <w:tab/>
        <w:t>(h)</w:t>
      </w:r>
      <w:r>
        <w:tab/>
        <w:t xml:space="preserve">whether fraudulently or not, without lawful excuse — </w:t>
      </w:r>
    </w:p>
    <w:p>
      <w:pPr>
        <w:pStyle w:val="nzIndenti"/>
      </w:pPr>
      <w:r>
        <w:tab/>
        <w:t>(i)</w:t>
      </w:r>
      <w:r>
        <w:tab/>
        <w:t>defacing, erasing or altering any words, memorandum or diagram in or on any duplicate certificate or duplicate instrument; or</w:t>
      </w:r>
    </w:p>
    <w:p>
      <w:pPr>
        <w:pStyle w:val="nzIndenti"/>
      </w:pPr>
      <w:r>
        <w:tab/>
        <w:t>(ii)</w:t>
      </w:r>
      <w:r>
        <w:tab/>
        <w:t>destroying any duplicate certificate or duplicate instrument;</w:t>
      </w:r>
    </w:p>
    <w:p>
      <w:pPr>
        <w:pStyle w:val="nzIndenta"/>
      </w:pPr>
      <w:r>
        <w:tab/>
        <w:t>(i)</w:t>
      </w:r>
      <w:r>
        <w:tab/>
        <w:t xml:space="preserve">misleading or deceiving any person authorised to require an explanation or information in respect of — </w:t>
      </w:r>
    </w:p>
    <w:p>
      <w:pPr>
        <w:pStyle w:val="nzIndenti"/>
      </w:pPr>
      <w:r>
        <w:tab/>
        <w:t>(i)</w:t>
      </w:r>
      <w:r>
        <w:tab/>
        <w:t>any land, or the title to any land, under the operation of this Act; or</w:t>
      </w:r>
    </w:p>
    <w:p>
      <w:pPr>
        <w:pStyle w:val="nzIndenti"/>
      </w:pPr>
      <w:r>
        <w:tab/>
        <w:t>(ii)</w:t>
      </w:r>
      <w:r>
        <w:tab/>
        <w:t>any land, or the title to any land, that is the subject of an application to bring it under the operation of this Act; or</w:t>
      </w:r>
    </w:p>
    <w:p>
      <w:pPr>
        <w:pStyle w:val="nzIndenti"/>
      </w:pPr>
      <w:r>
        <w:tab/>
        <w:t>(iii)</w:t>
      </w:r>
      <w:r>
        <w:tab/>
        <w:t>any land or the title to any land in respect of which any dealing or transmission is proposed to be registered;</w:t>
      </w:r>
    </w:p>
    <w:p>
      <w:pPr>
        <w:pStyle w:val="nzIndenta"/>
      </w:pPr>
      <w:r>
        <w:tab/>
        <w:t>(j)</w:t>
      </w:r>
      <w:r>
        <w:tab/>
        <w:t>without reasonable excuse, neglecting to lodge with the Registrar a duplicate certificate of title or Crown lease when required to do so under this Act.</w:t>
      </w:r>
    </w:p>
    <w:p>
      <w:pPr>
        <w:pStyle w:val="nzHeading5"/>
      </w:pPr>
      <w:bookmarkStart w:id="409" w:name="_Toc382914684"/>
      <w:r>
        <w:t>214A.</w:t>
      </w:r>
      <w:r>
        <w:tab/>
        <w:t>Effect of fraud</w:t>
      </w:r>
      <w:bookmarkEnd w:id="409"/>
    </w:p>
    <w:p>
      <w:pPr>
        <w:pStyle w:val="nz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BlankClose"/>
      </w:pPr>
    </w:p>
    <w:p>
      <w:pPr>
        <w:pStyle w:val="nzHeading5"/>
      </w:pPr>
      <w:bookmarkStart w:id="410" w:name="_Toc382914685"/>
      <w:r>
        <w:rPr>
          <w:rStyle w:val="CharSectno"/>
        </w:rPr>
        <w:t>87</w:t>
      </w:r>
      <w:r>
        <w:t>.</w:t>
      </w:r>
      <w:r>
        <w:tab/>
        <w:t>Sections 232A and 232B inserted</w:t>
      </w:r>
      <w:bookmarkEnd w:id="410"/>
    </w:p>
    <w:p>
      <w:pPr>
        <w:pStyle w:val="nzSubsection"/>
      </w:pPr>
      <w:r>
        <w:tab/>
      </w:r>
      <w:r>
        <w:tab/>
        <w:t>After section 231 insert:</w:t>
      </w:r>
    </w:p>
    <w:p>
      <w:pPr>
        <w:pStyle w:val="BlankOpen"/>
      </w:pPr>
    </w:p>
    <w:p>
      <w:pPr>
        <w:pStyle w:val="nzHeading5"/>
      </w:pPr>
      <w:bookmarkStart w:id="411" w:name="_Toc382914686"/>
      <w:r>
        <w:t>232A.</w:t>
      </w:r>
      <w:r>
        <w:tab/>
        <w:t>Effect of dealing with duplicate certificate of title in accordance with requirements as alternative to production</w:t>
      </w:r>
      <w:bookmarkEnd w:id="411"/>
    </w:p>
    <w:p>
      <w:pPr>
        <w:pStyle w:val="nzSubsection"/>
      </w:pPr>
      <w:r>
        <w:tab/>
        <w:t>(1)</w:t>
      </w:r>
      <w:r>
        <w:tab/>
        <w:t xml:space="preserve">In this section — </w:t>
      </w:r>
    </w:p>
    <w:p>
      <w:pPr>
        <w:pStyle w:val="nzDefstart"/>
      </w:pPr>
      <w:r>
        <w:tab/>
      </w:r>
      <w:r>
        <w:rPr>
          <w:rStyle w:val="CharDefText"/>
        </w:rPr>
        <w:t>lodge</w:t>
      </w:r>
      <w:r>
        <w:t xml:space="preserve"> includes deposit, present and file;</w:t>
      </w:r>
    </w:p>
    <w:p>
      <w:pPr>
        <w:pStyle w:val="nzDefstart"/>
      </w:pPr>
      <w:r>
        <w:tab/>
      </w:r>
      <w:r>
        <w:rPr>
          <w:rStyle w:val="CharDefText"/>
        </w:rPr>
        <w:t>produce</w:t>
      </w:r>
      <w:r>
        <w:t xml:space="preserve"> includes present, deliver up, bring in and provide.</w:t>
      </w:r>
    </w:p>
    <w:p>
      <w:pPr>
        <w:pStyle w:val="nzSubsection"/>
      </w:pPr>
      <w:r>
        <w:tab/>
        <w:t>(2)</w:t>
      </w:r>
      <w:r>
        <w:tab/>
        <w:t xml:space="preserve">This section applies if — </w:t>
      </w:r>
    </w:p>
    <w:p>
      <w:pPr>
        <w:pStyle w:val="nzIndenta"/>
      </w:pPr>
      <w:r>
        <w:tab/>
        <w:t>(a)</w:t>
      </w:r>
      <w:r>
        <w:tab/>
        <w:t xml:space="preserve">a document is lodged — </w:t>
      </w:r>
    </w:p>
    <w:p>
      <w:pPr>
        <w:pStyle w:val="nzIndenti"/>
      </w:pPr>
      <w:r>
        <w:tab/>
        <w:t>(i)</w:t>
      </w:r>
      <w:r>
        <w:tab/>
        <w:t>for registration; or</w:t>
      </w:r>
    </w:p>
    <w:p>
      <w:pPr>
        <w:pStyle w:val="nzIndenti"/>
      </w:pPr>
      <w:r>
        <w:tab/>
        <w:t>(ii)</w:t>
      </w:r>
      <w:r>
        <w:tab/>
        <w:t>in relation to any land, title, estate or interest; or</w:t>
      </w:r>
    </w:p>
    <w:p>
      <w:pPr>
        <w:pStyle w:val="nzIndenti"/>
      </w:pPr>
      <w:r>
        <w:tab/>
        <w:t>(iii)</w:t>
      </w:r>
      <w:r>
        <w:tab/>
        <w:t>in connection with any application or dealing;</w:t>
      </w:r>
    </w:p>
    <w:p>
      <w:pPr>
        <w:pStyle w:val="nzIndenta"/>
      </w:pPr>
      <w:r>
        <w:tab/>
      </w:r>
      <w:r>
        <w:tab/>
        <w:t>and</w:t>
      </w:r>
    </w:p>
    <w:p>
      <w:pPr>
        <w:pStyle w:val="nzIndenta"/>
      </w:pPr>
      <w:r>
        <w:tab/>
        <w:t>(b)</w:t>
      </w:r>
      <w:r>
        <w:tab/>
        <w:t>a provision of this Act requires a duplicate certificate of title to be produced in connection with the lodging of that document; and</w:t>
      </w:r>
    </w:p>
    <w:p>
      <w:pPr>
        <w:pStyle w:val="nzIndenta"/>
      </w:pPr>
      <w:r>
        <w:tab/>
        <w:t>(c)</w:t>
      </w:r>
      <w:r>
        <w:tab/>
        <w:t xml:space="preserve">that duplicate certificate of title is not produced but is dealt with in another way in accordance with — </w:t>
      </w:r>
    </w:p>
    <w:p>
      <w:pPr>
        <w:pStyle w:val="nzIndenti"/>
      </w:pPr>
      <w:r>
        <w:tab/>
        <w:t>(i)</w:t>
      </w:r>
      <w:r>
        <w:tab/>
        <w:t>regulations made under this Act; or</w:t>
      </w:r>
    </w:p>
    <w:p>
      <w:pPr>
        <w:pStyle w:val="nzIndenti"/>
      </w:pPr>
      <w:r>
        <w:tab/>
        <w:t>(ii)</w:t>
      </w:r>
      <w:r>
        <w:tab/>
        <w:t>requirements determined under section 182A.</w:t>
      </w:r>
    </w:p>
    <w:p>
      <w:pPr>
        <w:pStyle w:val="nzSubsection"/>
      </w:pPr>
      <w:r>
        <w:tab/>
        <w:t>(3)</w:t>
      </w:r>
      <w:r>
        <w:tab/>
        <w:t xml:space="preserve">If this section applies — </w:t>
      </w:r>
    </w:p>
    <w:p>
      <w:pPr>
        <w:pStyle w:val="nzIndenta"/>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nz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nzHeading5"/>
      </w:pPr>
      <w:bookmarkStart w:id="412" w:name="_Toc382914687"/>
      <w:r>
        <w:t>232B.</w:t>
      </w:r>
      <w:r>
        <w:tab/>
        <w:t>Effect of using alternative means to provide consent, permission or approval</w:t>
      </w:r>
      <w:bookmarkEnd w:id="412"/>
    </w:p>
    <w:p>
      <w:pPr>
        <w:pStyle w:val="nzSubsection"/>
      </w:pPr>
      <w:r>
        <w:tab/>
        <w:t>(1)</w:t>
      </w:r>
      <w:r>
        <w:tab/>
        <w:t xml:space="preserve">This section applies if — </w:t>
      </w:r>
    </w:p>
    <w:p>
      <w:pPr>
        <w:pStyle w:val="nz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nzIndenta"/>
      </w:pPr>
      <w:r>
        <w:tab/>
        <w:t>(b)</w:t>
      </w:r>
      <w:r>
        <w:tab/>
        <w:t xml:space="preserve">the consent, permission or approval is not provided in the way required or authorised under this Act or the other written law but is provided in another way in accordance with — </w:t>
      </w:r>
    </w:p>
    <w:p>
      <w:pPr>
        <w:pStyle w:val="nzIndenti"/>
      </w:pPr>
      <w:r>
        <w:tab/>
        <w:t>(i)</w:t>
      </w:r>
      <w:r>
        <w:tab/>
        <w:t>regulations made under this Act; or</w:t>
      </w:r>
    </w:p>
    <w:p>
      <w:pPr>
        <w:pStyle w:val="nzIndenti"/>
      </w:pPr>
      <w:r>
        <w:tab/>
        <w:t>(ii)</w:t>
      </w:r>
      <w:r>
        <w:tab/>
        <w:t>requirements determined under section 182A.</w:t>
      </w:r>
    </w:p>
    <w:p>
      <w:pPr>
        <w:pStyle w:val="nzSubsection"/>
      </w:pPr>
      <w:r>
        <w:tab/>
        <w:t>(2)</w:t>
      </w:r>
      <w:r>
        <w:tab/>
        <w:t xml:space="preserve">If this section applies — </w:t>
      </w:r>
    </w:p>
    <w:p>
      <w:pPr>
        <w:pStyle w:val="nz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nzIndenta"/>
      </w:pPr>
      <w:r>
        <w:tab/>
        <w:t>(b)</w:t>
      </w:r>
      <w:r>
        <w:tab/>
        <w:t xml:space="preserve">for the purposes of this Act and any other written law, the consent, permission or approval provided as mentioned in subsection (1)(b) — </w:t>
      </w:r>
    </w:p>
    <w:p>
      <w:pPr>
        <w:pStyle w:val="nzIndenti"/>
      </w:pPr>
      <w:r>
        <w:tab/>
        <w:t>(i)</w:t>
      </w:r>
      <w:r>
        <w:tab/>
        <w:t>is to be taken to have been provided in the way required or authorised under this Act or, as the case requires, the other written law; and</w:t>
      </w:r>
    </w:p>
    <w:p>
      <w:pPr>
        <w:pStyle w:val="nzIndenti"/>
      </w:pPr>
      <w:r>
        <w:tab/>
        <w:t>(ii)</w:t>
      </w:r>
      <w:r>
        <w:tab/>
        <w:t>has the same effect as if it had been provided in the way required or authorised under this Act or, as the case requires, the other written law;</w:t>
      </w:r>
    </w:p>
    <w:p>
      <w:pPr>
        <w:pStyle w:val="nzIndenta"/>
      </w:pPr>
      <w:r>
        <w:tab/>
      </w:r>
      <w:r>
        <w:tab/>
        <w:t>and</w:t>
      </w:r>
    </w:p>
    <w:p>
      <w:pPr>
        <w:pStyle w:val="nz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BlankClose"/>
      </w:pPr>
    </w:p>
    <w:p>
      <w:pPr>
        <w:pStyle w:val="nzHeading5"/>
      </w:pPr>
      <w:bookmarkStart w:id="413" w:name="_Toc382914688"/>
      <w:r>
        <w:rPr>
          <w:rStyle w:val="CharSectno"/>
        </w:rPr>
        <w:t>88</w:t>
      </w:r>
      <w:r>
        <w:t>.</w:t>
      </w:r>
      <w:r>
        <w:tab/>
        <w:t>Section 234 amended</w:t>
      </w:r>
      <w:bookmarkEnd w:id="413"/>
    </w:p>
    <w:p>
      <w:pPr>
        <w:pStyle w:val="nzSubsection"/>
      </w:pPr>
      <w:r>
        <w:tab/>
      </w:r>
      <w:r>
        <w:tab/>
        <w:t>In section 234(1) delete “the said” and insert:</w:t>
      </w:r>
    </w:p>
    <w:p>
      <w:pPr>
        <w:pStyle w:val="BlankOpen"/>
      </w:pPr>
    </w:p>
    <w:p>
      <w:pPr>
        <w:pStyle w:val="nzSubsection"/>
      </w:pPr>
      <w:r>
        <w:tab/>
      </w:r>
      <w:r>
        <w:tab/>
        <w:t>this</w:t>
      </w:r>
    </w:p>
    <w:p>
      <w:pPr>
        <w:pStyle w:val="BlankClose"/>
      </w:pPr>
    </w:p>
    <w:p>
      <w:pPr>
        <w:pStyle w:val="nzHeading5"/>
      </w:pPr>
      <w:bookmarkStart w:id="414" w:name="_Toc382914689"/>
      <w:r>
        <w:rPr>
          <w:rStyle w:val="CharSectno"/>
        </w:rPr>
        <w:t>89</w:t>
      </w:r>
      <w:r>
        <w:t>.</w:t>
      </w:r>
      <w:r>
        <w:tab/>
        <w:t>Sections 238A and 238B inserted</w:t>
      </w:r>
      <w:bookmarkEnd w:id="414"/>
    </w:p>
    <w:p>
      <w:pPr>
        <w:pStyle w:val="nzSubsection"/>
      </w:pPr>
      <w:r>
        <w:tab/>
      </w:r>
      <w:r>
        <w:tab/>
        <w:t>After section 238 insert:</w:t>
      </w:r>
    </w:p>
    <w:p>
      <w:pPr>
        <w:pStyle w:val="BlankOpen"/>
      </w:pPr>
    </w:p>
    <w:p>
      <w:pPr>
        <w:pStyle w:val="nzHeading5"/>
      </w:pPr>
      <w:bookmarkStart w:id="415" w:name="_Toc382914690"/>
      <w:r>
        <w:t>238A.</w:t>
      </w:r>
      <w:r>
        <w:tab/>
        <w:t>Registrar’s copy to be definitive</w:t>
      </w:r>
      <w:bookmarkEnd w:id="415"/>
    </w:p>
    <w:p>
      <w:pPr>
        <w:pStyle w:val="nzSubsection"/>
      </w:pPr>
      <w:r>
        <w:tab/>
        <w:t>(1)</w:t>
      </w:r>
      <w:r>
        <w:tab/>
        <w:t xml:space="preserve">In this section — </w:t>
      </w:r>
    </w:p>
    <w:p>
      <w:pPr>
        <w:pStyle w:val="nzDefstart"/>
      </w:pPr>
      <w:r>
        <w:tab/>
      </w:r>
      <w:r>
        <w:rPr>
          <w:rStyle w:val="CharDefText"/>
        </w:rPr>
        <w:t>lodge</w:t>
      </w:r>
      <w:r>
        <w:t xml:space="preserve"> includes deposit, present and file.</w:t>
      </w:r>
    </w:p>
    <w:p>
      <w:pPr>
        <w:pStyle w:val="nz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nz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nzSubsection"/>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nzIndenta"/>
      </w:pPr>
      <w:r>
        <w:tab/>
        <w:t>(a)</w:t>
      </w:r>
      <w:r>
        <w:tab/>
        <w:t xml:space="preserve">is lodged electronically under the </w:t>
      </w:r>
      <w:r>
        <w:rPr>
          <w:i/>
        </w:rPr>
        <w:t>Electronic Conveyancing Act 2014</w:t>
      </w:r>
      <w:r>
        <w:t xml:space="preserve"> section 7(1); and</w:t>
      </w:r>
    </w:p>
    <w:p>
      <w:pPr>
        <w:pStyle w:val="nzIndenta"/>
      </w:pPr>
      <w:r>
        <w:tab/>
        <w:t>(b)</w:t>
      </w:r>
      <w:r>
        <w:tab/>
        <w:t>is registered, noted or recorded in the Register.</w:t>
      </w:r>
    </w:p>
    <w:p>
      <w:pPr>
        <w:pStyle w:val="nz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nzHeading5"/>
      </w:pPr>
      <w:bookmarkStart w:id="416" w:name="_Toc382914691"/>
      <w:r>
        <w:t>238B.</w:t>
      </w:r>
      <w:r>
        <w:tab/>
        <w:t>Resubmission of document lodged electronically if data capture defective</w:t>
      </w:r>
      <w:bookmarkEnd w:id="416"/>
    </w:p>
    <w:p>
      <w:pPr>
        <w:pStyle w:val="nzSubsection"/>
      </w:pPr>
      <w:r>
        <w:tab/>
        <w:t>(1)</w:t>
      </w:r>
      <w:r>
        <w:tab/>
        <w:t xml:space="preserve">This section applies if — </w:t>
      </w:r>
    </w:p>
    <w:p>
      <w:pPr>
        <w:pStyle w:val="nzIndenta"/>
      </w:pPr>
      <w:r>
        <w:tab/>
        <w:t>(a)</w:t>
      </w:r>
      <w:r>
        <w:tab/>
        <w:t xml:space="preserve">a document is lodged electronically under the </w:t>
      </w:r>
      <w:r>
        <w:rPr>
          <w:i/>
        </w:rPr>
        <w:t>Electronic Conveyancing Act 2014</w:t>
      </w:r>
      <w:r>
        <w:t xml:space="preserve"> section 7(1); and</w:t>
      </w:r>
    </w:p>
    <w:p>
      <w:pPr>
        <w:pStyle w:val="nzIndenta"/>
      </w:pPr>
      <w:r>
        <w:tab/>
        <w:t>(b)</w:t>
      </w:r>
      <w:r>
        <w:tab/>
        <w:t>for any reason it is impracticable to properly capture the data in the document.</w:t>
      </w:r>
    </w:p>
    <w:p>
      <w:pPr>
        <w:pStyle w:val="nzSubsection"/>
      </w:pPr>
      <w:r>
        <w:tab/>
        <w:t>(2)</w:t>
      </w:r>
      <w:r>
        <w:tab/>
        <w:t xml:space="preserve">If this section applies — </w:t>
      </w:r>
    </w:p>
    <w:p>
      <w:pPr>
        <w:pStyle w:val="nzIndenta"/>
      </w:pPr>
      <w:r>
        <w:tab/>
        <w:t>(a)</w:t>
      </w:r>
      <w:r>
        <w:tab/>
        <w:t>the Registrar may refuse to complete or to proceed with the registration of the document or, as the case requires, to make any entry or do any other act in relation to the document; and</w:t>
      </w:r>
    </w:p>
    <w:p>
      <w:pPr>
        <w:pStyle w:val="nzIndenta"/>
      </w:pPr>
      <w:r>
        <w:tab/>
        <w:t>(b)</w:t>
      </w:r>
      <w:r>
        <w:tab/>
        <w:t xml:space="preserve">the Registrar must — </w:t>
      </w:r>
    </w:p>
    <w:p>
      <w:pPr>
        <w:pStyle w:val="nzIndenti"/>
      </w:pPr>
      <w:r>
        <w:tab/>
        <w:t>(i)</w:t>
      </w:r>
      <w:r>
        <w:tab/>
        <w:t>notify the refusal to the subscriber lodging the document; and</w:t>
      </w:r>
    </w:p>
    <w:p>
      <w:pPr>
        <w:pStyle w:val="nzIndenti"/>
      </w:pPr>
      <w:r>
        <w:tab/>
        <w:t>(ii)</w:t>
      </w:r>
      <w:r>
        <w:tab/>
        <w:t>request the subscriber to resubmit the document.</w:t>
      </w:r>
    </w:p>
    <w:p>
      <w:pPr>
        <w:pStyle w:val="nzSubsection"/>
      </w:pPr>
      <w:r>
        <w:tab/>
        <w:t>(3)</w:t>
      </w:r>
      <w:r>
        <w:tab/>
        <w:t xml:space="preserve">If subsection (2) applies — </w:t>
      </w:r>
    </w:p>
    <w:p>
      <w:pPr>
        <w:pStyle w:val="nzIndenta"/>
      </w:pPr>
      <w:r>
        <w:tab/>
        <w:t>(a)</w:t>
      </w:r>
      <w:r>
        <w:tab/>
        <w:t>the priority of the document is not affected as long as it is resubmitted within 2 months after the date on which it was lodged or any longer period the Registrar allows; and</w:t>
      </w:r>
    </w:p>
    <w:p>
      <w:pPr>
        <w:pStyle w:val="nzIndenta"/>
      </w:pPr>
      <w:r>
        <w:tab/>
        <w:t>(b)</w:t>
      </w:r>
      <w:r>
        <w:tab/>
        <w:t>if the document is not resubmitted in accordance with this section within the period applicable under paragraph (a), it is to be taken never to have been lodged.</w:t>
      </w:r>
    </w:p>
    <w:p>
      <w:pPr>
        <w:pStyle w:val="nzSubsection"/>
      </w:pPr>
      <w:r>
        <w:tab/>
        <w:t>(4)</w:t>
      </w:r>
      <w:r>
        <w:tab/>
        <w:t xml:space="preserve">If subsection (3)(b) applies to the document, then — </w:t>
      </w:r>
    </w:p>
    <w:p>
      <w:pPr>
        <w:pStyle w:val="nz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nzIndenta"/>
      </w:pPr>
      <w:r>
        <w:tab/>
        <w:t>(b)</w:t>
      </w:r>
      <w:r>
        <w:tab/>
        <w:t xml:space="preserve">if paragraph (a) does not apply — </w:t>
      </w:r>
    </w:p>
    <w:p>
      <w:pPr>
        <w:pStyle w:val="nz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nzIndenti"/>
      </w:pPr>
      <w:r>
        <w:tab/>
        <w:t>(ii)</w:t>
      </w:r>
      <w:r>
        <w:tab/>
        <w:t>the prescribed amount is forfeited and must be dealt with under section 190; and</w:t>
      </w:r>
    </w:p>
    <w:p>
      <w:pPr>
        <w:pStyle w:val="nzIndenti"/>
      </w:pPr>
      <w:r>
        <w:tab/>
        <w:t>(iii)</w:t>
      </w:r>
      <w:r>
        <w:tab/>
        <w:t>the amount (if any) that is the difference between the fees and the prescribed amount must be returned to the subscriber that lodged the document when the document is withdrawn from lodgment.</w:t>
      </w:r>
    </w:p>
    <w:p>
      <w:pPr>
        <w:pStyle w:val="nzSubsection"/>
      </w:pPr>
      <w:r>
        <w:tab/>
        <w:t>(5)</w:t>
      </w:r>
      <w:r>
        <w:tab/>
        <w:t>This section is in addition to the powers conferred by section 192.</w:t>
      </w:r>
    </w:p>
    <w:p>
      <w:pPr>
        <w:pStyle w:val="BlankClose"/>
      </w:pPr>
    </w:p>
    <w:p>
      <w:pPr>
        <w:pStyle w:val="nzHeading5"/>
      </w:pPr>
      <w:bookmarkStart w:id="417" w:name="_Toc382914692"/>
      <w:r>
        <w:rPr>
          <w:rStyle w:val="CharSectno"/>
        </w:rPr>
        <w:t>90</w:t>
      </w:r>
      <w:r>
        <w:t>.</w:t>
      </w:r>
      <w:r>
        <w:tab/>
        <w:t>Section 239 amended</w:t>
      </w:r>
      <w:bookmarkEnd w:id="417"/>
    </w:p>
    <w:p>
      <w:pPr>
        <w:pStyle w:val="nzSubsection"/>
      </w:pPr>
      <w:r>
        <w:tab/>
      </w:r>
      <w:r>
        <w:tab/>
        <w:t>After section 239(3) insert:</w:t>
      </w:r>
    </w:p>
    <w:p>
      <w:pPr>
        <w:pStyle w:val="BlankOpen"/>
      </w:pPr>
    </w:p>
    <w:p>
      <w:pPr>
        <w:pStyle w:val="nzSubsection"/>
      </w:pPr>
      <w:r>
        <w:tab/>
        <w:t>(4)</w:t>
      </w:r>
      <w:r>
        <w:tab/>
        <w:t xml:space="preserve">Subsection (5) applies if — </w:t>
      </w:r>
    </w:p>
    <w:p>
      <w:pPr>
        <w:pStyle w:val="nzIndenta"/>
      </w:pPr>
      <w:r>
        <w:tab/>
        <w:t>(a)</w:t>
      </w:r>
      <w:r>
        <w:tab/>
        <w:t xml:space="preserve">2 or more counterpart documents are lodged electronically under the </w:t>
      </w:r>
      <w:r>
        <w:rPr>
          <w:i/>
        </w:rPr>
        <w:t>Electronic Conveyancing Act 2014</w:t>
      </w:r>
      <w:r>
        <w:t xml:space="preserve"> section 7(1); and</w:t>
      </w:r>
    </w:p>
    <w:p>
      <w:pPr>
        <w:pStyle w:val="nzIndenta"/>
      </w:pPr>
      <w:r>
        <w:tab/>
        <w:t>(b)</w:t>
      </w:r>
      <w:r>
        <w:tab/>
        <w:t>those counterpart documents are consolidated electronically into one document, with or without the addition of further material.</w:t>
      </w:r>
    </w:p>
    <w:p>
      <w:pPr>
        <w:pStyle w:val="nzSubsection"/>
      </w:pPr>
      <w:r>
        <w:tab/>
        <w:t>(5)</w:t>
      </w:r>
      <w:r>
        <w:tab/>
        <w:t xml:space="preserve">If this subsection applies — </w:t>
      </w:r>
    </w:p>
    <w:p>
      <w:pPr>
        <w:pStyle w:val="nzIndenta"/>
      </w:pPr>
      <w:r>
        <w:tab/>
        <w:t>(a)</w:t>
      </w:r>
      <w:r>
        <w:tab/>
        <w:t>the consolidated document, but not those counterpart documents, is available for inspection in accordance with subsection (1); and</w:t>
      </w:r>
    </w:p>
    <w:p>
      <w:pPr>
        <w:pStyle w:val="nzIndenta"/>
      </w:pPr>
      <w:r>
        <w:tab/>
        <w:t>(b)</w:t>
      </w:r>
      <w:r>
        <w:tab/>
        <w:t>a copy of the consolidated document, but not of the counterpart documents, may be produced in accordance with subsection (2); and</w:t>
      </w:r>
    </w:p>
    <w:p>
      <w:pPr>
        <w:pStyle w:val="nzIndenta"/>
      </w:pPr>
      <w:r>
        <w:tab/>
        <w:t>(c)</w:t>
      </w:r>
      <w:r>
        <w:tab/>
        <w:t>a copy or print</w:t>
      </w:r>
      <w:r>
        <w:noBreakHyphen/>
        <w:t>out of the consolidated document, but not of the counterpart documents, is available for purchase in accordance with subsection (3); and</w:t>
      </w:r>
    </w:p>
    <w:p>
      <w:pPr>
        <w:pStyle w:val="nzIndenta"/>
      </w:pPr>
      <w:r>
        <w:tab/>
        <w:t>(d)</w:t>
      </w:r>
      <w:r>
        <w:tab/>
        <w:t>section 239B applies as if the consolidated document, but not the counterpart documents, were a document referred to in subsection (1).</w:t>
      </w:r>
    </w:p>
    <w:p>
      <w:pPr>
        <w:pStyle w:val="BlankClose"/>
      </w:pPr>
    </w:p>
    <w:p>
      <w:pPr>
        <w:pStyle w:val="nzHeading5"/>
      </w:pPr>
      <w:bookmarkStart w:id="418" w:name="_Toc382914693"/>
      <w:r>
        <w:rPr>
          <w:rStyle w:val="CharSectno"/>
        </w:rPr>
        <w:t>91</w:t>
      </w:r>
      <w:r>
        <w:t>.</w:t>
      </w:r>
      <w:r>
        <w:tab/>
        <w:t>Section 239B amended</w:t>
      </w:r>
      <w:bookmarkEnd w:id="418"/>
    </w:p>
    <w:p>
      <w:pPr>
        <w:pStyle w:val="nzSubsection"/>
      </w:pPr>
      <w:r>
        <w:tab/>
      </w:r>
      <w:r>
        <w:tab/>
        <w:t>In section 239B(1)(a) and (b) delete “and sealed”.</w:t>
      </w:r>
    </w:p>
    <w:p>
      <w:pPr>
        <w:pStyle w:val="nzHeading5"/>
      </w:pPr>
      <w:bookmarkStart w:id="419" w:name="_Toc382914694"/>
      <w:r>
        <w:rPr>
          <w:rStyle w:val="CharSectno"/>
        </w:rPr>
        <w:t>92</w:t>
      </w:r>
      <w:r>
        <w:t>.</w:t>
      </w:r>
      <w:r>
        <w:tab/>
        <w:t>Section 240 amended</w:t>
      </w:r>
      <w:bookmarkEnd w:id="419"/>
    </w:p>
    <w:p>
      <w:pPr>
        <w:pStyle w:val="nzSubsection"/>
      </w:pPr>
      <w:r>
        <w:tab/>
        <w:t>(1)</w:t>
      </w:r>
      <w:r>
        <w:tab/>
        <w:t>In section 240(1):</w:t>
      </w:r>
    </w:p>
    <w:p>
      <w:pPr>
        <w:pStyle w:val="nzIndenta"/>
      </w:pPr>
      <w:r>
        <w:tab/>
        <w:t>(a)</w:t>
      </w:r>
      <w:r>
        <w:tab/>
        <w:t>in paragraph (c) delete “number.” and insert:</w:t>
      </w:r>
    </w:p>
    <w:p>
      <w:pPr>
        <w:pStyle w:val="BlankOpen"/>
      </w:pPr>
    </w:p>
    <w:p>
      <w:pPr>
        <w:pStyle w:val="nzIndenta"/>
      </w:pPr>
      <w:r>
        <w:tab/>
      </w:r>
      <w:r>
        <w:tab/>
        <w:t>number; or</w:t>
      </w:r>
    </w:p>
    <w:p>
      <w:pPr>
        <w:pStyle w:val="BlankClose"/>
      </w:pPr>
    </w:p>
    <w:p>
      <w:pPr>
        <w:pStyle w:val="nzIndenta"/>
      </w:pPr>
      <w:r>
        <w:tab/>
        <w:t>(b)</w:t>
      </w:r>
      <w:r>
        <w:tab/>
        <w:t>after paragraph (c) insert:</w:t>
      </w:r>
    </w:p>
    <w:p>
      <w:pPr>
        <w:pStyle w:val="BlankOpen"/>
      </w:pPr>
    </w:p>
    <w:p>
      <w:pPr>
        <w:pStyle w:val="nzIndenta"/>
      </w:pPr>
      <w:r>
        <w:tab/>
        <w:t>(d)</w:t>
      </w:r>
      <w:r>
        <w:tab/>
        <w:t>by sending the notice by electronic means in accordance with the regulations.</w:t>
      </w:r>
    </w:p>
    <w:p>
      <w:pPr>
        <w:pStyle w:val="BlankClose"/>
      </w:pPr>
    </w:p>
    <w:p>
      <w:pPr>
        <w:pStyle w:val="nzSubsection"/>
      </w:pPr>
      <w:r>
        <w:tab/>
        <w:t>(2)</w:t>
      </w:r>
      <w:r>
        <w:tab/>
        <w:t>In section 240(3):</w:t>
      </w:r>
    </w:p>
    <w:p>
      <w:pPr>
        <w:pStyle w:val="nzIndenta"/>
      </w:pPr>
      <w:r>
        <w:tab/>
        <w:t>(a)</w:t>
      </w:r>
      <w:r>
        <w:tab/>
        <w:t>in paragraph (b)(ii) delete “transmission.” and insert:</w:t>
      </w:r>
    </w:p>
    <w:p>
      <w:pPr>
        <w:pStyle w:val="BlankOpen"/>
      </w:pPr>
    </w:p>
    <w:p>
      <w:pPr>
        <w:pStyle w:val="nzIndenta"/>
      </w:pPr>
      <w:r>
        <w:tab/>
      </w:r>
      <w:r>
        <w:tab/>
        <w:t>transmission;</w:t>
      </w:r>
    </w:p>
    <w:p>
      <w:pPr>
        <w:pStyle w:val="BlankClose"/>
      </w:pPr>
    </w:p>
    <w:p>
      <w:pPr>
        <w:pStyle w:val="nzIndenta"/>
      </w:pPr>
      <w:r>
        <w:tab/>
        <w:t>(b)</w:t>
      </w:r>
      <w:r>
        <w:tab/>
        <w:t>after paragraph (b) insert:</w:t>
      </w:r>
    </w:p>
    <w:p>
      <w:pPr>
        <w:pStyle w:val="BlankOpen"/>
      </w:pPr>
    </w:p>
    <w:p>
      <w:pPr>
        <w:pStyle w:val="nzIndenta"/>
      </w:pPr>
      <w:r>
        <w:tab/>
      </w:r>
      <w:r>
        <w:tab/>
        <w:t>and</w:t>
      </w:r>
    </w:p>
    <w:p>
      <w:pPr>
        <w:pStyle w:val="nzIndenta"/>
      </w:pPr>
      <w:r>
        <w:tab/>
        <w:t>(c)</w:t>
      </w:r>
      <w:r>
        <w:tab/>
        <w:t>service by electronic means is deemed to be effected as prescribed in the regulations.</w:t>
      </w:r>
    </w:p>
    <w:p>
      <w:pPr>
        <w:pStyle w:val="BlankClose"/>
      </w:pPr>
    </w:p>
    <w:p>
      <w:pPr>
        <w:pStyle w:val="nzHeading5"/>
      </w:pPr>
      <w:bookmarkStart w:id="420" w:name="_Toc382914695"/>
      <w:r>
        <w:rPr>
          <w:rStyle w:val="CharSectno"/>
        </w:rPr>
        <w:t>93</w:t>
      </w:r>
      <w:r>
        <w:t>.</w:t>
      </w:r>
      <w:r>
        <w:tab/>
        <w:t>Section 240A replaced</w:t>
      </w:r>
      <w:bookmarkEnd w:id="420"/>
    </w:p>
    <w:p>
      <w:pPr>
        <w:pStyle w:val="nzSubsection"/>
      </w:pPr>
      <w:r>
        <w:tab/>
      </w:r>
      <w:r>
        <w:tab/>
        <w:t>Delete section 240A and insert:</w:t>
      </w:r>
    </w:p>
    <w:p>
      <w:pPr>
        <w:pStyle w:val="BlankOpen"/>
      </w:pPr>
    </w:p>
    <w:p>
      <w:pPr>
        <w:pStyle w:val="nzHeading5"/>
      </w:pPr>
      <w:bookmarkStart w:id="421" w:name="_Toc382914696"/>
      <w:r>
        <w:t>240A.</w:t>
      </w:r>
      <w:r>
        <w:tab/>
        <w:t>Notification of change of address, fax number or way of receiving notices electronically</w:t>
      </w:r>
      <w:bookmarkEnd w:id="421"/>
    </w:p>
    <w:p>
      <w:pPr>
        <w:pStyle w:val="nzSubsection"/>
      </w:pPr>
      <w:r>
        <w:tab/>
        <w:t>(1)</w:t>
      </w:r>
      <w:r>
        <w:tab/>
        <w:t xml:space="preserve">In this section — </w:t>
      </w:r>
    </w:p>
    <w:p>
      <w:pPr>
        <w:pStyle w:val="nzDefstart"/>
      </w:pPr>
      <w:r>
        <w:tab/>
      </w:r>
      <w:r>
        <w:rPr>
          <w:rStyle w:val="CharDefText"/>
        </w:rPr>
        <w:t>notification details</w:t>
      </w:r>
      <w:r>
        <w:t xml:space="preserve"> means — </w:t>
      </w:r>
    </w:p>
    <w:p>
      <w:pPr>
        <w:pStyle w:val="nzDefpara"/>
      </w:pPr>
      <w:r>
        <w:tab/>
        <w:t>(a)</w:t>
      </w:r>
      <w:r>
        <w:tab/>
        <w:t>an address for service; or</w:t>
      </w:r>
    </w:p>
    <w:p>
      <w:pPr>
        <w:pStyle w:val="nzDefpara"/>
      </w:pPr>
      <w:r>
        <w:tab/>
        <w:t>(b)</w:t>
      </w:r>
      <w:r>
        <w:tab/>
        <w:t>a facsimile number for service; or</w:t>
      </w:r>
    </w:p>
    <w:p>
      <w:pPr>
        <w:pStyle w:val="nzDefpara"/>
      </w:pPr>
      <w:r>
        <w:tab/>
        <w:t>(c)</w:t>
      </w:r>
      <w:r>
        <w:tab/>
        <w:t>a way of receiving notices electronically.</w:t>
      </w:r>
    </w:p>
    <w:p>
      <w:pPr>
        <w:pStyle w:val="nzSubsection"/>
      </w:pPr>
      <w:r>
        <w:tab/>
        <w:t>(2)</w:t>
      </w:r>
      <w:r>
        <w:tab/>
        <w:t xml:space="preserve">A person may apply to the Registrar to — </w:t>
      </w:r>
    </w:p>
    <w:p>
      <w:pPr>
        <w:pStyle w:val="nzIndenta"/>
      </w:pPr>
      <w:r>
        <w:tab/>
        <w:t>(a)</w:t>
      </w:r>
      <w:r>
        <w:tab/>
        <w:t>change the record of the person’s notification details that have been specified in an approved form for the purposes of section 240 or in a caveat; or</w:t>
      </w:r>
    </w:p>
    <w:p>
      <w:pPr>
        <w:pStyle w:val="nzIndenta"/>
      </w:pPr>
      <w:r>
        <w:tab/>
        <w:t>(b)</w:t>
      </w:r>
      <w:r>
        <w:tab/>
        <w:t>notify the Registrar of any change to the notification details recorded in the Register in respect of the person.</w:t>
      </w:r>
    </w:p>
    <w:p>
      <w:pPr>
        <w:pStyle w:val="nzSubsection"/>
      </w:pPr>
      <w:r>
        <w:tab/>
        <w:t>(3)</w:t>
      </w:r>
      <w:r>
        <w:tab/>
        <w:t>An application must be in an approved form and accompanied by the prescribed fee.</w:t>
      </w:r>
    </w:p>
    <w:p>
      <w:pPr>
        <w:pStyle w:val="nzSubsection"/>
      </w:pPr>
      <w:r>
        <w:tab/>
        <w:t>(4)</w:t>
      </w:r>
      <w:r>
        <w:tab/>
        <w:t>On receiving an application, the Registrar, if satisfied that it would be in order to do so, must alter the notification details accordingly.</w:t>
      </w:r>
    </w:p>
    <w:p>
      <w:pPr>
        <w:pStyle w:val="BlankClose"/>
      </w:pPr>
    </w:p>
    <w:p>
      <w:pPr>
        <w:pStyle w:val="nzHeading5"/>
      </w:pPr>
      <w:bookmarkStart w:id="422" w:name="_Toc382914697"/>
      <w:r>
        <w:rPr>
          <w:rStyle w:val="CharSectno"/>
        </w:rPr>
        <w:t>94</w:t>
      </w:r>
      <w:r>
        <w:t>.</w:t>
      </w:r>
      <w:r>
        <w:tab/>
        <w:t>Part XV inserted</w:t>
      </w:r>
      <w:bookmarkEnd w:id="422"/>
    </w:p>
    <w:p>
      <w:pPr>
        <w:pStyle w:val="nzSubsection"/>
      </w:pPr>
      <w:r>
        <w:tab/>
      </w:r>
      <w:r>
        <w:tab/>
        <w:t>After section 243 insert:</w:t>
      </w:r>
    </w:p>
    <w:p>
      <w:pPr>
        <w:pStyle w:val="BlankOpen"/>
      </w:pPr>
    </w:p>
    <w:p>
      <w:pPr>
        <w:pStyle w:val="nzHeading2"/>
      </w:pPr>
      <w:bookmarkStart w:id="423" w:name="_Toc373331483"/>
      <w:bookmarkStart w:id="424" w:name="_Toc373331674"/>
      <w:bookmarkStart w:id="425" w:name="_Toc382567533"/>
      <w:bookmarkStart w:id="426" w:name="_Toc382568212"/>
      <w:bookmarkStart w:id="427" w:name="_Toc382914507"/>
      <w:bookmarkStart w:id="428" w:name="_Toc382914698"/>
      <w:r>
        <w:t>Part XV</w:t>
      </w:r>
      <w:r>
        <w:rPr>
          <w:b w:val="0"/>
        </w:rPr>
        <w:t> </w:t>
      </w:r>
      <w:r>
        <w:t>—</w:t>
      </w:r>
      <w:r>
        <w:rPr>
          <w:b w:val="0"/>
        </w:rPr>
        <w:t> </w:t>
      </w:r>
      <w:r>
        <w:t xml:space="preserve">Transitional provisions for </w:t>
      </w:r>
      <w:r>
        <w:rPr>
          <w:i/>
        </w:rPr>
        <w:t>Electronic Conveyancing Act 2014</w:t>
      </w:r>
      <w:bookmarkEnd w:id="423"/>
      <w:bookmarkEnd w:id="424"/>
      <w:bookmarkEnd w:id="425"/>
      <w:bookmarkEnd w:id="426"/>
      <w:bookmarkEnd w:id="427"/>
      <w:bookmarkEnd w:id="428"/>
    </w:p>
    <w:p>
      <w:pPr>
        <w:pStyle w:val="nzHeading5"/>
      </w:pPr>
      <w:bookmarkStart w:id="429" w:name="_Toc382914699"/>
      <w:r>
        <w:t>244.</w:t>
      </w:r>
      <w:r>
        <w:tab/>
        <w:t>Term used: amending Act</w:t>
      </w:r>
      <w:bookmarkEnd w:id="429"/>
    </w:p>
    <w:p>
      <w:pPr>
        <w:pStyle w:val="nzSubsection"/>
      </w:pPr>
      <w:r>
        <w:tab/>
      </w:r>
      <w:r>
        <w:tab/>
        <w:t xml:space="preserve">In this Part — </w:t>
      </w:r>
    </w:p>
    <w:p>
      <w:pPr>
        <w:pStyle w:val="nzDefstart"/>
      </w:pPr>
      <w:r>
        <w:tab/>
      </w:r>
      <w:r>
        <w:rPr>
          <w:rStyle w:val="CharDefText"/>
        </w:rPr>
        <w:t>amending Act</w:t>
      </w:r>
      <w:r>
        <w:t xml:space="preserve"> means the </w:t>
      </w:r>
      <w:r>
        <w:rPr>
          <w:i/>
        </w:rPr>
        <w:t>Electronic Conveyancing Act 2014</w:t>
      </w:r>
      <w:r>
        <w:t>.</w:t>
      </w:r>
    </w:p>
    <w:p>
      <w:pPr>
        <w:pStyle w:val="nzHeading5"/>
      </w:pPr>
      <w:bookmarkStart w:id="430" w:name="_Toc382914700"/>
      <w:r>
        <w:t>245.</w:t>
      </w:r>
      <w:r>
        <w:tab/>
        <w:t>Transitional provision for section 52(2)</w:t>
      </w:r>
      <w:bookmarkEnd w:id="430"/>
    </w:p>
    <w:p>
      <w:pPr>
        <w:pStyle w:val="nzSubsection"/>
      </w:pPr>
      <w:r>
        <w:tab/>
      </w:r>
      <w:r>
        <w:tab/>
        <w:t>An instrument referred to in section 52(2) (as replaced by the amending Act) includes an instrument presented for registration before the day on which the amending Act section 67 comes into operation.</w:t>
      </w:r>
    </w:p>
    <w:p>
      <w:pPr>
        <w:pStyle w:val="nzHeading5"/>
      </w:pPr>
      <w:bookmarkStart w:id="431" w:name="_Toc382914701"/>
      <w:r>
        <w:t>246.</w:t>
      </w:r>
      <w:r>
        <w:tab/>
        <w:t>Transitional provision for section 105(4)</w:t>
      </w:r>
      <w:bookmarkEnd w:id="431"/>
    </w:p>
    <w:p>
      <w:pPr>
        <w:pStyle w:val="nzSubsection"/>
      </w:pPr>
      <w:r>
        <w:tab/>
      </w:r>
      <w:r>
        <w:tab/>
        <w:t>Section 105(4) (as inserted by the amending Act) applies only to and in relation to instruments registered after the amending Act section 73 comes into operation.</w:t>
      </w:r>
    </w:p>
    <w:p>
      <w:pPr>
        <w:pStyle w:val="nzHeading5"/>
      </w:pPr>
      <w:bookmarkStart w:id="432" w:name="_Toc382914702"/>
      <w:r>
        <w:t>247.</w:t>
      </w:r>
      <w:r>
        <w:tab/>
        <w:t>Transitional provision for section 182A (requirements)</w:t>
      </w:r>
      <w:bookmarkEnd w:id="432"/>
    </w:p>
    <w:p>
      <w:pPr>
        <w:pStyle w:val="nzSubsection"/>
      </w:pPr>
      <w:r>
        <w:tab/>
        <w:t>(1)</w:t>
      </w:r>
      <w:r>
        <w:tab/>
        <w:t xml:space="preserve">This section applies to any statement that — </w:t>
      </w:r>
    </w:p>
    <w:p>
      <w:pPr>
        <w:pStyle w:val="nzIndenta"/>
      </w:pPr>
      <w:r>
        <w:tab/>
        <w:t>(a)</w:t>
      </w:r>
      <w:r>
        <w:tab/>
        <w:t>is included in any practice manual, customer information bulletin or other similar publication issued by the Authority before the amending Act section 79 comes into operation; and</w:t>
      </w:r>
    </w:p>
    <w:p>
      <w:pPr>
        <w:pStyle w:val="nzIndenta"/>
      </w:pPr>
      <w:r>
        <w:tab/>
        <w:t>(b)</w:t>
      </w:r>
      <w:r>
        <w:tab/>
        <w:t>relates to any matter in relation to which a requirement can be determined under section 182A(1); and</w:t>
      </w:r>
    </w:p>
    <w:p>
      <w:pPr>
        <w:pStyle w:val="nzIndenta"/>
      </w:pPr>
      <w:r>
        <w:tab/>
        <w:t>(c)</w:t>
      </w:r>
      <w:r>
        <w:tab/>
        <w:t>specifies or has the effect of specifying a requirement in relation to one of those matters; and</w:t>
      </w:r>
    </w:p>
    <w:p>
      <w:pPr>
        <w:pStyle w:val="nzIndenta"/>
      </w:pPr>
      <w:r>
        <w:tab/>
        <w:t>(d)</w:t>
      </w:r>
      <w:r>
        <w:tab/>
        <w:t>has not been superseded or overridden by any other statement included in any publication of the kind mentioned in paragraph (a) and issued before the amending Act section 79 comes into operation.</w:t>
      </w:r>
    </w:p>
    <w:p>
      <w:pPr>
        <w:pStyle w:val="nzSubsection"/>
      </w:pPr>
      <w:r>
        <w:tab/>
        <w:t>(2)</w:t>
      </w:r>
      <w:r>
        <w:tab/>
        <w:t>A statement to which this section applies is to be taken to be a requirement determined under section 182A in the same terms as the original statement, and to continue in force under and subject to this Act.</w:t>
      </w:r>
    </w:p>
    <w:p>
      <w:pPr>
        <w:pStyle w:val="BlankClose"/>
      </w:pPr>
    </w:p>
    <w:p>
      <w:pPr>
        <w:pStyle w:val="nzHeading5"/>
      </w:pPr>
      <w:bookmarkStart w:id="433" w:name="_Toc382914703"/>
      <w:r>
        <w:rPr>
          <w:rStyle w:val="CharSectno"/>
        </w:rPr>
        <w:t>95</w:t>
      </w:r>
      <w:r>
        <w:t>.</w:t>
      </w:r>
      <w:r>
        <w:tab/>
        <w:t>Twenty</w:t>
      </w:r>
      <w:r>
        <w:noBreakHyphen/>
        <w:t>fifth Schedule deleted</w:t>
      </w:r>
      <w:bookmarkEnd w:id="433"/>
    </w:p>
    <w:p>
      <w:pPr>
        <w:pStyle w:val="nzSubsection"/>
      </w:pPr>
      <w:r>
        <w:tab/>
      </w:r>
      <w:r>
        <w:tab/>
        <w:t>Delete the Twenty</w:t>
      </w:r>
      <w:r>
        <w:noBreakHyphen/>
        <w:t>fifth Schedule.</w:t>
      </w:r>
    </w:p>
    <w:p>
      <w:pPr>
        <w:pStyle w:val="BlankClose"/>
      </w:pPr>
    </w:p>
    <w:p>
      <w:pPr>
        <w:pStyle w:val="BlankClose"/>
      </w:pP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434" w:name="_Toc383511680"/>
      <w:r>
        <w:rPr>
          <w:sz w:val="28"/>
        </w:rPr>
        <w:t>Defined Terms</w:t>
      </w:r>
      <w:bookmarkEnd w:id="4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435" w:name="DefinedTerms"/>
      <w:bookmarkEnd w:id="435"/>
      <w:r>
        <w:t>address</w:t>
      </w:r>
      <w:r>
        <w:tab/>
        <w:t>240(2)</w:t>
      </w:r>
    </w:p>
    <w:p>
      <w:pPr>
        <w:pStyle w:val="DefinedTerms"/>
      </w:pPr>
      <w:r>
        <w:t>affected land</w:t>
      </w:r>
      <w:r>
        <w:tab/>
        <w:t>104A</w:t>
      </w:r>
    </w:p>
    <w:p>
      <w:pPr>
        <w:pStyle w:val="DefinedTerms"/>
      </w:pPr>
      <w:r>
        <w:t>agreement</w:t>
      </w:r>
      <w:r>
        <w:tab/>
        <w:t>104M</w:t>
      </w:r>
    </w:p>
    <w:p>
      <w:pPr>
        <w:pStyle w:val="DefinedTerms"/>
      </w:pPr>
      <w:r>
        <w:t>agreement land</w:t>
      </w:r>
      <w:r>
        <w:tab/>
        <w:t>104M</w:t>
      </w:r>
    </w:p>
    <w:p>
      <w:pPr>
        <w:pStyle w:val="DefinedTerms"/>
      </w:pPr>
      <w:r>
        <w:t>annuitant</w:t>
      </w:r>
      <w:r>
        <w:tab/>
        <w:t>4(1)</w:t>
      </w:r>
    </w:p>
    <w:p>
      <w:pPr>
        <w:pStyle w:val="DefinedTerms"/>
      </w:pPr>
      <w:r>
        <w:t>annuity</w:t>
      </w:r>
      <w:r>
        <w:tab/>
        <w:t>4(1)</w:t>
      </w:r>
    </w:p>
    <w:p>
      <w:pPr>
        <w:pStyle w:val="DefinedTerms"/>
      </w:pPr>
      <w:r>
        <w:t>approved form</w:t>
      </w:r>
      <w:r>
        <w:tab/>
        <w:t>4(1), 81K</w:t>
      </w:r>
    </w:p>
    <w:p>
      <w:pPr>
        <w:pStyle w:val="DefinedTerms"/>
      </w:pPr>
      <w:r>
        <w:t>Australian consular officer</w:t>
      </w:r>
      <w:r>
        <w:tab/>
        <w:t>145(4)</w:t>
      </w:r>
    </w:p>
    <w:p>
      <w:pPr>
        <w:pStyle w:val="DefinedTerms"/>
      </w:pPr>
      <w:r>
        <w:t>Australian lawyer</w:t>
      </w:r>
      <w:r>
        <w:tab/>
        <w:t>4(1)</w:t>
      </w:r>
    </w:p>
    <w:p>
      <w:pPr>
        <w:pStyle w:val="DefinedTerms"/>
      </w:pPr>
      <w:r>
        <w:t>authorised land officer</w:t>
      </w:r>
      <w:r>
        <w:tab/>
        <w:t>4(1)</w:t>
      </w:r>
    </w:p>
    <w:p>
      <w:pPr>
        <w:pStyle w:val="DefinedTerms"/>
      </w:pPr>
      <w:r>
        <w:t>Authority</w:t>
      </w:r>
      <w:r>
        <w:tab/>
        <w:t>4(1)</w:t>
      </w:r>
    </w:p>
    <w:p>
      <w:pPr>
        <w:pStyle w:val="DefinedTerms"/>
      </w:pPr>
      <w:r>
        <w:t>burdened land</w:t>
      </w:r>
      <w:r>
        <w:tab/>
        <w:t>104A</w:t>
      </w:r>
    </w:p>
    <w:p>
      <w:pPr>
        <w:pStyle w:val="DefinedTerms"/>
      </w:pPr>
      <w:r>
        <w:t>carbon covenant</w:t>
      </w:r>
      <w:r>
        <w:tab/>
        <w:t>4(1)</w:t>
      </w:r>
    </w:p>
    <w:p>
      <w:pPr>
        <w:pStyle w:val="DefinedTerms"/>
      </w:pPr>
      <w:r>
        <w:t>carbon covenant form</w:t>
      </w:r>
      <w:r>
        <w:tab/>
        <w:t>4(1)</w:t>
      </w:r>
    </w:p>
    <w:p>
      <w:pPr>
        <w:pStyle w:val="DefinedTerms"/>
      </w:pPr>
      <w:r>
        <w:t>carbon right</w:t>
      </w:r>
      <w:r>
        <w:tab/>
        <w:t>4(1)</w:t>
      </w:r>
    </w:p>
    <w:p>
      <w:pPr>
        <w:pStyle w:val="DefinedTerms"/>
      </w:pPr>
      <w:r>
        <w:t>carbon right form</w:t>
      </w:r>
      <w:r>
        <w:tab/>
        <w:t>4(1)</w:t>
      </w:r>
    </w:p>
    <w:p>
      <w:pPr>
        <w:pStyle w:val="DefinedTerms"/>
      </w:pPr>
      <w:r>
        <w:t>certificate of Crown land title</w:t>
      </w:r>
      <w:r>
        <w:tab/>
        <w:t>4(1)</w:t>
      </w:r>
    </w:p>
    <w:p>
      <w:pPr>
        <w:pStyle w:val="DefinedTerms"/>
      </w:pPr>
      <w:r>
        <w:t>charge</w:t>
      </w:r>
      <w:r>
        <w:tab/>
        <w:t>4(1)</w:t>
      </w:r>
    </w:p>
    <w:p>
      <w:pPr>
        <w:pStyle w:val="DefinedTerms"/>
      </w:pPr>
      <w:r>
        <w:t>commencement</w:t>
      </w:r>
      <w:r>
        <w:tab/>
        <w:t>181(1a)</w:t>
      </w:r>
    </w:p>
    <w:p>
      <w:pPr>
        <w:pStyle w:val="DefinedTerms"/>
      </w:pPr>
      <w:r>
        <w:t>Commissioner</w:t>
      </w:r>
      <w:r>
        <w:tab/>
        <w:t>81K</w:t>
      </w:r>
    </w:p>
    <w:p>
      <w:pPr>
        <w:pStyle w:val="DefinedTerms"/>
      </w:pPr>
      <w:r>
        <w:t>Crown land</w:t>
      </w:r>
      <w:r>
        <w:tab/>
        <w:t>4(1)</w:t>
      </w:r>
    </w:p>
    <w:p>
      <w:pPr>
        <w:pStyle w:val="DefinedTerms"/>
      </w:pPr>
      <w:r>
        <w:t>Crown land lease</w:t>
      </w:r>
      <w:r>
        <w:tab/>
        <w:t>4(1)</w:t>
      </w:r>
    </w:p>
    <w:p>
      <w:pPr>
        <w:pStyle w:val="DefinedTerms"/>
      </w:pPr>
      <w:r>
        <w:t>Crown lease</w:t>
      </w:r>
      <w:r>
        <w:tab/>
        <w:t>4(1)</w:t>
      </w:r>
    </w:p>
    <w:p>
      <w:pPr>
        <w:pStyle w:val="DefinedTerms"/>
      </w:pPr>
      <w:r>
        <w:t>dealing</w:t>
      </w:r>
      <w:r>
        <w:tab/>
        <w:t>4(1)</w:t>
      </w:r>
    </w:p>
    <w:p>
      <w:pPr>
        <w:pStyle w:val="DefinedTerms"/>
      </w:pPr>
      <w:r>
        <w:t>digital title</w:t>
      </w:r>
      <w:r>
        <w:tab/>
        <w:t>4(1)</w:t>
      </w:r>
    </w:p>
    <w:p>
      <w:pPr>
        <w:pStyle w:val="DefinedTerms"/>
      </w:pPr>
      <w:r>
        <w:t>disposition</w:t>
      </w:r>
      <w:r>
        <w:tab/>
        <w:t>242(4)</w:t>
      </w:r>
    </w:p>
    <w:p>
      <w:pPr>
        <w:pStyle w:val="DefinedTerms"/>
      </w:pPr>
      <w:r>
        <w:t>document</w:t>
      </w:r>
      <w:r>
        <w:tab/>
        <w:t>54(4)</w:t>
      </w:r>
    </w:p>
    <w:p>
      <w:pPr>
        <w:pStyle w:val="DefinedTerms"/>
      </w:pPr>
      <w:r>
        <w:t>encumbrance</w:t>
      </w:r>
      <w:r>
        <w:tab/>
        <w:t>81RA(1)</w:t>
      </w:r>
    </w:p>
    <w:p>
      <w:pPr>
        <w:pStyle w:val="DefinedTerms"/>
      </w:pPr>
      <w:r>
        <w:t>encumbrances</w:t>
      </w:r>
      <w:r>
        <w:tab/>
        <w:t>4(1)</w:t>
      </w:r>
    </w:p>
    <w:p>
      <w:pPr>
        <w:pStyle w:val="DefinedTerms"/>
      </w:pPr>
      <w:r>
        <w:t>endorsed</w:t>
      </w:r>
      <w:r>
        <w:tab/>
        <w:t>4(1)</w:t>
      </w:r>
    </w:p>
    <w:p>
      <w:pPr>
        <w:pStyle w:val="DefinedTerms"/>
      </w:pPr>
      <w:r>
        <w:t>Examiner of Titles</w:t>
      </w:r>
      <w:r>
        <w:tab/>
        <w:t>4(1)</w:t>
      </w:r>
    </w:p>
    <w:p>
      <w:pPr>
        <w:pStyle w:val="DefinedTerms"/>
      </w:pPr>
      <w:r>
        <w:t>geothermal energy</w:t>
      </w:r>
      <w:r>
        <w:tab/>
        <w:t>3(3)</w:t>
      </w:r>
    </w:p>
    <w:p>
      <w:pPr>
        <w:pStyle w:val="DefinedTerms"/>
      </w:pPr>
      <w:r>
        <w:t>geothermal energy resources</w:t>
      </w:r>
      <w:r>
        <w:tab/>
        <w:t>3(3)</w:t>
      </w:r>
    </w:p>
    <w:p>
      <w:pPr>
        <w:pStyle w:val="DefinedTerms"/>
      </w:pPr>
      <w:r>
        <w:t>grant</w:t>
      </w:r>
      <w:r>
        <w:tab/>
        <w:t>4(1)</w:t>
      </w:r>
    </w:p>
    <w:p>
      <w:pPr>
        <w:pStyle w:val="DefinedTerms"/>
      </w:pPr>
      <w:r>
        <w:t>grantor</w:t>
      </w:r>
      <w:r>
        <w:tab/>
        <w:t>4(1)</w:t>
      </w:r>
    </w:p>
    <w:p>
      <w:pPr>
        <w:pStyle w:val="DefinedTerms"/>
      </w:pPr>
      <w:r>
        <w:t>graphic</w:t>
      </w:r>
      <w:r>
        <w:tab/>
        <w:t>4(1)</w:t>
      </w:r>
    </w:p>
    <w:p>
      <w:pPr>
        <w:pStyle w:val="DefinedTerms"/>
      </w:pPr>
      <w:r>
        <w:t>inspector of plans and surveys</w:t>
      </w:r>
      <w:r>
        <w:tab/>
        <w:t>163(2)</w:t>
      </w:r>
    </w:p>
    <w:p>
      <w:pPr>
        <w:pStyle w:val="DefinedTerms"/>
      </w:pPr>
      <w:r>
        <w:t>instrument</w:t>
      </w:r>
      <w:r>
        <w:tab/>
        <w:t>4(1)</w:t>
      </w:r>
    </w:p>
    <w:p>
      <w:pPr>
        <w:pStyle w:val="DefinedTerms"/>
      </w:pPr>
      <w:r>
        <w:t>interest</w:t>
      </w:r>
      <w:r>
        <w:tab/>
        <w:t>4(1)</w:t>
      </w:r>
    </w:p>
    <w:p>
      <w:pPr>
        <w:pStyle w:val="DefinedTerms"/>
      </w:pPr>
      <w:r>
        <w:t>judge</w:t>
      </w:r>
      <w:r>
        <w:tab/>
        <w:t>4(1)</w:t>
      </w:r>
    </w:p>
    <w:p>
      <w:pPr>
        <w:pStyle w:val="DefinedTerms"/>
      </w:pPr>
      <w:r>
        <w:t>land</w:t>
      </w:r>
      <w:r>
        <w:tab/>
        <w:t>4(1)</w:t>
      </w:r>
    </w:p>
    <w:p>
      <w:pPr>
        <w:pStyle w:val="DefinedTerms"/>
      </w:pPr>
      <w:r>
        <w:t>lodged</w:t>
      </w:r>
      <w:r>
        <w:tab/>
        <w:t>133(1)</w:t>
      </w:r>
    </w:p>
    <w:p>
      <w:pPr>
        <w:pStyle w:val="DefinedTerms"/>
      </w:pPr>
      <w:r>
        <w:t>lot</w:t>
      </w:r>
      <w:r>
        <w:tab/>
        <w:t>129C(1d)</w:t>
      </w:r>
    </w:p>
    <w:p>
      <w:pPr>
        <w:pStyle w:val="DefinedTerms"/>
      </w:pPr>
      <w:r>
        <w:t>management body</w:t>
      </w:r>
      <w:r>
        <w:tab/>
        <w:t>4(1)</w:t>
      </w:r>
    </w:p>
    <w:p>
      <w:pPr>
        <w:pStyle w:val="DefinedTerms"/>
      </w:pPr>
      <w:r>
        <w:t>management order</w:t>
      </w:r>
      <w:r>
        <w:tab/>
        <w:t>81K</w:t>
      </w:r>
    </w:p>
    <w:p>
      <w:pPr>
        <w:pStyle w:val="DefinedTerms"/>
      </w:pPr>
      <w:r>
        <w:t>memorandum</w:t>
      </w:r>
      <w:r>
        <w:tab/>
        <w:t>54(1)</w:t>
      </w:r>
    </w:p>
    <w:p>
      <w:pPr>
        <w:pStyle w:val="DefinedTerms"/>
      </w:pPr>
      <w:r>
        <w:t>metropolitan region</w:t>
      </w:r>
      <w:r>
        <w:tab/>
        <w:t>4(1)</w:t>
      </w:r>
    </w:p>
    <w:p>
      <w:pPr>
        <w:pStyle w:val="DefinedTerms"/>
      </w:pPr>
      <w:r>
        <w:t>mining, petroleum or geothermal energy rights</w:t>
      </w:r>
      <w:r>
        <w:tab/>
        <w:t>3(3)</w:t>
      </w:r>
    </w:p>
    <w:p>
      <w:pPr>
        <w:pStyle w:val="DefinedTerms"/>
      </w:pPr>
      <w:r>
        <w:t>Minister for Lands</w:t>
      </w:r>
      <w:r>
        <w:tab/>
        <w:t>4(1)</w:t>
      </w:r>
    </w:p>
    <w:p>
      <w:pPr>
        <w:pStyle w:val="DefinedTerms"/>
      </w:pPr>
      <w:r>
        <w:t>ministerial order</w:t>
      </w:r>
      <w:r>
        <w:tab/>
        <w:t>4(1)</w:t>
      </w:r>
    </w:p>
    <w:p>
      <w:pPr>
        <w:pStyle w:val="DefinedTerms"/>
      </w:pPr>
      <w:r>
        <w:t>mortgage money</w:t>
      </w:r>
      <w:r>
        <w:tab/>
        <w:t>126(1E)</w:t>
      </w:r>
    </w:p>
    <w:p>
      <w:pPr>
        <w:pStyle w:val="DefinedTerms"/>
      </w:pPr>
      <w:r>
        <w:t>paper title</w:t>
      </w:r>
      <w:r>
        <w:tab/>
        <w:t>4(1)</w:t>
      </w:r>
    </w:p>
    <w:p>
      <w:pPr>
        <w:pStyle w:val="DefinedTerms"/>
      </w:pPr>
      <w:r>
        <w:t>person</w:t>
      </w:r>
      <w:r>
        <w:tab/>
        <w:t>4(1)</w:t>
      </w:r>
    </w:p>
    <w:p>
      <w:pPr>
        <w:pStyle w:val="DefinedTerms"/>
      </w:pPr>
      <w:r>
        <w:t>plan</w:t>
      </w:r>
      <w:r>
        <w:tab/>
        <w:t>136A</w:t>
      </w:r>
    </w:p>
    <w:p>
      <w:pPr>
        <w:pStyle w:val="DefinedTerms"/>
      </w:pPr>
      <w:r>
        <w:t>plantation interest</w:t>
      </w:r>
      <w:r>
        <w:tab/>
        <w:t>4(1)</w:t>
      </w:r>
    </w:p>
    <w:p>
      <w:pPr>
        <w:pStyle w:val="DefinedTerms"/>
      </w:pPr>
      <w:r>
        <w:t>prescribed amount</w:t>
      </w:r>
      <w:r>
        <w:tab/>
        <w:t>192(2)(a)</w:t>
      </w:r>
    </w:p>
    <w:p>
      <w:pPr>
        <w:pStyle w:val="DefinedTerms"/>
      </w:pPr>
      <w:r>
        <w:t>profit à prendre</w:t>
      </w:r>
      <w:r>
        <w:tab/>
        <w:t>4(1)</w:t>
      </w:r>
    </w:p>
    <w:p>
      <w:pPr>
        <w:pStyle w:val="DefinedTerms"/>
      </w:pPr>
      <w:r>
        <w:t>property (seizure and sale) order</w:t>
      </w:r>
      <w:r>
        <w:tab/>
        <w:t>133(1)</w:t>
      </w:r>
    </w:p>
    <w:p>
      <w:pPr>
        <w:pStyle w:val="DefinedTerms"/>
      </w:pPr>
      <w:r>
        <w:t>proprietor</w:t>
      </w:r>
      <w:r>
        <w:tab/>
        <w:t>4(1)</w:t>
      </w:r>
    </w:p>
    <w:p>
      <w:pPr>
        <w:pStyle w:val="DefinedTerms"/>
      </w:pPr>
      <w:r>
        <w:t>public authority</w:t>
      </w:r>
      <w:r>
        <w:tab/>
        <w:t>4(1)</w:t>
      </w:r>
    </w:p>
    <w:p>
      <w:pPr>
        <w:pStyle w:val="DefinedTerms"/>
      </w:pPr>
      <w:r>
        <w:t>qualified certificate of Crown land title</w:t>
      </w:r>
      <w:r>
        <w:tab/>
        <w:t>4(1)</w:t>
      </w:r>
    </w:p>
    <w:p>
      <w:pPr>
        <w:pStyle w:val="DefinedTerms"/>
      </w:pPr>
      <w:r>
        <w:t>qualified valuer</w:t>
      </w:r>
      <w:r>
        <w:tab/>
        <w:t>4(1)</w:t>
      </w:r>
    </w:p>
    <w:p>
      <w:pPr>
        <w:pStyle w:val="DefinedTerms"/>
      </w:pPr>
      <w:r>
        <w:t>Register</w:t>
      </w:r>
      <w:r>
        <w:tab/>
        <w:t>4(1)</w:t>
      </w:r>
    </w:p>
    <w:p>
      <w:pPr>
        <w:pStyle w:val="DefinedTerms"/>
      </w:pPr>
      <w:r>
        <w:t>register</w:t>
      </w:r>
      <w:r>
        <w:tab/>
        <w:t>133(1)</w:t>
      </w:r>
    </w:p>
    <w:p>
      <w:pPr>
        <w:pStyle w:val="DefinedTerms"/>
      </w:pPr>
      <w:r>
        <w:t>registered disposition</w:t>
      </w:r>
      <w:r>
        <w:tab/>
        <w:t>242(4)</w:t>
      </w:r>
    </w:p>
    <w:p>
      <w:pPr>
        <w:pStyle w:val="DefinedTerms"/>
      </w:pPr>
      <w:r>
        <w:t>relevant authority</w:t>
      </w:r>
      <w:r>
        <w:tab/>
        <w:t>129BB(1)(b), 136J(1)(b)</w:t>
      </w:r>
    </w:p>
    <w:p>
      <w:pPr>
        <w:pStyle w:val="DefinedTerms"/>
      </w:pPr>
      <w:r>
        <w:t>relevant carbon right</w:t>
      </w:r>
      <w:r>
        <w:tab/>
        <w:t>104A</w:t>
      </w:r>
    </w:p>
    <w:p>
      <w:pPr>
        <w:pStyle w:val="DefinedTerms"/>
      </w:pPr>
      <w:r>
        <w:t>relevant graphic</w:t>
      </w:r>
      <w:r>
        <w:tab/>
        <w:t>4(1)</w:t>
      </w:r>
    </w:p>
    <w:p>
      <w:pPr>
        <w:pStyle w:val="DefinedTerms"/>
      </w:pPr>
      <w:r>
        <w:t>repealed Act</w:t>
      </w:r>
      <w:r>
        <w:tab/>
        <w:t>81K</w:t>
      </w:r>
    </w:p>
    <w:p>
      <w:pPr>
        <w:pStyle w:val="DefinedTerms"/>
      </w:pPr>
      <w:r>
        <w:t>reserve</w:t>
      </w:r>
      <w:r>
        <w:tab/>
        <w:t>4(1)</w:t>
      </w:r>
    </w:p>
    <w:p>
      <w:pPr>
        <w:pStyle w:val="DefinedTerms"/>
      </w:pPr>
      <w:r>
        <w:t>sale period</w:t>
      </w:r>
      <w:r>
        <w:tab/>
        <w:t>133(1)</w:t>
      </w:r>
    </w:p>
    <w:p>
      <w:pPr>
        <w:pStyle w:val="DefinedTerms"/>
      </w:pPr>
      <w:r>
        <w:t>saleable interest</w:t>
      </w:r>
      <w:r>
        <w:tab/>
        <w:t>133(1)</w:t>
      </w:r>
    </w:p>
    <w:p>
      <w:pPr>
        <w:pStyle w:val="DefinedTerms"/>
      </w:pPr>
      <w:r>
        <w:t>section 138A caveat</w:t>
      </w:r>
      <w:r>
        <w:tab/>
        <w:t>136K(1)</w:t>
      </w:r>
    </w:p>
    <w:p>
      <w:pPr>
        <w:pStyle w:val="DefinedTerms"/>
      </w:pPr>
      <w:r>
        <w:t>settlement</w:t>
      </w:r>
      <w:r>
        <w:tab/>
        <w:t>4(1)</w:t>
      </w:r>
    </w:p>
    <w:p>
      <w:pPr>
        <w:pStyle w:val="DefinedTerms"/>
      </w:pPr>
      <w:r>
        <w:t>sheriff</w:t>
      </w:r>
      <w:r>
        <w:tab/>
        <w:t>4(1)</w:t>
      </w:r>
    </w:p>
    <w:p>
      <w:pPr>
        <w:pStyle w:val="DefinedTerms"/>
      </w:pPr>
      <w:r>
        <w:t>sheriff’s dealing</w:t>
      </w:r>
      <w:r>
        <w:tab/>
        <w:t>133(1)</w:t>
      </w:r>
    </w:p>
    <w:p>
      <w:pPr>
        <w:pStyle w:val="DefinedTerms"/>
      </w:pPr>
      <w:r>
        <w:t>short form</w:t>
      </w:r>
      <w:r>
        <w:tab/>
        <w:t>4(3)</w:t>
      </w:r>
    </w:p>
    <w:p>
      <w:pPr>
        <w:pStyle w:val="DefinedTerms"/>
      </w:pPr>
      <w:r>
        <w:t>single dwelling covenant</w:t>
      </w:r>
      <w:r>
        <w:tab/>
        <w:t>129C(1d)</w:t>
      </w:r>
    </w:p>
    <w:p>
      <w:pPr>
        <w:pStyle w:val="DefinedTerms"/>
      </w:pPr>
      <w:r>
        <w:t>stamped</w:t>
      </w:r>
      <w:r>
        <w:tab/>
        <w:t>81U(3)</w:t>
      </w:r>
    </w:p>
    <w:p>
      <w:pPr>
        <w:pStyle w:val="DefinedTerms"/>
      </w:pPr>
      <w:r>
        <w:t>statutory declaration</w:t>
      </w:r>
      <w:r>
        <w:tab/>
        <w:t>188(2)</w:t>
      </w:r>
    </w:p>
    <w:p>
      <w:pPr>
        <w:pStyle w:val="DefinedTerms"/>
      </w:pPr>
      <w:r>
        <w:t>strata/survey</w:t>
      </w:r>
      <w:r>
        <w:noBreakHyphen/>
        <w:t>strata plan</w:t>
      </w:r>
      <w:r>
        <w:tab/>
        <w:t>4(1)</w:t>
      </w:r>
    </w:p>
    <w:p>
      <w:pPr>
        <w:pStyle w:val="DefinedTerms"/>
      </w:pPr>
      <w:r>
        <w:t>symbol</w:t>
      </w:r>
      <w:r>
        <w:tab/>
        <w:t>4(1)</w:t>
      </w:r>
    </w:p>
    <w:p>
      <w:pPr>
        <w:pStyle w:val="DefinedTerms"/>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Pr>
        <w:pStyle w:val="DefinedTerms"/>
      </w:pPr>
      <w:r>
        <w:t>transitional period</w:t>
      </w:r>
      <w:r>
        <w:tab/>
        <w:t>81K</w:t>
      </w:r>
    </w:p>
    <w:p>
      <w:pPr>
        <w:pStyle w:val="DefinedTerms"/>
        <w:keepNext/>
      </w:pPr>
      <w:r>
        <w:t>transmission</w:t>
      </w:r>
      <w:r>
        <w:tab/>
        <w:t>4(1)</w:t>
      </w:r>
    </w:p>
    <w:p>
      <w:pPr>
        <w:pStyle w:val="DefinedTerms"/>
      </w:pPr>
      <w:r>
        <w:t>tree plantation agreement</w:t>
      </w:r>
      <w:r>
        <w:tab/>
        <w:t>4(1)</w:t>
      </w:r>
    </w:p>
    <w:p/>
    <w:p>
      <w:pPr>
        <w:sectPr>
          <w:headerReference w:type="default" r:id="rId43"/>
          <w:pgSz w:w="11906" w:h="16838" w:code="9"/>
          <w:pgMar w:top="2376" w:right="2404" w:bottom="3544" w:left="2404" w:header="720" w:footer="3380" w:gutter="0"/>
          <w:cols w:space="720"/>
          <w:noEndnote/>
          <w:docGrid w:linePitch="326"/>
        </w:sectPr>
      </w:pPr>
    </w:p>
    <w:p/>
    <w:sectPr>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rPr>
              <w:noProof/>
            </w:rPr>
            <w:fldChar w:fldCharType="end"/>
          </w:r>
        </w:p>
      </w:tc>
      <w:tc>
        <w:tcPr>
          <w:tcW w:w="4791" w:type="dxa"/>
          <w:vAlign w:val="bottom"/>
        </w:tcPr>
        <w:p>
          <w:pPr>
            <w:pStyle w:val="HeaderTextLeft"/>
          </w:pPr>
          <w:r>
            <w:fldChar w:fldCharType="begin"/>
          </w:r>
          <w:r>
            <w:instrText xml:space="preserve"> styleref CharSchText </w:instrText>
          </w:r>
          <w:r>
            <w:rPr>
              <w:noProof/>
            </w:rPr>
            <w:fldChar w:fldCharType="end"/>
          </w:r>
        </w:p>
      </w:tc>
    </w:tr>
    <w:tr>
      <w:tc>
        <w:tcPr>
          <w:tcW w:w="2472" w:type="dxa"/>
        </w:tcPr>
        <w:p>
          <w:pPr>
            <w:pStyle w:val="HeaderNumberLeft"/>
            <w:rPr>
              <w:b w:val="0"/>
            </w:rPr>
          </w:pPr>
        </w:p>
      </w:tc>
      <w:tc>
        <w:tcPr>
          <w:tcW w:w="4791" w:type="dxa"/>
          <w:vAlign w:val="bottom"/>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rPr>
              <w:noProof/>
            </w:rPr>
            <w:fldChar w:fldCharType="end"/>
          </w:r>
        </w:p>
      </w:tc>
      <w:tc>
        <w:tcPr>
          <w:tcW w:w="2631" w:type="dxa"/>
        </w:tcPr>
        <w:p>
          <w:pPr>
            <w:pStyle w:val="HeaderNumberRight"/>
            <w:ind w:right="17"/>
          </w:pPr>
          <w:r>
            <w:fldChar w:fldCharType="begin"/>
          </w:r>
          <w:r>
            <w:instrText xml:space="preserve"> styleref CharSchno </w:instrText>
          </w:r>
          <w:r>
            <w:rPr>
              <w:noProof/>
            </w:rPr>
            <w:fldChar w:fldCharType="end"/>
          </w:r>
        </w:p>
      </w:tc>
    </w:tr>
    <w:tr>
      <w:tc>
        <w:tcPr>
          <w:tcW w:w="4632" w:type="dxa"/>
          <w:vAlign w:val="bottom"/>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0DB5C53"/>
    <w:multiLevelType w:val="hybridMultilevel"/>
    <w:tmpl w:val="62ACB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7F0064C"/>
    <w:multiLevelType w:val="multilevel"/>
    <w:tmpl w:val="B978DF16"/>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BE82A86"/>
    <w:multiLevelType w:val="multilevel"/>
    <w:tmpl w:val="E1506BB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6C135DD"/>
    <w:multiLevelType w:val="hybridMultilevel"/>
    <w:tmpl w:val="049AC96E"/>
    <w:lvl w:ilvl="0" w:tplc="B2389B22">
      <w:start w:val="1"/>
      <w:numFmt w:val="decimal"/>
      <w:lvlText w:val="(%1)"/>
      <w:lvlJc w:val="left"/>
      <w:pPr>
        <w:ind w:left="1240" w:hanging="360"/>
      </w:pPr>
      <w:rPr>
        <w:rFonts w:hint="default"/>
      </w:r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3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4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4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974242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42"/>
  </w:num>
  <w:num w:numId="13">
    <w:abstractNumId w:val="26"/>
  </w:num>
  <w:num w:numId="14">
    <w:abstractNumId w:val="15"/>
  </w:num>
  <w:num w:numId="15">
    <w:abstractNumId w:val="18"/>
  </w:num>
  <w:num w:numId="16">
    <w:abstractNumId w:val="16"/>
  </w:num>
  <w:num w:numId="17">
    <w:abstractNumId w:val="38"/>
  </w:num>
  <w:num w:numId="18">
    <w:abstractNumId w:val="32"/>
  </w:num>
  <w:num w:numId="19">
    <w:abstractNumId w:val="27"/>
  </w:num>
  <w:num w:numId="20">
    <w:abstractNumId w:val="11"/>
  </w:num>
  <w:num w:numId="21">
    <w:abstractNumId w:val="46"/>
  </w:num>
  <w:num w:numId="22">
    <w:abstractNumId w:val="2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6"/>
  </w:num>
  <w:num w:numId="34">
    <w:abstractNumId w:val="40"/>
  </w:num>
  <w:num w:numId="35">
    <w:abstractNumId w:val="17"/>
  </w:num>
  <w:num w:numId="36">
    <w:abstractNumId w:val="19"/>
  </w:num>
  <w:num w:numId="37">
    <w:abstractNumId w:val="22"/>
  </w:num>
  <w:num w:numId="38">
    <w:abstractNumId w:val="43"/>
  </w:num>
  <w:num w:numId="39">
    <w:abstractNumId w:val="33"/>
  </w:num>
  <w:num w:numId="40">
    <w:abstractNumId w:val="4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5103206"/>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5.png"/><Relationship Id="rId38" Type="http://schemas.openxmlformats.org/officeDocument/2006/relationships/header" Target="header14.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2.bin"/><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oleObject" Target="embeddings/oleObject3.bin"/><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wmf"/><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image" Target="media/image3.wmf"/><Relationship Id="rId35" Type="http://schemas.openxmlformats.org/officeDocument/2006/relationships/header" Target="header11.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320</Pages>
  <Words>90366</Words>
  <Characters>424723</Characters>
  <Application>Microsoft Office Word</Application>
  <DocSecurity>0</DocSecurity>
  <Lines>10890</Lines>
  <Paragraphs>4769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510320</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1893 - 10-b0-00</dc:title>
  <dc:subject/>
  <dc:creator/>
  <cp:keywords/>
  <dc:description/>
  <cp:lastModifiedBy>svcMRProcess</cp:lastModifiedBy>
  <cp:revision>4</cp:revision>
  <cp:lastPrinted>2011-01-10T05:09:00Z</cp:lastPrinted>
  <dcterms:created xsi:type="dcterms:W3CDTF">2020-02-21T00:44:00Z</dcterms:created>
  <dcterms:modified xsi:type="dcterms:W3CDTF">2020-02-21T00:44:00Z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20140324</vt:lpwstr>
  </property>
  <property fmtid="{D5CDD505-2E9C-101B-9397-08002B2CF9AE}" pid="4" name="DocumentType">
    <vt:lpwstr>Act</vt:lpwstr>
  </property>
  <property fmtid="{D5CDD505-2E9C-101B-9397-08002B2CF9AE}" pid="5" name="OwlsUID">
    <vt:i4>829</vt:i4>
  </property>
  <property fmtid="{D5CDD505-2E9C-101B-9397-08002B2CF9AE}" pid="6" name="ReprintNo">
    <vt:lpwstr>10</vt:lpwstr>
  </property>
  <property fmtid="{D5CDD505-2E9C-101B-9397-08002B2CF9AE}" pid="7" name="AsAtDate">
    <vt:lpwstr>24 Mar 2014</vt:lpwstr>
  </property>
  <property fmtid="{D5CDD505-2E9C-101B-9397-08002B2CF9AE}" pid="8" name="Suffix">
    <vt:lpwstr>10-b0-00</vt:lpwstr>
  </property>
  <property fmtid="{D5CDD505-2E9C-101B-9397-08002B2CF9AE}" pid="9" name="ReprintedAsAt">
    <vt:filetime>2011-01-06T16:00:00Z</vt:filetime>
  </property>
</Properties>
</file>