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pStyle w:val="ReprintNo"/>
        <w:outlineLvl w:val="9"/>
      </w:pPr>
      <w:r>
        <w:t>Reprint 2:  The Act as at 4 April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36085"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_Toc384990853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_Toc384990854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_Toc384990855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Economic Regulation Authority</w:t>
      </w:r>
    </w:p>
    <w:p>
      <w:pPr>
        <w:pStyle w:val="TOC8"/>
        <w:rPr>
          <w:rFonts w:asciiTheme="minorHAnsi" w:eastAsiaTheme="minorEastAsia" w:hAnsiTheme="minorHAnsi" w:cstheme="minorBidi"/>
          <w:szCs w:val="22"/>
        </w:rPr>
      </w:pPr>
      <w:r>
        <w:t>4.</w:t>
      </w:r>
      <w:r>
        <w:tab/>
        <w:t>Economic Regulation Authority established</w:t>
      </w:r>
      <w:r>
        <w:tab/>
      </w:r>
      <w:r>
        <w:fldChar w:fldCharType="begin"/>
      </w:r>
      <w:r>
        <w:instrText xml:space="preserve"> PAGEREF _Toc384990857 \h </w:instrText>
      </w:r>
      <w:r>
        <w:fldChar w:fldCharType="separate"/>
      </w:r>
      <w:r>
        <w:t>4</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_Toc384990858 \h </w:instrText>
      </w:r>
      <w:r>
        <w:fldChar w:fldCharType="separate"/>
      </w:r>
      <w:r>
        <w:t>4</w:t>
      </w:r>
      <w:r>
        <w:fldChar w:fldCharType="end"/>
      </w:r>
    </w:p>
    <w:p>
      <w:pPr>
        <w:pStyle w:val="TOC8"/>
        <w:rPr>
          <w:rFonts w:asciiTheme="minorHAnsi" w:eastAsiaTheme="minorEastAsia" w:hAnsiTheme="minorHAnsi" w:cstheme="minorBidi"/>
          <w:szCs w:val="22"/>
        </w:rPr>
      </w:pPr>
      <w:r>
        <w:t>6.</w:t>
      </w:r>
      <w:r>
        <w:tab/>
        <w:t>Management of Authority</w:t>
      </w:r>
      <w:r>
        <w:tab/>
      </w:r>
      <w:r>
        <w:fldChar w:fldCharType="begin"/>
      </w:r>
      <w:r>
        <w:instrText xml:space="preserve"> PAGEREF _Toc384990859 \h </w:instrText>
      </w:r>
      <w:r>
        <w:fldChar w:fldCharType="separate"/>
      </w:r>
      <w:r>
        <w:t>4</w:t>
      </w:r>
      <w:r>
        <w:fldChar w:fldCharType="end"/>
      </w:r>
    </w:p>
    <w:p>
      <w:pPr>
        <w:pStyle w:val="TOC8"/>
        <w:rPr>
          <w:rFonts w:asciiTheme="minorHAnsi" w:eastAsiaTheme="minorEastAsia" w:hAnsiTheme="minorHAnsi" w:cstheme="minorBidi"/>
          <w:szCs w:val="22"/>
        </w:rPr>
      </w:pPr>
      <w:r>
        <w:t>7.</w:t>
      </w:r>
      <w:r>
        <w:tab/>
        <w:t>Members</w:t>
      </w:r>
      <w:r>
        <w:tab/>
      </w:r>
      <w:r>
        <w:fldChar w:fldCharType="begin"/>
      </w:r>
      <w:r>
        <w:instrText xml:space="preserve"> PAGEREF _Toc384990860 \h </w:instrText>
      </w:r>
      <w:r>
        <w:fldChar w:fldCharType="separate"/>
      </w:r>
      <w:r>
        <w:t>4</w:t>
      </w:r>
      <w:r>
        <w:fldChar w:fldCharType="end"/>
      </w:r>
    </w:p>
    <w:p>
      <w:pPr>
        <w:pStyle w:val="TOC8"/>
        <w:rPr>
          <w:rFonts w:asciiTheme="minorHAnsi" w:eastAsiaTheme="minorEastAsia" w:hAnsiTheme="minorHAnsi" w:cstheme="minorBidi"/>
          <w:szCs w:val="22"/>
        </w:rPr>
      </w:pPr>
      <w:r>
        <w:t>8.</w:t>
      </w:r>
      <w:r>
        <w:tab/>
        <w:t>Term of office</w:t>
      </w:r>
      <w:r>
        <w:tab/>
      </w:r>
      <w:r>
        <w:fldChar w:fldCharType="begin"/>
      </w:r>
      <w:r>
        <w:instrText xml:space="preserve"> PAGEREF _Toc384990861 \h </w:instrText>
      </w:r>
      <w:r>
        <w:fldChar w:fldCharType="separate"/>
      </w:r>
      <w:r>
        <w:t>5</w:t>
      </w:r>
      <w:r>
        <w:fldChar w:fldCharType="end"/>
      </w:r>
    </w:p>
    <w:p>
      <w:pPr>
        <w:pStyle w:val="TOC8"/>
        <w:rPr>
          <w:rFonts w:asciiTheme="minorHAnsi" w:eastAsiaTheme="minorEastAsia" w:hAnsiTheme="minorHAnsi" w:cstheme="minorBidi"/>
          <w:szCs w:val="22"/>
        </w:rPr>
      </w:pPr>
      <w:r>
        <w:t>9.</w:t>
      </w:r>
      <w:r>
        <w:tab/>
        <w:t>Casual vacancy</w:t>
      </w:r>
      <w:r>
        <w:tab/>
      </w:r>
      <w:r>
        <w:fldChar w:fldCharType="begin"/>
      </w:r>
      <w:r>
        <w:instrText xml:space="preserve"> PAGEREF _Toc384990862 \h </w:instrText>
      </w:r>
      <w:r>
        <w:fldChar w:fldCharType="separate"/>
      </w:r>
      <w:r>
        <w:t>5</w:t>
      </w:r>
      <w:r>
        <w:fldChar w:fldCharType="end"/>
      </w:r>
    </w:p>
    <w:p>
      <w:pPr>
        <w:pStyle w:val="TOC8"/>
        <w:rPr>
          <w:rFonts w:asciiTheme="minorHAnsi" w:eastAsiaTheme="minorEastAsia" w:hAnsiTheme="minorHAnsi" w:cstheme="minorBidi"/>
          <w:szCs w:val="22"/>
        </w:rPr>
      </w:pPr>
      <w:r>
        <w:t>10.</w:t>
      </w:r>
      <w:r>
        <w:tab/>
        <w:t>Alternate chairman</w:t>
      </w:r>
      <w:r>
        <w:tab/>
      </w:r>
      <w:r>
        <w:fldChar w:fldCharType="begin"/>
      </w:r>
      <w:r>
        <w:instrText xml:space="preserve"> PAGEREF _Toc384990863 \h </w:instrText>
      </w:r>
      <w:r>
        <w:fldChar w:fldCharType="separate"/>
      </w:r>
      <w:r>
        <w:t>6</w:t>
      </w:r>
      <w:r>
        <w:fldChar w:fldCharType="end"/>
      </w:r>
    </w:p>
    <w:p>
      <w:pPr>
        <w:pStyle w:val="TOC8"/>
        <w:rPr>
          <w:rFonts w:asciiTheme="minorHAnsi" w:eastAsiaTheme="minorEastAsia" w:hAnsiTheme="minorHAnsi" w:cstheme="minorBidi"/>
          <w:szCs w:val="22"/>
        </w:rPr>
      </w:pPr>
      <w:r>
        <w:t>11.</w:t>
      </w:r>
      <w:r>
        <w:tab/>
        <w:t>Alternate members</w:t>
      </w:r>
      <w:r>
        <w:tab/>
      </w:r>
      <w:r>
        <w:fldChar w:fldCharType="begin"/>
      </w:r>
      <w:r>
        <w:instrText xml:space="preserve"> PAGEREF _Toc384990864 \h </w:instrText>
      </w:r>
      <w:r>
        <w:fldChar w:fldCharType="separate"/>
      </w:r>
      <w:r>
        <w:t>7</w:t>
      </w:r>
      <w:r>
        <w:fldChar w:fldCharType="end"/>
      </w:r>
    </w:p>
    <w:p>
      <w:pPr>
        <w:pStyle w:val="TOC8"/>
        <w:rPr>
          <w:rFonts w:asciiTheme="minorHAnsi" w:eastAsiaTheme="minorEastAsia" w:hAnsiTheme="minorHAnsi" w:cstheme="minorBidi"/>
          <w:szCs w:val="22"/>
        </w:rPr>
      </w:pPr>
      <w:r>
        <w:t>12.</w:t>
      </w:r>
      <w:r>
        <w:tab/>
        <w:t>Remuneration and conditions of members</w:t>
      </w:r>
      <w:r>
        <w:tab/>
      </w:r>
      <w:r>
        <w:fldChar w:fldCharType="begin"/>
      </w:r>
      <w:r>
        <w:instrText xml:space="preserve"> PAGEREF _Toc384990865 \h </w:instrText>
      </w:r>
      <w:r>
        <w:fldChar w:fldCharType="separate"/>
      </w:r>
      <w:r>
        <w:t>7</w:t>
      </w:r>
      <w:r>
        <w:fldChar w:fldCharType="end"/>
      </w:r>
    </w:p>
    <w:p>
      <w:pPr>
        <w:pStyle w:val="TOC8"/>
        <w:rPr>
          <w:rFonts w:asciiTheme="minorHAnsi" w:eastAsiaTheme="minorEastAsia" w:hAnsiTheme="minorHAnsi" w:cstheme="minorBidi"/>
          <w:szCs w:val="22"/>
        </w:rPr>
      </w:pPr>
      <w:r>
        <w:t>13.</w:t>
      </w:r>
      <w:r>
        <w:tab/>
        <w:t>Meetings of governing body</w:t>
      </w:r>
      <w:r>
        <w:tab/>
      </w:r>
      <w:r>
        <w:fldChar w:fldCharType="begin"/>
      </w:r>
      <w:r>
        <w:instrText xml:space="preserve"> PAGEREF _Toc384990866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Chief employee</w:t>
      </w:r>
    </w:p>
    <w:p>
      <w:pPr>
        <w:pStyle w:val="TOC8"/>
        <w:rPr>
          <w:rFonts w:asciiTheme="minorHAnsi" w:eastAsiaTheme="minorEastAsia" w:hAnsiTheme="minorHAnsi" w:cstheme="minorBidi"/>
          <w:szCs w:val="22"/>
        </w:rPr>
      </w:pPr>
      <w:r>
        <w:t>14.</w:t>
      </w:r>
      <w:r>
        <w:tab/>
        <w:t>Chief employee</w:t>
      </w:r>
      <w:r>
        <w:tab/>
      </w:r>
      <w:r>
        <w:fldChar w:fldCharType="begin"/>
      </w:r>
      <w:r>
        <w:instrText xml:space="preserve"> PAGEREF _Toc384990869 \h </w:instrText>
      </w:r>
      <w:r>
        <w:fldChar w:fldCharType="separate"/>
      </w:r>
      <w:r>
        <w:t>9</w:t>
      </w:r>
      <w:r>
        <w:fldChar w:fldCharType="end"/>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_Toc384990870 \h </w:instrText>
      </w:r>
      <w:r>
        <w:fldChar w:fldCharType="separate"/>
      </w:r>
      <w:r>
        <w:t>9</w:t>
      </w:r>
      <w:r>
        <w:fldChar w:fldCharType="end"/>
      </w:r>
    </w:p>
    <w:p>
      <w:pPr>
        <w:pStyle w:val="TOC8"/>
        <w:rPr>
          <w:rFonts w:asciiTheme="minorHAnsi" w:eastAsiaTheme="minorEastAsia" w:hAnsiTheme="minorHAnsi" w:cstheme="minorBidi"/>
          <w:szCs w:val="22"/>
        </w:rPr>
      </w:pPr>
      <w:r>
        <w:t>16.</w:t>
      </w:r>
      <w:r>
        <w:tab/>
        <w:t>Casual vacancy</w:t>
      </w:r>
      <w:r>
        <w:tab/>
      </w:r>
      <w:r>
        <w:fldChar w:fldCharType="begin"/>
      </w:r>
      <w:r>
        <w:instrText xml:space="preserve"> PAGEREF _Toc384990871 \h </w:instrText>
      </w:r>
      <w:r>
        <w:fldChar w:fldCharType="separate"/>
      </w:r>
      <w:r>
        <w:t>9</w:t>
      </w:r>
      <w:r>
        <w:fldChar w:fldCharType="end"/>
      </w:r>
    </w:p>
    <w:p>
      <w:pPr>
        <w:pStyle w:val="TOC8"/>
        <w:rPr>
          <w:rFonts w:asciiTheme="minorHAnsi" w:eastAsiaTheme="minorEastAsia" w:hAnsiTheme="minorHAnsi" w:cstheme="minorBidi"/>
          <w:szCs w:val="22"/>
        </w:rPr>
      </w:pPr>
      <w:r>
        <w:t>17.</w:t>
      </w:r>
      <w:r>
        <w:tab/>
        <w:t>Remuneration and conditions of chief employee</w:t>
      </w:r>
      <w:r>
        <w:tab/>
      </w:r>
      <w:r>
        <w:fldChar w:fldCharType="begin"/>
      </w:r>
      <w:r>
        <w:instrText xml:space="preserve"> PAGEREF _Toc384990872 \h </w:instrText>
      </w:r>
      <w:r>
        <w:fldChar w:fldCharType="separate"/>
      </w:r>
      <w:r>
        <w:t>10</w:t>
      </w:r>
      <w:r>
        <w:fldChar w:fldCharType="end"/>
      </w:r>
    </w:p>
    <w:p>
      <w:pPr>
        <w:pStyle w:val="TOC8"/>
        <w:rPr>
          <w:rFonts w:asciiTheme="minorHAnsi" w:eastAsiaTheme="minorEastAsia" w:hAnsiTheme="minorHAnsi" w:cstheme="minorBidi"/>
          <w:szCs w:val="22"/>
        </w:rPr>
      </w:pPr>
      <w:r>
        <w:t>18.</w:t>
      </w:r>
      <w:r>
        <w:tab/>
        <w:t>Appointment of public service officer</w:t>
      </w:r>
      <w:r>
        <w:tab/>
      </w:r>
      <w:r>
        <w:fldChar w:fldCharType="begin"/>
      </w:r>
      <w:r>
        <w:instrText xml:space="preserve"> PAGEREF _Toc384990873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Other staff and facilities</w:t>
      </w:r>
    </w:p>
    <w:p>
      <w:pPr>
        <w:pStyle w:val="TOC8"/>
        <w:rPr>
          <w:rFonts w:asciiTheme="minorHAnsi" w:eastAsiaTheme="minorEastAsia" w:hAnsiTheme="minorHAnsi" w:cstheme="minorBidi"/>
          <w:szCs w:val="22"/>
        </w:rPr>
      </w:pPr>
      <w:r>
        <w:t>19.</w:t>
      </w:r>
      <w:r>
        <w:tab/>
        <w:t>Other staff</w:t>
      </w:r>
      <w:r>
        <w:tab/>
      </w:r>
      <w:r>
        <w:fldChar w:fldCharType="begin"/>
      </w:r>
      <w:r>
        <w:instrText xml:space="preserve"> PAGEREF _Toc384990875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government staff and facilities</w:t>
      </w:r>
      <w:r>
        <w:tab/>
      </w:r>
      <w:r>
        <w:fldChar w:fldCharType="begin"/>
      </w:r>
      <w:r>
        <w:instrText xml:space="preserve"> PAGEREF _Toc384990876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21.</w:t>
      </w:r>
      <w:r>
        <w:tab/>
        <w:t>Bank account</w:t>
      </w:r>
      <w:r>
        <w:tab/>
      </w:r>
      <w:r>
        <w:fldChar w:fldCharType="begin"/>
      </w:r>
      <w:r>
        <w:instrText xml:space="preserve"> PAGEREF _Toc384990878 \h </w:instrText>
      </w:r>
      <w:r>
        <w:fldChar w:fldCharType="separate"/>
      </w:r>
      <w:r>
        <w:t>12</w:t>
      </w:r>
      <w:r>
        <w:fldChar w:fldCharType="end"/>
      </w:r>
    </w:p>
    <w:p>
      <w:pPr>
        <w:pStyle w:val="TOC8"/>
        <w:rPr>
          <w:rFonts w:asciiTheme="minorHAnsi" w:eastAsiaTheme="minorEastAsia" w:hAnsiTheme="minorHAnsi" w:cstheme="minorBidi"/>
          <w:szCs w:val="22"/>
        </w:rPr>
      </w:pPr>
      <w:r>
        <w:t>22.</w:t>
      </w:r>
      <w:r>
        <w:tab/>
        <w:t>Borrowing from Treasurer</w:t>
      </w:r>
      <w:r>
        <w:tab/>
      </w:r>
      <w:r>
        <w:fldChar w:fldCharType="begin"/>
      </w:r>
      <w:r>
        <w:instrText xml:space="preserve"> PAGEREF _Toc384990879 \h </w:instrText>
      </w:r>
      <w:r>
        <w:fldChar w:fldCharType="separate"/>
      </w:r>
      <w:r>
        <w:t>13</w:t>
      </w:r>
      <w:r>
        <w:fldChar w:fldCharType="end"/>
      </w:r>
    </w:p>
    <w:p>
      <w:pPr>
        <w:pStyle w:val="TOC8"/>
        <w:rPr>
          <w:rFonts w:asciiTheme="minorHAnsi" w:eastAsiaTheme="minorEastAsia" w:hAnsiTheme="minorHAnsi" w:cstheme="minorBidi"/>
          <w:szCs w:val="22"/>
        </w:rPr>
      </w:pPr>
      <w:r>
        <w:t>23.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_Toc384990880 \h </w:instrText>
      </w:r>
      <w:r>
        <w:fldChar w:fldCharType="separate"/>
      </w:r>
      <w:r>
        <w:t>13</w:t>
      </w:r>
      <w:r>
        <w:fldChar w:fldCharType="end"/>
      </w:r>
    </w:p>
    <w:p>
      <w:pPr>
        <w:pStyle w:val="TOC8"/>
        <w:rPr>
          <w:rFonts w:asciiTheme="minorHAnsi" w:eastAsiaTheme="minorEastAsia" w:hAnsiTheme="minorHAnsi" w:cstheme="minorBidi"/>
          <w:szCs w:val="22"/>
        </w:rPr>
      </w:pPr>
      <w:r>
        <w:t>24.</w:t>
      </w:r>
      <w:r>
        <w:tab/>
        <w:t>Separate financial records</w:t>
      </w:r>
      <w:r>
        <w:tab/>
      </w:r>
      <w:r>
        <w:fldChar w:fldCharType="begin"/>
      </w:r>
      <w:r>
        <w:instrText xml:space="preserve"> PAGEREF _Toc384990881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Functions of Authority</w:t>
      </w:r>
    </w:p>
    <w:p>
      <w:pPr>
        <w:pStyle w:val="TOC8"/>
        <w:rPr>
          <w:rFonts w:asciiTheme="minorHAnsi" w:eastAsiaTheme="minorEastAsia" w:hAnsiTheme="minorHAnsi" w:cstheme="minorBidi"/>
          <w:szCs w:val="22"/>
        </w:rPr>
      </w:pPr>
      <w:r>
        <w:t>25.</w:t>
      </w:r>
      <w:r>
        <w:tab/>
        <w:t>Functions</w:t>
      </w:r>
      <w:r>
        <w:tab/>
      </w:r>
      <w:r>
        <w:fldChar w:fldCharType="begin"/>
      </w:r>
      <w:r>
        <w:instrText xml:space="preserve"> PAGEREF _Toc384990883 \h </w:instrText>
      </w:r>
      <w:r>
        <w:fldChar w:fldCharType="separate"/>
      </w:r>
      <w:r>
        <w:t>15</w:t>
      </w:r>
      <w:r>
        <w:fldChar w:fldCharType="end"/>
      </w:r>
    </w:p>
    <w:p>
      <w:pPr>
        <w:pStyle w:val="TOC8"/>
        <w:rPr>
          <w:rFonts w:asciiTheme="minorHAnsi" w:eastAsiaTheme="minorEastAsia" w:hAnsiTheme="minorHAnsi" w:cstheme="minorBidi"/>
          <w:szCs w:val="22"/>
        </w:rPr>
      </w:pPr>
      <w:r>
        <w:t>26.</w:t>
      </w:r>
      <w:r>
        <w:tab/>
        <w:t>Authority to have regard to certain matters</w:t>
      </w:r>
      <w:r>
        <w:tab/>
      </w:r>
      <w:r>
        <w:fldChar w:fldCharType="begin"/>
      </w:r>
      <w:r>
        <w:instrText xml:space="preserve"> PAGEREF _Toc384990884 \h </w:instrText>
      </w:r>
      <w:r>
        <w:fldChar w:fldCharType="separate"/>
      </w:r>
      <w:r>
        <w:t>15</w:t>
      </w:r>
      <w:r>
        <w:fldChar w:fldCharType="end"/>
      </w:r>
    </w:p>
    <w:p>
      <w:pPr>
        <w:pStyle w:val="TOC8"/>
        <w:rPr>
          <w:rFonts w:asciiTheme="minorHAnsi" w:eastAsiaTheme="minorEastAsia" w:hAnsiTheme="minorHAnsi" w:cstheme="minorBidi"/>
          <w:szCs w:val="22"/>
        </w:rPr>
      </w:pPr>
      <w:r>
        <w:t>27.</w:t>
      </w:r>
      <w:r>
        <w:tab/>
        <w:t>Powers</w:t>
      </w:r>
      <w:r>
        <w:tab/>
      </w:r>
      <w:r>
        <w:fldChar w:fldCharType="begin"/>
      </w:r>
      <w:r>
        <w:instrText xml:space="preserve"> PAGEREF _Toc384990885 \h </w:instrText>
      </w:r>
      <w:r>
        <w:fldChar w:fldCharType="separate"/>
      </w:r>
      <w:r>
        <w:t>16</w:t>
      </w:r>
      <w:r>
        <w:fldChar w:fldCharType="end"/>
      </w:r>
    </w:p>
    <w:p>
      <w:pPr>
        <w:pStyle w:val="TOC8"/>
        <w:rPr>
          <w:rFonts w:asciiTheme="minorHAnsi" w:eastAsiaTheme="minorEastAsia" w:hAnsiTheme="minorHAnsi" w:cstheme="minorBidi"/>
          <w:szCs w:val="22"/>
        </w:rPr>
      </w:pPr>
      <w:r>
        <w:t>28.</w:t>
      </w:r>
      <w:r>
        <w:tab/>
        <w:t>Independence of Authority</w:t>
      </w:r>
      <w:r>
        <w:tab/>
      </w:r>
      <w:r>
        <w:fldChar w:fldCharType="begin"/>
      </w:r>
      <w:r>
        <w:instrText xml:space="preserve"> PAGEREF _Toc384990886 \h </w:instrText>
      </w:r>
      <w:r>
        <w:fldChar w:fldCharType="separate"/>
      </w:r>
      <w:r>
        <w:t>16</w:t>
      </w:r>
      <w:r>
        <w:fldChar w:fldCharType="end"/>
      </w:r>
    </w:p>
    <w:p>
      <w:pPr>
        <w:pStyle w:val="TOC8"/>
        <w:rPr>
          <w:rFonts w:asciiTheme="minorHAnsi" w:eastAsiaTheme="minorEastAsia" w:hAnsiTheme="minorHAnsi" w:cstheme="minorBidi"/>
          <w:szCs w:val="22"/>
        </w:rPr>
      </w:pPr>
      <w:r>
        <w:t>29.</w:t>
      </w:r>
      <w:r>
        <w:tab/>
        <w:t>Delegation</w:t>
      </w:r>
      <w:r>
        <w:tab/>
      </w:r>
      <w:r>
        <w:fldChar w:fldCharType="begin"/>
      </w:r>
      <w:r>
        <w:instrText xml:space="preserve"> PAGEREF _Toc384990887 \h </w:instrText>
      </w:r>
      <w:r>
        <w:fldChar w:fldCharType="separate"/>
      </w:r>
      <w:r>
        <w:t>17</w:t>
      </w:r>
      <w:r>
        <w:fldChar w:fldCharType="end"/>
      </w:r>
    </w:p>
    <w:p>
      <w:pPr>
        <w:pStyle w:val="TOC8"/>
        <w:rPr>
          <w:rFonts w:asciiTheme="minorHAnsi" w:eastAsiaTheme="minorEastAsia" w:hAnsiTheme="minorHAnsi" w:cstheme="minorBidi"/>
          <w:szCs w:val="22"/>
        </w:rPr>
      </w:pPr>
      <w:r>
        <w:t>30.</w:t>
      </w:r>
      <w:r>
        <w:tab/>
        <w:t>Conflict of interest</w:t>
      </w:r>
      <w:r>
        <w:tab/>
      </w:r>
      <w:r>
        <w:fldChar w:fldCharType="begin"/>
      </w:r>
      <w:r>
        <w:instrText xml:space="preserve"> PAGEREF _Toc384990888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5 — References</w:t>
      </w:r>
    </w:p>
    <w:p>
      <w:pPr>
        <w:pStyle w:val="TOC4"/>
        <w:tabs>
          <w:tab w:val="right" w:leader="dot" w:pos="7086"/>
        </w:tabs>
        <w:rPr>
          <w:rFonts w:asciiTheme="minorHAnsi" w:eastAsiaTheme="minorEastAsia" w:hAnsiTheme="minorHAnsi" w:cstheme="minorBidi"/>
          <w:b w:val="0"/>
          <w:szCs w:val="22"/>
        </w:rPr>
      </w:pPr>
      <w:r>
        <w:t>Division 1 — References on regulated industries</w:t>
      </w:r>
    </w:p>
    <w:p>
      <w:pPr>
        <w:pStyle w:val="TOC8"/>
        <w:rPr>
          <w:rFonts w:asciiTheme="minorHAnsi" w:eastAsiaTheme="minorEastAsia" w:hAnsiTheme="minorHAnsi" w:cstheme="minorBidi"/>
          <w:szCs w:val="22"/>
        </w:rPr>
      </w:pPr>
      <w:r>
        <w:t>31.</w:t>
      </w:r>
      <w:r>
        <w:tab/>
        <w:t>Term used: reference</w:t>
      </w:r>
      <w:r>
        <w:tab/>
      </w:r>
      <w:r>
        <w:fldChar w:fldCharType="begin"/>
      </w:r>
      <w:r>
        <w:instrText xml:space="preserve"> PAGEREF _Toc384990891 \h </w:instrText>
      </w:r>
      <w:r>
        <w:fldChar w:fldCharType="separate"/>
      </w:r>
      <w:r>
        <w:t>19</w:t>
      </w:r>
      <w:r>
        <w:fldChar w:fldCharType="end"/>
      </w:r>
    </w:p>
    <w:p>
      <w:pPr>
        <w:pStyle w:val="TOC8"/>
        <w:rPr>
          <w:rFonts w:asciiTheme="minorHAnsi" w:eastAsiaTheme="minorEastAsia" w:hAnsiTheme="minorHAnsi" w:cstheme="minorBidi"/>
          <w:szCs w:val="22"/>
        </w:rPr>
      </w:pPr>
      <w:r>
        <w:t>32.</w:t>
      </w:r>
      <w:r>
        <w:tab/>
        <w:t>References</w:t>
      </w:r>
      <w:r>
        <w:tab/>
      </w:r>
      <w:r>
        <w:fldChar w:fldCharType="begin"/>
      </w:r>
      <w:r>
        <w:instrText xml:space="preserve"> PAGEREF _Toc384990892 \h </w:instrText>
      </w:r>
      <w:r>
        <w:fldChar w:fldCharType="separate"/>
      </w:r>
      <w:r>
        <w:t>19</w:t>
      </w:r>
      <w:r>
        <w:fldChar w:fldCharType="end"/>
      </w:r>
    </w:p>
    <w:p>
      <w:pPr>
        <w:pStyle w:val="TOC8"/>
        <w:rPr>
          <w:rFonts w:asciiTheme="minorHAnsi" w:eastAsiaTheme="minorEastAsia" w:hAnsiTheme="minorHAnsi" w:cstheme="minorBidi"/>
          <w:szCs w:val="22"/>
        </w:rPr>
      </w:pPr>
      <w:r>
        <w:t>33.</w:t>
      </w:r>
      <w:r>
        <w:tab/>
        <w:t>Amendment or withdrawal of reference</w:t>
      </w:r>
      <w:r>
        <w:tab/>
      </w:r>
      <w:r>
        <w:fldChar w:fldCharType="begin"/>
      </w:r>
      <w:r>
        <w:instrText xml:space="preserve"> PAGEREF _Toc384990893 \h </w:instrText>
      </w:r>
      <w:r>
        <w:fldChar w:fldCharType="separate"/>
      </w:r>
      <w:r>
        <w:t>20</w:t>
      </w:r>
      <w:r>
        <w:fldChar w:fldCharType="end"/>
      </w:r>
    </w:p>
    <w:p>
      <w:pPr>
        <w:pStyle w:val="TOC8"/>
        <w:rPr>
          <w:rFonts w:asciiTheme="minorHAnsi" w:eastAsiaTheme="minorEastAsia" w:hAnsiTheme="minorHAnsi" w:cstheme="minorBidi"/>
          <w:szCs w:val="22"/>
        </w:rPr>
      </w:pPr>
      <w:r>
        <w:t>34.</w:t>
      </w:r>
      <w:r>
        <w:tab/>
        <w:t>Notice of reference, amendment or withdrawal</w:t>
      </w:r>
      <w:r>
        <w:tab/>
      </w:r>
      <w:r>
        <w:fldChar w:fldCharType="begin"/>
      </w:r>
      <w:r>
        <w:instrText xml:space="preserve"> PAGEREF _Toc384990894 \h </w:instrText>
      </w:r>
      <w:r>
        <w:fldChar w:fldCharType="separate"/>
      </w:r>
      <w:r>
        <w:t>20</w:t>
      </w:r>
      <w:r>
        <w:fldChar w:fldCharType="end"/>
      </w:r>
    </w:p>
    <w:p>
      <w:pPr>
        <w:pStyle w:val="TOC8"/>
        <w:rPr>
          <w:rFonts w:asciiTheme="minorHAnsi" w:eastAsiaTheme="minorEastAsia" w:hAnsiTheme="minorHAnsi" w:cstheme="minorBidi"/>
          <w:szCs w:val="22"/>
        </w:rPr>
      </w:pPr>
      <w:r>
        <w:t>35.</w:t>
      </w:r>
      <w:r>
        <w:tab/>
        <w:t>Authority to conduct inquiry</w:t>
      </w:r>
      <w:r>
        <w:tab/>
      </w:r>
      <w:r>
        <w:fldChar w:fldCharType="begin"/>
      </w:r>
      <w:r>
        <w:instrText xml:space="preserve"> PAGEREF _Toc384990895 \h </w:instrText>
      </w:r>
      <w:r>
        <w:fldChar w:fldCharType="separate"/>
      </w:r>
      <w:r>
        <w:t>21</w:t>
      </w:r>
      <w:r>
        <w:fldChar w:fldCharType="end"/>
      </w:r>
    </w:p>
    <w:p>
      <w:pPr>
        <w:pStyle w:val="TOC8"/>
        <w:rPr>
          <w:rFonts w:asciiTheme="minorHAnsi" w:eastAsiaTheme="minorEastAsia" w:hAnsiTheme="minorHAnsi" w:cstheme="minorBidi"/>
          <w:szCs w:val="22"/>
        </w:rPr>
      </w:pPr>
      <w:r>
        <w:t>36.</w:t>
      </w:r>
      <w:r>
        <w:tab/>
        <w:t>Reports</w:t>
      </w:r>
      <w:r>
        <w:tab/>
      </w:r>
      <w:r>
        <w:fldChar w:fldCharType="begin"/>
      </w:r>
      <w:r>
        <w:instrText xml:space="preserve"> PAGEREF _Toc384990896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References on other industries</w:t>
      </w:r>
    </w:p>
    <w:p>
      <w:pPr>
        <w:pStyle w:val="TOC8"/>
        <w:rPr>
          <w:rFonts w:asciiTheme="minorHAnsi" w:eastAsiaTheme="minorEastAsia" w:hAnsiTheme="minorHAnsi" w:cstheme="minorBidi"/>
          <w:szCs w:val="22"/>
        </w:rPr>
      </w:pPr>
      <w:r>
        <w:t>37.</w:t>
      </w:r>
      <w:r>
        <w:tab/>
        <w:t>Term used: reference</w:t>
      </w:r>
      <w:r>
        <w:tab/>
      </w:r>
      <w:r>
        <w:fldChar w:fldCharType="begin"/>
      </w:r>
      <w:r>
        <w:instrText xml:space="preserve"> PAGEREF _Toc384990898 \h </w:instrText>
      </w:r>
      <w:r>
        <w:fldChar w:fldCharType="separate"/>
      </w:r>
      <w:r>
        <w:t>21</w:t>
      </w:r>
      <w:r>
        <w:fldChar w:fldCharType="end"/>
      </w:r>
    </w:p>
    <w:p>
      <w:pPr>
        <w:pStyle w:val="TOC8"/>
        <w:rPr>
          <w:rFonts w:asciiTheme="minorHAnsi" w:eastAsiaTheme="minorEastAsia" w:hAnsiTheme="minorHAnsi" w:cstheme="minorBidi"/>
          <w:szCs w:val="22"/>
        </w:rPr>
      </w:pPr>
      <w:r>
        <w:t>38.</w:t>
      </w:r>
      <w:r>
        <w:tab/>
        <w:t>References</w:t>
      </w:r>
      <w:r>
        <w:tab/>
      </w:r>
      <w:r>
        <w:fldChar w:fldCharType="begin"/>
      </w:r>
      <w:r>
        <w:instrText xml:space="preserve"> PAGEREF _Toc384990899 \h </w:instrText>
      </w:r>
      <w:r>
        <w:fldChar w:fldCharType="separate"/>
      </w:r>
      <w:r>
        <w:t>21</w:t>
      </w:r>
      <w:r>
        <w:fldChar w:fldCharType="end"/>
      </w:r>
    </w:p>
    <w:p>
      <w:pPr>
        <w:pStyle w:val="TOC8"/>
        <w:rPr>
          <w:rFonts w:asciiTheme="minorHAnsi" w:eastAsiaTheme="minorEastAsia" w:hAnsiTheme="minorHAnsi" w:cstheme="minorBidi"/>
          <w:szCs w:val="22"/>
        </w:rPr>
      </w:pPr>
      <w:r>
        <w:t>39.</w:t>
      </w:r>
      <w:r>
        <w:tab/>
        <w:t>Amendment or withdrawal of reference</w:t>
      </w:r>
      <w:r>
        <w:tab/>
      </w:r>
      <w:r>
        <w:fldChar w:fldCharType="begin"/>
      </w:r>
      <w:r>
        <w:instrText xml:space="preserve"> PAGEREF _Toc384990900 \h </w:instrText>
      </w:r>
      <w:r>
        <w:fldChar w:fldCharType="separate"/>
      </w:r>
      <w:r>
        <w:t>22</w:t>
      </w:r>
      <w:r>
        <w:fldChar w:fldCharType="end"/>
      </w:r>
    </w:p>
    <w:p>
      <w:pPr>
        <w:pStyle w:val="TOC8"/>
        <w:rPr>
          <w:rFonts w:asciiTheme="minorHAnsi" w:eastAsiaTheme="minorEastAsia" w:hAnsiTheme="minorHAnsi" w:cstheme="minorBidi"/>
          <w:szCs w:val="22"/>
        </w:rPr>
      </w:pPr>
      <w:r>
        <w:t>40.</w:t>
      </w:r>
      <w:r>
        <w:tab/>
        <w:t>Notice of reference, amendment or withdrawal</w:t>
      </w:r>
      <w:r>
        <w:tab/>
      </w:r>
      <w:r>
        <w:fldChar w:fldCharType="begin"/>
      </w:r>
      <w:r>
        <w:instrText xml:space="preserve"> PAGEREF _Toc384990901 \h </w:instrText>
      </w:r>
      <w:r>
        <w:fldChar w:fldCharType="separate"/>
      </w:r>
      <w:r>
        <w:t>22</w:t>
      </w:r>
      <w:r>
        <w:fldChar w:fldCharType="end"/>
      </w:r>
    </w:p>
    <w:p>
      <w:pPr>
        <w:pStyle w:val="TOC8"/>
        <w:rPr>
          <w:rFonts w:asciiTheme="minorHAnsi" w:eastAsiaTheme="minorEastAsia" w:hAnsiTheme="minorHAnsi" w:cstheme="minorBidi"/>
          <w:szCs w:val="22"/>
        </w:rPr>
      </w:pPr>
      <w:r>
        <w:t>41.</w:t>
      </w:r>
      <w:r>
        <w:tab/>
        <w:t>Authority to conduct inquiry</w:t>
      </w:r>
      <w:r>
        <w:tab/>
      </w:r>
      <w:r>
        <w:fldChar w:fldCharType="begin"/>
      </w:r>
      <w:r>
        <w:instrText xml:space="preserve"> PAGEREF _Toc384990902 \h </w:instrText>
      </w:r>
      <w:r>
        <w:fldChar w:fldCharType="separate"/>
      </w:r>
      <w:r>
        <w:t>22</w:t>
      </w:r>
      <w:r>
        <w:fldChar w:fldCharType="end"/>
      </w:r>
    </w:p>
    <w:p>
      <w:pPr>
        <w:pStyle w:val="TOC8"/>
        <w:rPr>
          <w:rFonts w:asciiTheme="minorHAnsi" w:eastAsiaTheme="minorEastAsia" w:hAnsiTheme="minorHAnsi" w:cstheme="minorBidi"/>
          <w:szCs w:val="22"/>
        </w:rPr>
      </w:pPr>
      <w:r>
        <w:t>42.</w:t>
      </w:r>
      <w:r>
        <w:tab/>
        <w:t>Reports</w:t>
      </w:r>
      <w:r>
        <w:tab/>
      </w:r>
      <w:r>
        <w:fldChar w:fldCharType="begin"/>
      </w:r>
      <w:r>
        <w:instrText xml:space="preserve"> PAGEREF _Toc384990903 \h </w:instrText>
      </w:r>
      <w:r>
        <w:fldChar w:fldCharType="separate"/>
      </w:r>
      <w:r>
        <w:t>22</w:t>
      </w:r>
      <w:r>
        <w:fldChar w:fldCharType="end"/>
      </w:r>
    </w:p>
    <w:p>
      <w:pPr>
        <w:pStyle w:val="TOC8"/>
        <w:rPr>
          <w:rFonts w:asciiTheme="minorHAnsi" w:eastAsiaTheme="minorEastAsia" w:hAnsiTheme="minorHAnsi" w:cstheme="minorBidi"/>
          <w:szCs w:val="22"/>
        </w:rPr>
      </w:pPr>
      <w:r>
        <w:t>43.</w:t>
      </w:r>
      <w:r>
        <w:tab/>
        <w:t>Preparation of reports for purposes of s. 42(2)</w:t>
      </w:r>
      <w:r>
        <w:tab/>
      </w:r>
      <w:r>
        <w:fldChar w:fldCharType="begin"/>
      </w:r>
      <w:r>
        <w:instrText xml:space="preserve"> PAGEREF _Toc384990904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44.</w:t>
      </w:r>
      <w:r>
        <w:tab/>
        <w:t>Term used: inquiry</w:t>
      </w:r>
      <w:r>
        <w:tab/>
      </w:r>
      <w:r>
        <w:fldChar w:fldCharType="begin"/>
      </w:r>
      <w:r>
        <w:instrText xml:space="preserve"> PAGEREF _Toc384990906 \h </w:instrText>
      </w:r>
      <w:r>
        <w:fldChar w:fldCharType="separate"/>
      </w:r>
      <w:r>
        <w:t>23</w:t>
      </w:r>
      <w:r>
        <w:fldChar w:fldCharType="end"/>
      </w:r>
    </w:p>
    <w:p>
      <w:pPr>
        <w:pStyle w:val="TOC8"/>
        <w:rPr>
          <w:rFonts w:asciiTheme="minorHAnsi" w:eastAsiaTheme="minorEastAsia" w:hAnsiTheme="minorHAnsi" w:cstheme="minorBidi"/>
          <w:szCs w:val="22"/>
        </w:rPr>
      </w:pPr>
      <w:r>
        <w:t>45.</w:t>
      </w:r>
      <w:r>
        <w:tab/>
        <w:t>Authority to act through a member or members when conducting inquiry</w:t>
      </w:r>
      <w:r>
        <w:tab/>
      </w:r>
      <w:r>
        <w:fldChar w:fldCharType="begin"/>
      </w:r>
      <w:r>
        <w:instrText xml:space="preserve"> PAGEREF _Toc384990907 \h </w:instrText>
      </w:r>
      <w:r>
        <w:fldChar w:fldCharType="separate"/>
      </w:r>
      <w:r>
        <w:t>23</w:t>
      </w:r>
      <w:r>
        <w:fldChar w:fldCharType="end"/>
      </w:r>
    </w:p>
    <w:p>
      <w:pPr>
        <w:pStyle w:val="TOC8"/>
        <w:rPr>
          <w:rFonts w:asciiTheme="minorHAnsi" w:eastAsiaTheme="minorEastAsia" w:hAnsiTheme="minorHAnsi" w:cstheme="minorBidi"/>
          <w:szCs w:val="22"/>
        </w:rPr>
      </w:pPr>
      <w:r>
        <w:t>46.</w:t>
      </w:r>
      <w:r>
        <w:tab/>
        <w:t>Conduct of inquiry</w:t>
      </w:r>
      <w:r>
        <w:tab/>
      </w:r>
      <w:r>
        <w:fldChar w:fldCharType="begin"/>
      </w:r>
      <w:r>
        <w:instrText xml:space="preserve"> PAGEREF _Toc384990908 \h </w:instrText>
      </w:r>
      <w:r>
        <w:fldChar w:fldCharType="separate"/>
      </w:r>
      <w:r>
        <w:t>24</w:t>
      </w:r>
      <w:r>
        <w:fldChar w:fldCharType="end"/>
      </w:r>
    </w:p>
    <w:p>
      <w:pPr>
        <w:pStyle w:val="TOC8"/>
        <w:rPr>
          <w:rFonts w:asciiTheme="minorHAnsi" w:eastAsiaTheme="minorEastAsia" w:hAnsiTheme="minorHAnsi" w:cstheme="minorBidi"/>
          <w:szCs w:val="22"/>
        </w:rPr>
      </w:pPr>
      <w:r>
        <w:t>47.</w:t>
      </w:r>
      <w:r>
        <w:tab/>
        <w:t>Powers relating to inquiry</w:t>
      </w:r>
      <w:r>
        <w:tab/>
      </w:r>
      <w:r>
        <w:fldChar w:fldCharType="begin"/>
      </w:r>
      <w:r>
        <w:instrText xml:space="preserve"> PAGEREF _Toc384990909 \h </w:instrText>
      </w:r>
      <w:r>
        <w:fldChar w:fldCharType="separate"/>
      </w:r>
      <w:r>
        <w:t>24</w:t>
      </w:r>
      <w:r>
        <w:fldChar w:fldCharType="end"/>
      </w:r>
    </w:p>
    <w:p>
      <w:pPr>
        <w:pStyle w:val="TOC8"/>
        <w:rPr>
          <w:rFonts w:asciiTheme="minorHAnsi" w:eastAsiaTheme="minorEastAsia" w:hAnsiTheme="minorHAnsi" w:cstheme="minorBidi"/>
          <w:szCs w:val="22"/>
        </w:rPr>
      </w:pPr>
      <w:r>
        <w:t>48.</w:t>
      </w:r>
      <w:r>
        <w:tab/>
        <w:t>Offences in relation to inquiry</w:t>
      </w:r>
      <w:r>
        <w:tab/>
      </w:r>
      <w:r>
        <w:fldChar w:fldCharType="begin"/>
      </w:r>
      <w:r>
        <w:instrText xml:space="preserve"> PAGEREF _Toc384990910 \h </w:instrText>
      </w:r>
      <w:r>
        <w:fldChar w:fldCharType="separate"/>
      </w:r>
      <w:r>
        <w:t>25</w:t>
      </w:r>
      <w:r>
        <w:fldChar w:fldCharType="end"/>
      </w:r>
    </w:p>
    <w:p>
      <w:pPr>
        <w:pStyle w:val="TOC8"/>
        <w:rPr>
          <w:rFonts w:asciiTheme="minorHAnsi" w:eastAsiaTheme="minorEastAsia" w:hAnsiTheme="minorHAnsi" w:cstheme="minorBidi"/>
          <w:szCs w:val="22"/>
        </w:rPr>
      </w:pPr>
      <w:r>
        <w:t>49.</w:t>
      </w:r>
      <w:r>
        <w:tab/>
        <w:t>Incriminating answers or documents</w:t>
      </w:r>
      <w:r>
        <w:tab/>
      </w:r>
      <w:r>
        <w:fldChar w:fldCharType="begin"/>
      </w:r>
      <w:r>
        <w:instrText xml:space="preserve"> PAGEREF _Toc384990911 \h </w:instrText>
      </w:r>
      <w:r>
        <w:fldChar w:fldCharType="separate"/>
      </w:r>
      <w:r>
        <w:t>26</w:t>
      </w:r>
      <w:r>
        <w:fldChar w:fldCharType="end"/>
      </w:r>
    </w:p>
    <w:p>
      <w:pPr>
        <w:pStyle w:val="TOC8"/>
        <w:rPr>
          <w:rFonts w:asciiTheme="minorHAnsi" w:eastAsiaTheme="minorEastAsia" w:hAnsiTheme="minorHAnsi" w:cstheme="minorBidi"/>
          <w:szCs w:val="22"/>
        </w:rPr>
      </w:pPr>
      <w:r>
        <w:t>50.</w:t>
      </w:r>
      <w:r>
        <w:tab/>
        <w:t>Protection for person assisting Authority</w:t>
      </w:r>
      <w:r>
        <w:tab/>
      </w:r>
      <w:r>
        <w:fldChar w:fldCharType="begin"/>
      </w:r>
      <w:r>
        <w:instrText xml:space="preserve"> PAGEREF _Toc384990912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Collection and use of information</w:t>
      </w:r>
    </w:p>
    <w:p>
      <w:pPr>
        <w:pStyle w:val="TOC8"/>
        <w:rPr>
          <w:rFonts w:asciiTheme="minorHAnsi" w:eastAsiaTheme="minorEastAsia" w:hAnsiTheme="minorHAnsi" w:cstheme="minorBidi"/>
          <w:szCs w:val="22"/>
        </w:rPr>
      </w:pPr>
      <w:r>
        <w:t>51.</w:t>
      </w:r>
      <w:r>
        <w:tab/>
        <w:t>Power to obtain information and documents</w:t>
      </w:r>
      <w:r>
        <w:tab/>
      </w:r>
      <w:r>
        <w:fldChar w:fldCharType="begin"/>
      </w:r>
      <w:r>
        <w:instrText xml:space="preserve"> PAGEREF _Toc384990914 \h </w:instrText>
      </w:r>
      <w:r>
        <w:fldChar w:fldCharType="separate"/>
      </w:r>
      <w:r>
        <w:t>27</w:t>
      </w:r>
      <w:r>
        <w:fldChar w:fldCharType="end"/>
      </w:r>
    </w:p>
    <w:p>
      <w:pPr>
        <w:pStyle w:val="TOC8"/>
        <w:rPr>
          <w:rFonts w:asciiTheme="minorHAnsi" w:eastAsiaTheme="minorEastAsia" w:hAnsiTheme="minorHAnsi" w:cstheme="minorBidi"/>
          <w:szCs w:val="22"/>
        </w:rPr>
      </w:pPr>
      <w:r>
        <w:t>52.</w:t>
      </w:r>
      <w:r>
        <w:tab/>
        <w:t>Offences</w:t>
      </w:r>
      <w:r>
        <w:tab/>
      </w:r>
      <w:r>
        <w:fldChar w:fldCharType="begin"/>
      </w:r>
      <w:r>
        <w:instrText xml:space="preserve"> PAGEREF _Toc384990915 \h </w:instrText>
      </w:r>
      <w:r>
        <w:fldChar w:fldCharType="separate"/>
      </w:r>
      <w:r>
        <w:t>27</w:t>
      </w:r>
      <w:r>
        <w:fldChar w:fldCharType="end"/>
      </w:r>
    </w:p>
    <w:p>
      <w:pPr>
        <w:pStyle w:val="TOC8"/>
        <w:rPr>
          <w:rFonts w:asciiTheme="minorHAnsi" w:eastAsiaTheme="minorEastAsia" w:hAnsiTheme="minorHAnsi" w:cstheme="minorBidi"/>
          <w:szCs w:val="22"/>
        </w:rPr>
      </w:pPr>
      <w:r>
        <w:t>53.</w:t>
      </w:r>
      <w:r>
        <w:tab/>
        <w:t>Incriminating information or documents</w:t>
      </w:r>
      <w:r>
        <w:tab/>
      </w:r>
      <w:r>
        <w:fldChar w:fldCharType="begin"/>
      </w:r>
      <w:r>
        <w:instrText xml:space="preserve"> PAGEREF _Toc384990916 \h </w:instrText>
      </w:r>
      <w:r>
        <w:fldChar w:fldCharType="separate"/>
      </w:r>
      <w:r>
        <w:t>28</w:t>
      </w:r>
      <w:r>
        <w:fldChar w:fldCharType="end"/>
      </w:r>
    </w:p>
    <w:p>
      <w:pPr>
        <w:pStyle w:val="TOC8"/>
        <w:rPr>
          <w:rFonts w:asciiTheme="minorHAnsi" w:eastAsiaTheme="minorEastAsia" w:hAnsiTheme="minorHAnsi" w:cstheme="minorBidi"/>
          <w:szCs w:val="22"/>
        </w:rPr>
      </w:pPr>
      <w:r>
        <w:t>54.</w:t>
      </w:r>
      <w:r>
        <w:tab/>
        <w:t>Protection for person giving information or document</w:t>
      </w:r>
      <w:r>
        <w:tab/>
      </w:r>
      <w:r>
        <w:fldChar w:fldCharType="begin"/>
      </w:r>
      <w:r>
        <w:instrText xml:space="preserve"> PAGEREF _Toc384990917 \h </w:instrText>
      </w:r>
      <w:r>
        <w:fldChar w:fldCharType="separate"/>
      </w:r>
      <w:r>
        <w:t>28</w:t>
      </w:r>
      <w:r>
        <w:fldChar w:fldCharType="end"/>
      </w:r>
    </w:p>
    <w:p>
      <w:pPr>
        <w:pStyle w:val="TOC8"/>
        <w:rPr>
          <w:rFonts w:asciiTheme="minorHAnsi" w:eastAsiaTheme="minorEastAsia" w:hAnsiTheme="minorHAnsi" w:cstheme="minorBidi"/>
          <w:szCs w:val="22"/>
        </w:rPr>
      </w:pPr>
      <w:r>
        <w:t>55.</w:t>
      </w:r>
      <w:r>
        <w:tab/>
        <w:t>Restriction on disclosure of confidential information</w:t>
      </w:r>
      <w:r>
        <w:tab/>
      </w:r>
      <w:r>
        <w:fldChar w:fldCharType="begin"/>
      </w:r>
      <w:r>
        <w:instrText xml:space="preserve"> PAGEREF _Toc384990918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56.</w:t>
      </w:r>
      <w:r>
        <w:tab/>
        <w:t>Protection from liability for wrongdoing</w:t>
      </w:r>
      <w:r>
        <w:tab/>
      </w:r>
      <w:r>
        <w:fldChar w:fldCharType="begin"/>
      </w:r>
      <w:r>
        <w:instrText xml:space="preserve"> PAGEREF _Toc384990920 \h </w:instrText>
      </w:r>
      <w:r>
        <w:fldChar w:fldCharType="separate"/>
      </w:r>
      <w:r>
        <w:t>30</w:t>
      </w:r>
      <w:r>
        <w:fldChar w:fldCharType="end"/>
      </w:r>
    </w:p>
    <w:p>
      <w:pPr>
        <w:pStyle w:val="TOC8"/>
        <w:rPr>
          <w:rFonts w:asciiTheme="minorHAnsi" w:eastAsiaTheme="minorEastAsia" w:hAnsiTheme="minorHAnsi" w:cstheme="minorBidi"/>
          <w:szCs w:val="22"/>
        </w:rPr>
      </w:pPr>
      <w:r>
        <w:t>57.</w:t>
      </w:r>
      <w:r>
        <w:tab/>
        <w:t>Confidentiality</w:t>
      </w:r>
      <w:r>
        <w:tab/>
      </w:r>
      <w:r>
        <w:fldChar w:fldCharType="begin"/>
      </w:r>
      <w:r>
        <w:instrText xml:space="preserve"> PAGEREF _Toc384990921 \h </w:instrText>
      </w:r>
      <w:r>
        <w:fldChar w:fldCharType="separate"/>
      </w:r>
      <w:r>
        <w:t>30</w:t>
      </w:r>
      <w:r>
        <w:fldChar w:fldCharType="end"/>
      </w:r>
    </w:p>
    <w:p>
      <w:pPr>
        <w:pStyle w:val="TOC8"/>
        <w:rPr>
          <w:rFonts w:asciiTheme="minorHAnsi" w:eastAsiaTheme="minorEastAsia" w:hAnsiTheme="minorHAnsi" w:cstheme="minorBidi"/>
          <w:szCs w:val="22"/>
        </w:rPr>
      </w:pPr>
      <w:r>
        <w:t>58.</w:t>
      </w:r>
      <w:r>
        <w:tab/>
        <w:t>Intimidation</w:t>
      </w:r>
      <w:r>
        <w:tab/>
      </w:r>
      <w:r>
        <w:fldChar w:fldCharType="begin"/>
      </w:r>
      <w:r>
        <w:instrText xml:space="preserve"> PAGEREF _Toc384990922 \h </w:instrText>
      </w:r>
      <w:r>
        <w:fldChar w:fldCharType="separate"/>
      </w:r>
      <w:r>
        <w:t>31</w:t>
      </w:r>
      <w:r>
        <w:fldChar w:fldCharType="end"/>
      </w:r>
    </w:p>
    <w:p>
      <w:pPr>
        <w:pStyle w:val="TOC8"/>
        <w:rPr>
          <w:rFonts w:asciiTheme="minorHAnsi" w:eastAsiaTheme="minorEastAsia" w:hAnsiTheme="minorHAnsi" w:cstheme="minorBidi"/>
          <w:szCs w:val="22"/>
        </w:rPr>
      </w:pPr>
      <w:r>
        <w:t>59.</w:t>
      </w:r>
      <w:r>
        <w:tab/>
        <w:t>Execution of documents</w:t>
      </w:r>
      <w:r>
        <w:tab/>
      </w:r>
      <w:r>
        <w:fldChar w:fldCharType="begin"/>
      </w:r>
      <w:r>
        <w:instrText xml:space="preserve"> PAGEREF _Toc384990923 \h </w:instrText>
      </w:r>
      <w:r>
        <w:fldChar w:fldCharType="separate"/>
      </w:r>
      <w:r>
        <w:t>31</w:t>
      </w:r>
      <w:r>
        <w:fldChar w:fldCharType="end"/>
      </w:r>
    </w:p>
    <w:p>
      <w:pPr>
        <w:pStyle w:val="TOC8"/>
        <w:rPr>
          <w:rFonts w:asciiTheme="minorHAnsi" w:eastAsiaTheme="minorEastAsia" w:hAnsiTheme="minorHAnsi" w:cstheme="minorBidi"/>
          <w:szCs w:val="22"/>
        </w:rPr>
      </w:pPr>
      <w:r>
        <w:t>60.</w:t>
      </w:r>
      <w:r>
        <w:tab/>
        <w:t>Supplementary provision about laying documents before Parliament</w:t>
      </w:r>
      <w:r>
        <w:tab/>
      </w:r>
      <w:r>
        <w:fldChar w:fldCharType="begin"/>
      </w:r>
      <w:r>
        <w:instrText xml:space="preserve"> PAGEREF _Toc384990924 \h </w:instrText>
      </w:r>
      <w:r>
        <w:fldChar w:fldCharType="separate"/>
      </w:r>
      <w:r>
        <w:t>32</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_Toc384990925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_Toc384990926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Schedule 1 — Meetings of governing body</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_Toc384990928 \h </w:instrText>
      </w:r>
      <w:r>
        <w:fldChar w:fldCharType="separate"/>
      </w:r>
      <w:r>
        <w:t>35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_Toc384990929 \h </w:instrText>
      </w:r>
      <w:r>
        <w:fldChar w:fldCharType="separate"/>
      </w:r>
      <w:r>
        <w:t>35</w:t>
      </w:r>
      <w:r>
        <w:fldChar w:fldCharType="end"/>
      </w:r>
    </w:p>
    <w:p>
      <w:pPr>
        <w:pStyle w:val="TOC8"/>
        <w:rPr>
          <w:rFonts w:asciiTheme="minorHAnsi" w:eastAsiaTheme="minorEastAsia" w:hAnsiTheme="minorHAnsi" w:cstheme="minorBidi"/>
          <w:szCs w:val="22"/>
        </w:rPr>
      </w:pPr>
      <w:r>
        <w:t>3.</w:t>
      </w:r>
      <w:r>
        <w:tab/>
        <w:t>General procedure</w:t>
      </w:r>
      <w:r>
        <w:tab/>
      </w:r>
      <w:r>
        <w:fldChar w:fldCharType="begin"/>
      </w:r>
      <w:r>
        <w:instrText xml:space="preserve"> PAGEREF _Toc384990930 \h </w:instrText>
      </w:r>
      <w:r>
        <w:fldChar w:fldCharType="separate"/>
      </w:r>
      <w:r>
        <w:t>35</w:t>
      </w:r>
      <w:r>
        <w:fldChar w:fldCharType="end"/>
      </w:r>
    </w:p>
    <w:p>
      <w:pPr>
        <w:pStyle w:val="TOC8"/>
        <w:rPr>
          <w:rFonts w:asciiTheme="minorHAnsi" w:eastAsiaTheme="minorEastAsia" w:hAnsiTheme="minorHAnsi" w:cstheme="minorBidi"/>
          <w:szCs w:val="22"/>
        </w:rPr>
      </w:pPr>
      <w:r>
        <w:t>4.</w:t>
      </w:r>
      <w:r>
        <w:tab/>
        <w:t>Presiding member</w:t>
      </w:r>
      <w:r>
        <w:tab/>
      </w:r>
      <w:r>
        <w:fldChar w:fldCharType="begin"/>
      </w:r>
      <w:r>
        <w:instrText xml:space="preserve"> PAGEREF _Toc384990931 \h </w:instrText>
      </w:r>
      <w:r>
        <w:fldChar w:fldCharType="separate"/>
      </w:r>
      <w:r>
        <w:t>35</w:t>
      </w:r>
      <w:r>
        <w:fldChar w:fldCharType="end"/>
      </w:r>
    </w:p>
    <w:p>
      <w:pPr>
        <w:pStyle w:val="TOC8"/>
        <w:rPr>
          <w:rFonts w:asciiTheme="minorHAnsi" w:eastAsiaTheme="minorEastAsia" w:hAnsiTheme="minorHAnsi" w:cstheme="minorBidi"/>
          <w:szCs w:val="22"/>
        </w:rPr>
      </w:pPr>
      <w:r>
        <w:t>5.</w:t>
      </w:r>
      <w:r>
        <w:tab/>
        <w:t>Quorum</w:t>
      </w:r>
      <w:r>
        <w:tab/>
      </w:r>
      <w:r>
        <w:fldChar w:fldCharType="begin"/>
      </w:r>
      <w:r>
        <w:instrText xml:space="preserve"> PAGEREF _Toc384990932 \h </w:instrText>
      </w:r>
      <w:r>
        <w:fldChar w:fldCharType="separate"/>
      </w:r>
      <w:r>
        <w:t>35</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_Toc384990933 \h </w:instrText>
      </w:r>
      <w:r>
        <w:fldChar w:fldCharType="separate"/>
      </w:r>
      <w:r>
        <w:t>35</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_Toc384990934 \h </w:instrText>
      </w:r>
      <w:r>
        <w:fldChar w:fldCharType="separate"/>
      </w:r>
      <w:r>
        <w:t>36</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_Toc384990935 \h </w:instrText>
      </w:r>
      <w:r>
        <w:fldChar w:fldCharType="separate"/>
      </w:r>
      <w:r>
        <w:t>36</w:t>
      </w:r>
      <w:r>
        <w:fldChar w:fldCharType="end"/>
      </w:r>
    </w:p>
    <w:p>
      <w:pPr>
        <w:pStyle w:val="TOC8"/>
        <w:rPr>
          <w:rFonts w:asciiTheme="minorHAnsi" w:eastAsiaTheme="minorEastAsia" w:hAnsiTheme="minorHAnsi" w:cstheme="minorBidi"/>
          <w:szCs w:val="22"/>
        </w:rPr>
      </w:pPr>
      <w:r>
        <w:t>9.</w:t>
      </w:r>
      <w:r>
        <w:tab/>
        <w:t>Holding meetings remotely</w:t>
      </w:r>
      <w:r>
        <w:tab/>
      </w:r>
      <w:r>
        <w:fldChar w:fldCharType="begin"/>
      </w:r>
      <w:r>
        <w:instrText xml:space="preserve"> PAGEREF _Toc384990936 \h </w:instrText>
      </w:r>
      <w:r>
        <w:fldChar w:fldCharType="separate"/>
      </w:r>
      <w:r>
        <w:t>36</w:t>
      </w:r>
      <w:r>
        <w:fldChar w:fldCharType="end"/>
      </w:r>
    </w:p>
    <w:p>
      <w:pPr>
        <w:pStyle w:val="TOC8"/>
        <w:rPr>
          <w:rFonts w:asciiTheme="minorHAnsi" w:eastAsiaTheme="minorEastAsia" w:hAnsiTheme="minorHAnsi" w:cstheme="minorBidi"/>
          <w:szCs w:val="22"/>
        </w:rPr>
      </w:pPr>
      <w:r>
        <w:t>10.</w:t>
      </w:r>
      <w:r>
        <w:tab/>
        <w:t>Leave of absence from meetings</w:t>
      </w:r>
      <w:r>
        <w:tab/>
      </w:r>
      <w:r>
        <w:fldChar w:fldCharType="begin"/>
      </w:r>
      <w:r>
        <w:instrText xml:space="preserve"> PAGEREF _Toc384990937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_Toc384990939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rPr>
          <w:sz w:val="8"/>
          <w:szCs w:val="8"/>
        </w:rPr>
      </w:pPr>
      <w:r>
        <w:fldChar w:fldCharType="end"/>
      </w: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r>
        <w:rPr>
          <w:rStyle w:val="CharSDivNo"/>
          <w:sz w:val="8"/>
          <w:szCs w:val="8"/>
        </w:rPr>
        <w:t xml:space="preserve"> </w:t>
      </w:r>
      <w:r>
        <w:rPr>
          <w:rStyle w:val="CharSDivText"/>
          <w:sz w:val="8"/>
          <w:szCs w:val="8"/>
        </w:rPr>
        <w:t xml:space="preserve"> </w:t>
      </w:r>
      <w:r>
        <w:rPr>
          <w:rStyle w:val="CharSClsNo"/>
          <w:sz w:val="8"/>
          <w:szCs w:val="8"/>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2014</w:t>
            </w:r>
          </w:p>
        </w:tc>
      </w:tr>
    </w:tbl>
    <w:p>
      <w:pPr>
        <w:pStyle w:val="WA"/>
        <w:spacing w:before="120"/>
      </w:pPr>
      <w:r>
        <w:t>Western Australia</w:t>
      </w:r>
    </w:p>
    <w:p>
      <w:pPr>
        <w:pStyle w:val="NameofActReg"/>
        <w:suppressLineNumbers/>
        <w:spacing w:before="140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38499085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499085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 w:name="_Toc384990854"/>
      <w:r>
        <w:rPr>
          <w:rStyle w:val="CharSectno"/>
        </w:rPr>
        <w:t>2</w:t>
      </w:r>
      <w:r>
        <w:rPr>
          <w:snapToGrid w:val="0"/>
        </w:rPr>
        <w:t>.</w:t>
      </w:r>
      <w:r>
        <w:rPr>
          <w:snapToGrid w:val="0"/>
        </w:rPr>
        <w:tab/>
        <w:t>Commencement</w:t>
      </w:r>
      <w:bookmarkEnd w:id="3"/>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w:t>
      </w:r>
      <w:r>
        <w:rPr>
          <w:vertAlign w:val="superscript"/>
        </w:rPr>
        <w:t> 3</w:t>
      </w:r>
      <w:r>
        <w:t xml:space="preserve"> and Schedule 4</w:t>
      </w:r>
      <w:r>
        <w:rPr>
          <w:vertAlign w:val="superscript"/>
        </w:rPr>
        <w:t> 3</w:t>
      </w:r>
      <w:r>
        <w:t xml:space="preserve"> come into operation on the day on which Schedule 2 Division 4</w:t>
      </w:r>
      <w:r>
        <w:rPr>
          <w:vertAlign w:val="superscript"/>
        </w:rPr>
        <w:t> 4</w:t>
      </w:r>
      <w:r>
        <w:t xml:space="preserve"> comes into operation</w:t>
      </w:r>
      <w:r>
        <w:rPr>
          <w:iCs/>
          <w:snapToGrid w:val="0"/>
          <w:vertAlign w:val="superscript"/>
        </w:rPr>
        <w:t> 1</w:t>
      </w:r>
      <w:r>
        <w:t>.</w:t>
      </w:r>
    </w:p>
    <w:p>
      <w:pPr>
        <w:pStyle w:val="Heading5"/>
      </w:pPr>
      <w:bookmarkStart w:id="4" w:name="_Toc384990855"/>
      <w:r>
        <w:rPr>
          <w:rStyle w:val="CharSectno"/>
        </w:rPr>
        <w:t>3</w:t>
      </w:r>
      <w:r>
        <w:t>.</w:t>
      </w:r>
      <w:r>
        <w:tab/>
        <w:t>Terms used</w:t>
      </w:r>
      <w:bookmarkEnd w:id="4"/>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6;</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 or</w:t>
      </w:r>
    </w:p>
    <w:p>
      <w:pPr>
        <w:pStyle w:val="Defpara"/>
      </w:pPr>
      <w:r>
        <w:tab/>
        <w:t>(b)</w:t>
      </w:r>
      <w:r>
        <w:tab/>
        <w:t>the gas industry; or</w:t>
      </w:r>
    </w:p>
    <w:p>
      <w:pPr>
        <w:pStyle w:val="Defpara"/>
      </w:pPr>
      <w:r>
        <w:tab/>
        <w:t>(c)</w:t>
      </w:r>
      <w:r>
        <w:tab/>
        <w:t>the rail industry; or</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 or</w:t>
      </w:r>
    </w:p>
    <w:p>
      <w:pPr>
        <w:pStyle w:val="Defpara"/>
      </w:pPr>
      <w:r>
        <w:tab/>
        <w:t>(b)</w:t>
      </w:r>
      <w:r>
        <w:tab/>
        <w:t>a public service officer referred to in section 19; or</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Sch. 1 cl. 7.]</w:t>
      </w:r>
    </w:p>
    <w:p>
      <w:pPr>
        <w:pStyle w:val="Heading2"/>
      </w:pPr>
      <w:bookmarkStart w:id="5" w:name="_Toc384990856"/>
      <w:r>
        <w:rPr>
          <w:rStyle w:val="CharPartNo"/>
        </w:rPr>
        <w:t>Part 2</w:t>
      </w:r>
      <w:r>
        <w:rPr>
          <w:rStyle w:val="CharDivNo"/>
        </w:rPr>
        <w:t xml:space="preserve"> </w:t>
      </w:r>
      <w:r>
        <w:t>—</w:t>
      </w:r>
      <w:r>
        <w:rPr>
          <w:rStyle w:val="CharDivText"/>
        </w:rPr>
        <w:t xml:space="preserve"> </w:t>
      </w:r>
      <w:r>
        <w:rPr>
          <w:rStyle w:val="CharPartText"/>
        </w:rPr>
        <w:t>Economic Regulation Authority</w:t>
      </w:r>
      <w:bookmarkEnd w:id="5"/>
    </w:p>
    <w:p>
      <w:pPr>
        <w:pStyle w:val="Heading5"/>
      </w:pPr>
      <w:bookmarkStart w:id="6" w:name="_Toc384990857"/>
      <w:r>
        <w:rPr>
          <w:rStyle w:val="CharSectno"/>
        </w:rPr>
        <w:t>4</w:t>
      </w:r>
      <w:r>
        <w:t>.</w:t>
      </w:r>
      <w:r>
        <w:tab/>
        <w:t>Economic Regulation Authority established</w:t>
      </w:r>
      <w:bookmarkEnd w:id="6"/>
    </w:p>
    <w:p>
      <w:pPr>
        <w:pStyle w:val="Subsection"/>
      </w:pPr>
      <w:r>
        <w:tab/>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7" w:name="_Toc384990858"/>
      <w:r>
        <w:rPr>
          <w:rStyle w:val="CharSectno"/>
        </w:rPr>
        <w:t>5</w:t>
      </w:r>
      <w:r>
        <w:t>.</w:t>
      </w:r>
      <w:r>
        <w:tab/>
        <w:t>Status</w:t>
      </w:r>
      <w:bookmarkEnd w:id="7"/>
    </w:p>
    <w:p>
      <w:pPr>
        <w:pStyle w:val="Subsection"/>
      </w:pPr>
      <w:r>
        <w:tab/>
      </w:r>
      <w:r>
        <w:tab/>
        <w:t>The Authority is an agent of the State and has the status, immunities and privileges of the State.</w:t>
      </w:r>
    </w:p>
    <w:p>
      <w:pPr>
        <w:pStyle w:val="Heading5"/>
      </w:pPr>
      <w:bookmarkStart w:id="8" w:name="_Toc384990859"/>
      <w:r>
        <w:rPr>
          <w:rStyle w:val="CharSectno"/>
        </w:rPr>
        <w:t>6</w:t>
      </w:r>
      <w:r>
        <w:t>.</w:t>
      </w:r>
      <w:r>
        <w:tab/>
        <w:t>Management of Authority</w:t>
      </w:r>
      <w:bookmarkEnd w:id="8"/>
    </w:p>
    <w:p>
      <w:pPr>
        <w:pStyle w:val="Subsection"/>
      </w:pPr>
      <w:r>
        <w:tab/>
        <w:t>(1)</w:t>
      </w:r>
      <w:r>
        <w:tab/>
        <w:t xml:space="preserve">The Authority is to have a governing body consisting of — </w:t>
      </w:r>
    </w:p>
    <w:p>
      <w:pPr>
        <w:pStyle w:val="Indenta"/>
      </w:pPr>
      <w:r>
        <w:tab/>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9" w:name="_Toc384990860"/>
      <w:r>
        <w:rPr>
          <w:rStyle w:val="CharSectno"/>
        </w:rPr>
        <w:t>7</w:t>
      </w:r>
      <w:r>
        <w:t>.</w:t>
      </w:r>
      <w:r>
        <w:tab/>
        <w:t>Members</w:t>
      </w:r>
      <w:bookmarkEnd w:id="9"/>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10" w:name="_Toc384990861"/>
      <w:r>
        <w:rPr>
          <w:rStyle w:val="CharSectno"/>
        </w:rPr>
        <w:t>8</w:t>
      </w:r>
      <w:r>
        <w:t>.</w:t>
      </w:r>
      <w:r>
        <w:tab/>
        <w:t>Term of office</w:t>
      </w:r>
      <w:bookmarkEnd w:id="1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11" w:name="_Toc384990862"/>
      <w:r>
        <w:rPr>
          <w:rStyle w:val="CharSectno"/>
        </w:rPr>
        <w:t>9</w:t>
      </w:r>
      <w:r>
        <w:t>.</w:t>
      </w:r>
      <w:r>
        <w:tab/>
        <w:t>Casual vacancy</w:t>
      </w:r>
      <w:bookmarkEnd w:id="1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spacing w:before="70"/>
      </w:pPr>
      <w:r>
        <w:tab/>
        <w:t>(a)</w:t>
      </w:r>
      <w:r>
        <w:tab/>
        <w:t>mental or physical incapacity to carry out the person’s duties in a satisfactory manner; or</w:t>
      </w:r>
    </w:p>
    <w:p>
      <w:pPr>
        <w:pStyle w:val="Indenta"/>
        <w:spacing w:before="70"/>
      </w:pPr>
      <w:r>
        <w:tab/>
        <w:t>(b)</w:t>
      </w:r>
      <w:r>
        <w:tab/>
        <w:t xml:space="preserve">the person being an insolvent under administration within the meaning of that term in the </w:t>
      </w:r>
      <w:r>
        <w:rPr>
          <w:i/>
        </w:rPr>
        <w:t>Corporations Act 2001</w:t>
      </w:r>
      <w:r>
        <w:t xml:space="preserve"> of the Commonwealth; or</w:t>
      </w:r>
    </w:p>
    <w:p>
      <w:pPr>
        <w:pStyle w:val="Indenta"/>
        <w:spacing w:before="70"/>
      </w:pPr>
      <w:r>
        <w:tab/>
        <w:t>(c)</w:t>
      </w:r>
      <w:r>
        <w:tab/>
        <w:t>neglect of duty; or</w:t>
      </w:r>
    </w:p>
    <w:p>
      <w:pPr>
        <w:pStyle w:val="Indenta"/>
        <w:spacing w:before="70"/>
      </w:pPr>
      <w:r>
        <w:tab/>
        <w:t>(d)</w:t>
      </w:r>
      <w:r>
        <w:tab/>
        <w:t>misconduct; or</w:t>
      </w:r>
    </w:p>
    <w:p>
      <w:pPr>
        <w:pStyle w:val="Indenta"/>
        <w:spacing w:before="70"/>
      </w:pPr>
      <w:r>
        <w:tab/>
        <w:t>(e)</w:t>
      </w:r>
      <w:r>
        <w:tab/>
        <w:t>incompetence; or</w:t>
      </w:r>
    </w:p>
    <w:p>
      <w:pPr>
        <w:pStyle w:val="Indenta"/>
        <w:spacing w:before="70"/>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12" w:name="_Toc384990863"/>
      <w:r>
        <w:rPr>
          <w:rStyle w:val="CharSectno"/>
        </w:rPr>
        <w:t>10</w:t>
      </w:r>
      <w:r>
        <w:t>.</w:t>
      </w:r>
      <w:r>
        <w:tab/>
        <w:t>Alternate chairman</w:t>
      </w:r>
      <w:bookmarkEnd w:id="12"/>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13" w:name="_Toc384990864"/>
      <w:r>
        <w:rPr>
          <w:rStyle w:val="CharSectno"/>
        </w:rPr>
        <w:t>11</w:t>
      </w:r>
      <w:r>
        <w:t>.</w:t>
      </w:r>
      <w:r>
        <w:tab/>
        <w:t>Alternate members</w:t>
      </w:r>
      <w:bookmarkEnd w:id="13"/>
    </w:p>
    <w:p>
      <w:pPr>
        <w:pStyle w:val="Subsection"/>
        <w:spacing w:before="120"/>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spacing w:before="120"/>
      </w:pPr>
      <w:r>
        <w:tab/>
        <w:t>(2)</w:t>
      </w:r>
      <w:r>
        <w:tab/>
        <w:t>A person can only be nominated for the purposes of subsection (1) if, in the opinion of the Minister, the person has knowledge or experience of the kind described in section 7(1).</w:t>
      </w:r>
    </w:p>
    <w:p>
      <w:pPr>
        <w:pStyle w:val="Subsection"/>
        <w:spacing w:before="120"/>
      </w:pPr>
      <w:r>
        <w:tab/>
        <w:t>(3)</w:t>
      </w:r>
      <w:r>
        <w:tab/>
        <w:t>A person who is a public sector employee can be appointed as an alternate member.</w:t>
      </w:r>
    </w:p>
    <w:p>
      <w:pPr>
        <w:pStyle w:val="Subsection"/>
        <w:spacing w:before="120"/>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spacing w:before="120"/>
      </w:pPr>
      <w:r>
        <w:tab/>
        <w:t>(5)</w:t>
      </w:r>
      <w:r>
        <w:tab/>
        <w:t>While acting in accordance with the appointment the alternate member is to be taken to be a member.</w:t>
      </w:r>
    </w:p>
    <w:p>
      <w:pPr>
        <w:pStyle w:val="Subsection"/>
        <w:spacing w:before="120"/>
      </w:pPr>
      <w:r>
        <w:tab/>
        <w:t>(6)</w:t>
      </w:r>
      <w:r>
        <w:tab/>
        <w:t>An act or omission of an alternate member cannot be questioned on the ground that the occasion for the alternate member’s appointment or acting had not arisen or had ceased.</w:t>
      </w:r>
    </w:p>
    <w:p>
      <w:pPr>
        <w:pStyle w:val="Subsection"/>
        <w:spacing w:before="120"/>
      </w:pPr>
      <w:r>
        <w:tab/>
        <w:t>(7)</w:t>
      </w:r>
      <w:r>
        <w:tab/>
        <w:t>The appointment of a person as an alternate member may be terminated at any time by the Governor.</w:t>
      </w:r>
    </w:p>
    <w:p>
      <w:pPr>
        <w:pStyle w:val="Heading5"/>
      </w:pPr>
      <w:bookmarkStart w:id="14" w:name="_Toc384990865"/>
      <w:r>
        <w:rPr>
          <w:rStyle w:val="CharSectno"/>
        </w:rPr>
        <w:t>12</w:t>
      </w:r>
      <w:r>
        <w:t>.</w:t>
      </w:r>
      <w:r>
        <w:tab/>
        <w:t>Remuneration and conditions of members</w:t>
      </w:r>
      <w:bookmarkEnd w:id="14"/>
    </w:p>
    <w:p>
      <w:pPr>
        <w:pStyle w:val="Subsection"/>
        <w:spacing w:before="120"/>
      </w:pPr>
      <w:r>
        <w:tab/>
        <w:t>(1)</w:t>
      </w:r>
      <w:r>
        <w:tab/>
        <w:t>The remuneration and allowances and other conditions of office of a member are to be determined by the Governor on the recommendation of the Public Sector Commissioner.</w:t>
      </w:r>
    </w:p>
    <w:p>
      <w:pPr>
        <w:pStyle w:val="Subsection"/>
        <w:spacing w:before="120"/>
      </w:pPr>
      <w:r>
        <w:tab/>
        <w:t>(2)</w:t>
      </w:r>
      <w:r>
        <w:tab/>
        <w:t xml:space="preserve">Subsection (1) has effect subject to the </w:t>
      </w:r>
      <w:r>
        <w:rPr>
          <w:i/>
        </w:rPr>
        <w:t>Salaries and Allowances Act 1975</w:t>
      </w:r>
      <w:r>
        <w:t xml:space="preserve"> if that Act applies to the member.</w:t>
      </w:r>
    </w:p>
    <w:p>
      <w:pPr>
        <w:pStyle w:val="Subsection"/>
        <w:spacing w:before="120"/>
      </w:pPr>
      <w:r>
        <w:tab/>
        <w:t>(3)</w:t>
      </w:r>
      <w:r>
        <w:tab/>
        <w:t>The remuneration and allowances and conditions of office of a member must not be varied while the member is in office so as to become less favourable to the member.</w:t>
      </w:r>
    </w:p>
    <w:p>
      <w:pPr>
        <w:pStyle w:val="Footnotesection"/>
        <w:spacing w:before="100"/>
      </w:pPr>
      <w:r>
        <w:tab/>
        <w:t>[Section 12 amended by No. 39 of 2010 s. 89.]</w:t>
      </w:r>
    </w:p>
    <w:p>
      <w:pPr>
        <w:pStyle w:val="Heading5"/>
      </w:pPr>
      <w:bookmarkStart w:id="15" w:name="_Toc384990866"/>
      <w:r>
        <w:rPr>
          <w:rStyle w:val="CharSectno"/>
        </w:rPr>
        <w:t>13</w:t>
      </w:r>
      <w:r>
        <w:t>.</w:t>
      </w:r>
      <w:r>
        <w:tab/>
        <w:t>Meetings of governing body</w:t>
      </w:r>
      <w:bookmarkEnd w:id="15"/>
    </w:p>
    <w:p>
      <w:pPr>
        <w:pStyle w:val="Subsection"/>
      </w:pPr>
      <w:r>
        <w:tab/>
      </w:r>
      <w:r>
        <w:tab/>
        <w:t>Schedule 1 has effect with respect to meetings of the governing body.</w:t>
      </w:r>
    </w:p>
    <w:p>
      <w:pPr>
        <w:pStyle w:val="Heading2"/>
      </w:pPr>
      <w:bookmarkStart w:id="16" w:name="_Toc384990867"/>
      <w:r>
        <w:rPr>
          <w:rStyle w:val="CharPartNo"/>
        </w:rPr>
        <w:t>Part 3</w:t>
      </w:r>
      <w:r>
        <w:t xml:space="preserve"> — </w:t>
      </w:r>
      <w:r>
        <w:rPr>
          <w:rStyle w:val="CharPartText"/>
        </w:rPr>
        <w:t>Administration</w:t>
      </w:r>
      <w:bookmarkEnd w:id="16"/>
    </w:p>
    <w:p>
      <w:pPr>
        <w:pStyle w:val="Heading3"/>
      </w:pPr>
      <w:bookmarkStart w:id="17" w:name="_Toc384990868"/>
      <w:r>
        <w:rPr>
          <w:rStyle w:val="CharDivNo"/>
        </w:rPr>
        <w:t>Division 1</w:t>
      </w:r>
      <w:r>
        <w:t xml:space="preserve"> — </w:t>
      </w:r>
      <w:r>
        <w:rPr>
          <w:rStyle w:val="CharDivText"/>
        </w:rPr>
        <w:t>Chief employee</w:t>
      </w:r>
      <w:bookmarkEnd w:id="17"/>
    </w:p>
    <w:p>
      <w:pPr>
        <w:pStyle w:val="Heading5"/>
      </w:pPr>
      <w:bookmarkStart w:id="18" w:name="_Toc384990869"/>
      <w:r>
        <w:rPr>
          <w:rStyle w:val="CharSectno"/>
        </w:rPr>
        <w:t>14</w:t>
      </w:r>
      <w:r>
        <w:t>.</w:t>
      </w:r>
      <w:r>
        <w:tab/>
        <w:t>Chief employee</w:t>
      </w:r>
      <w:bookmarkEnd w:id="18"/>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w:t>
      </w:r>
      <w:r>
        <w:rPr>
          <w:b/>
          <w:i/>
        </w:rPr>
        <w:t>employing authority</w:t>
      </w:r>
      <w:r>
        <w:t xml:space="preserve">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9" w:name="_Toc384990870"/>
      <w:r>
        <w:rPr>
          <w:rStyle w:val="CharSectno"/>
        </w:rPr>
        <w:t>15</w:t>
      </w:r>
      <w:r>
        <w:t>.</w:t>
      </w:r>
      <w:r>
        <w:tab/>
        <w:t>Term of office</w:t>
      </w:r>
      <w:bookmarkEnd w:id="19"/>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 w:name="_Toc384990871"/>
      <w:r>
        <w:rPr>
          <w:rStyle w:val="CharSectno"/>
        </w:rPr>
        <w:t>16</w:t>
      </w:r>
      <w:r>
        <w:t>.</w:t>
      </w:r>
      <w:r>
        <w:tab/>
        <w:t>Casual vacancy</w:t>
      </w:r>
      <w:bookmarkEnd w:id="20"/>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21" w:name="_Toc384990872"/>
      <w:r>
        <w:rPr>
          <w:rStyle w:val="CharSectno"/>
        </w:rPr>
        <w:t>17</w:t>
      </w:r>
      <w:r>
        <w:t>.</w:t>
      </w:r>
      <w:r>
        <w:tab/>
        <w:t>Remuneration and conditions of chief employee</w:t>
      </w:r>
      <w:bookmarkEnd w:id="21"/>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22" w:name="_Toc384990873"/>
      <w:r>
        <w:rPr>
          <w:rStyle w:val="CharSectno"/>
        </w:rPr>
        <w:t>18</w:t>
      </w:r>
      <w:r>
        <w:t>.</w:t>
      </w:r>
      <w:r>
        <w:tab/>
        <w:t>Appointment of public service officer</w:t>
      </w:r>
      <w:bookmarkEnd w:id="22"/>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23" w:name="_Toc384990874"/>
      <w:r>
        <w:rPr>
          <w:rStyle w:val="CharDivNo"/>
        </w:rPr>
        <w:t>Division 2</w:t>
      </w:r>
      <w:r>
        <w:t> — </w:t>
      </w:r>
      <w:r>
        <w:rPr>
          <w:rStyle w:val="CharDivText"/>
        </w:rPr>
        <w:t>Other staff and facilities</w:t>
      </w:r>
      <w:bookmarkEnd w:id="23"/>
    </w:p>
    <w:p>
      <w:pPr>
        <w:pStyle w:val="Heading5"/>
      </w:pPr>
      <w:bookmarkStart w:id="24" w:name="_Toc384990875"/>
      <w:r>
        <w:rPr>
          <w:rStyle w:val="CharSectno"/>
        </w:rPr>
        <w:t>19</w:t>
      </w:r>
      <w:r>
        <w:t>.</w:t>
      </w:r>
      <w:r>
        <w:tab/>
        <w:t>Other staff</w:t>
      </w:r>
      <w:bookmarkEnd w:id="2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5" w:name="_Toc384990876"/>
      <w:r>
        <w:rPr>
          <w:rStyle w:val="CharSectno"/>
        </w:rPr>
        <w:t>20</w:t>
      </w:r>
      <w:r>
        <w:t>.</w:t>
      </w:r>
      <w:r>
        <w:tab/>
        <w:t>Use of government staff and facilities</w:t>
      </w:r>
      <w:bookmarkEnd w:id="25"/>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Indenta"/>
      </w:pPr>
      <w:r>
        <w:tab/>
        <w:t>(c)</w:t>
      </w:r>
      <w:r>
        <w:tab/>
        <w:t xml:space="preserve">a body established by the </w:t>
      </w:r>
      <w:r>
        <w:rPr>
          <w:i/>
        </w:rPr>
        <w:t>Electricity Corporations Act 2005</w:t>
      </w:r>
      <w:r>
        <w:t xml:space="preserve"> section 4(1).</w:t>
      </w:r>
    </w:p>
    <w:p>
      <w:pPr>
        <w:pStyle w:val="Footnotesection"/>
      </w:pPr>
      <w:r>
        <w:tab/>
        <w:t>[Section 20 amended by No. 18 of 2005 s. 139; No. 25 of 2012 s. 209(2) and (3); No. 25 of 2013 s. 38.]</w:t>
      </w:r>
    </w:p>
    <w:p>
      <w:pPr>
        <w:pStyle w:val="Heading3"/>
      </w:pPr>
      <w:bookmarkStart w:id="26" w:name="_Toc384990877"/>
      <w:r>
        <w:rPr>
          <w:rStyle w:val="CharDivNo"/>
        </w:rPr>
        <w:t>Division 3</w:t>
      </w:r>
      <w:r>
        <w:t xml:space="preserve"> — </w:t>
      </w:r>
      <w:r>
        <w:rPr>
          <w:rStyle w:val="CharDivText"/>
        </w:rPr>
        <w:t>Financial provisions</w:t>
      </w:r>
      <w:bookmarkEnd w:id="26"/>
    </w:p>
    <w:p>
      <w:pPr>
        <w:pStyle w:val="Heading5"/>
      </w:pPr>
      <w:bookmarkStart w:id="27" w:name="_Toc384990878"/>
      <w:r>
        <w:rPr>
          <w:rStyle w:val="CharSectno"/>
        </w:rPr>
        <w:t>21</w:t>
      </w:r>
      <w:r>
        <w:t>.</w:t>
      </w:r>
      <w:r>
        <w:tab/>
        <w:t>Bank account</w:t>
      </w:r>
      <w:bookmarkEnd w:id="27"/>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8" w:name="_Toc384990879"/>
      <w:r>
        <w:rPr>
          <w:rStyle w:val="CharSectno"/>
        </w:rPr>
        <w:t>22</w:t>
      </w:r>
      <w:r>
        <w:t>.</w:t>
      </w:r>
      <w:r>
        <w:tab/>
        <w:t>Borrowing from Treasurer</w:t>
      </w:r>
      <w:bookmarkEnd w:id="28"/>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9" w:name="_Toc384990880"/>
      <w:r>
        <w:rPr>
          <w:rStyle w:val="CharSectno"/>
        </w:rPr>
        <w:t>23</w:t>
      </w:r>
      <w:r>
        <w:t>.</w:t>
      </w:r>
      <w:r>
        <w:tab/>
        <w:t xml:space="preserve">Application of </w:t>
      </w:r>
      <w:r>
        <w:rPr>
          <w:i/>
          <w:iCs/>
        </w:rPr>
        <w:t>Financial Management Act 2006</w:t>
      </w:r>
      <w:r>
        <w:t xml:space="preserve"> and </w:t>
      </w:r>
      <w:r>
        <w:rPr>
          <w:i/>
          <w:iCs/>
        </w:rPr>
        <w:t>Auditor General Act 2006</w:t>
      </w:r>
      <w:bookmarkEnd w:id="2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Sch. 1 cl. 48(1)-(3).]</w:t>
      </w:r>
    </w:p>
    <w:p>
      <w:pPr>
        <w:pStyle w:val="Heading5"/>
      </w:pPr>
      <w:bookmarkStart w:id="30" w:name="_Toc384990881"/>
      <w:r>
        <w:rPr>
          <w:rStyle w:val="CharSectno"/>
        </w:rPr>
        <w:t>24</w:t>
      </w:r>
      <w:r>
        <w:t>.</w:t>
      </w:r>
      <w:r>
        <w:tab/>
        <w:t>Separate financial records</w:t>
      </w:r>
      <w:bookmarkEnd w:id="30"/>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Sch. 1 cl. 48(4).]</w:t>
      </w:r>
    </w:p>
    <w:p>
      <w:pPr>
        <w:pStyle w:val="Heading2"/>
      </w:pPr>
      <w:bookmarkStart w:id="31" w:name="_Toc384990882"/>
      <w:r>
        <w:rPr>
          <w:rStyle w:val="CharPartNo"/>
        </w:rPr>
        <w:t>Part 4</w:t>
      </w:r>
      <w:r>
        <w:rPr>
          <w:rStyle w:val="CharDivNo"/>
        </w:rPr>
        <w:t> </w:t>
      </w:r>
      <w:r>
        <w:t>—</w:t>
      </w:r>
      <w:r>
        <w:rPr>
          <w:rStyle w:val="CharDivText"/>
        </w:rPr>
        <w:t> </w:t>
      </w:r>
      <w:r>
        <w:rPr>
          <w:rStyle w:val="CharPartText"/>
        </w:rPr>
        <w:t>Functions of Authority</w:t>
      </w:r>
      <w:bookmarkEnd w:id="31"/>
    </w:p>
    <w:p>
      <w:pPr>
        <w:pStyle w:val="Heading5"/>
      </w:pPr>
      <w:bookmarkStart w:id="32" w:name="_Toc384990883"/>
      <w:r>
        <w:rPr>
          <w:rStyle w:val="CharSectno"/>
        </w:rPr>
        <w:t>25</w:t>
      </w:r>
      <w:r>
        <w:t>.</w:t>
      </w:r>
      <w:r>
        <w:tab/>
        <w:t>Functions</w:t>
      </w:r>
      <w:bookmarkEnd w:id="32"/>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r>
        <w:tab/>
        <w:t>[Section 25 amended by No. 16 of 2009 s. 53; No. 25 of 2012 s. 209(4).]</w:t>
      </w:r>
    </w:p>
    <w:p>
      <w:pPr>
        <w:pStyle w:val="Heading5"/>
      </w:pPr>
      <w:bookmarkStart w:id="33" w:name="_Toc384990884"/>
      <w:r>
        <w:rPr>
          <w:rStyle w:val="CharSectno"/>
        </w:rPr>
        <w:t>26</w:t>
      </w:r>
      <w:r>
        <w:t>.</w:t>
      </w:r>
      <w:r>
        <w:tab/>
        <w:t>Authority to have regard to certain matters</w:t>
      </w:r>
      <w:bookmarkEnd w:id="33"/>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34" w:name="_Toc384990885"/>
      <w:r>
        <w:rPr>
          <w:rStyle w:val="CharSectno"/>
        </w:rPr>
        <w:t>27</w:t>
      </w:r>
      <w:r>
        <w:t>.</w:t>
      </w:r>
      <w:r>
        <w:tab/>
        <w:t>Powers</w:t>
      </w:r>
      <w:bookmarkEnd w:id="3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35" w:name="_Toc384990886"/>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35"/>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t>(2)</w:t>
      </w:r>
      <w:r>
        <w:tab/>
        <w:t>The Minister may give directions in writing to the Authority to the extent allowed by subsection (3), and the Authority must give effect to any such direction.</w:t>
      </w:r>
    </w:p>
    <w:p>
      <w:pPr>
        <w:pStyle w:val="Subsection"/>
      </w:pPr>
      <w:r>
        <w:tab/>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Sch. 1 cl. 48(5); No. 16 of 2009 s. 54.]</w:t>
      </w:r>
    </w:p>
    <w:p>
      <w:pPr>
        <w:pStyle w:val="Heading5"/>
      </w:pPr>
      <w:bookmarkStart w:id="36" w:name="_Toc384990887"/>
      <w:r>
        <w:rPr>
          <w:rStyle w:val="CharSectno"/>
        </w:rPr>
        <w:t>29</w:t>
      </w:r>
      <w:r>
        <w:t>.</w:t>
      </w:r>
      <w:r>
        <w:tab/>
        <w:t>Delegation</w:t>
      </w:r>
      <w:bookmarkEnd w:id="3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t>(2)</w:t>
      </w:r>
      <w:r>
        <w:tab/>
        <w:t>The Authority cannot delegate a power or duty of the Authority under section 35, 36, 41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37" w:name="_Toc384990888"/>
      <w:r>
        <w:rPr>
          <w:rStyle w:val="CharSectno"/>
        </w:rPr>
        <w:t>30</w:t>
      </w:r>
      <w:r>
        <w:t>.</w:t>
      </w:r>
      <w:r>
        <w:tab/>
        <w:t>Conflict of interest</w:t>
      </w:r>
      <w:bookmarkEnd w:id="37"/>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pPr>
      <w:r>
        <w:tab/>
        <w:t>(b)</w:t>
      </w:r>
      <w:r>
        <w:tab/>
        <w:t>if the conflict is not resolved to the Minister’s satisfaction, disqualify the member from acting in relation to the matter.</w:t>
      </w:r>
    </w:p>
    <w:p>
      <w:pPr>
        <w:pStyle w:val="Heading2"/>
      </w:pPr>
      <w:bookmarkStart w:id="38" w:name="_Toc384990889"/>
      <w:r>
        <w:rPr>
          <w:rStyle w:val="CharPartNo"/>
        </w:rPr>
        <w:t>Part 5</w:t>
      </w:r>
      <w:r>
        <w:t xml:space="preserve"> — </w:t>
      </w:r>
      <w:r>
        <w:rPr>
          <w:rStyle w:val="CharPartText"/>
        </w:rPr>
        <w:t>References</w:t>
      </w:r>
      <w:bookmarkEnd w:id="38"/>
    </w:p>
    <w:p>
      <w:pPr>
        <w:pStyle w:val="Heading3"/>
      </w:pPr>
      <w:bookmarkStart w:id="39" w:name="_Toc384990890"/>
      <w:r>
        <w:rPr>
          <w:rStyle w:val="CharDivNo"/>
        </w:rPr>
        <w:t>Division 1</w:t>
      </w:r>
      <w:r>
        <w:t xml:space="preserve"> — </w:t>
      </w:r>
      <w:r>
        <w:rPr>
          <w:rStyle w:val="CharDivText"/>
        </w:rPr>
        <w:t>References on regulated industries</w:t>
      </w:r>
      <w:bookmarkEnd w:id="39"/>
    </w:p>
    <w:p>
      <w:pPr>
        <w:pStyle w:val="Heading5"/>
      </w:pPr>
      <w:bookmarkStart w:id="40" w:name="_Toc384990891"/>
      <w:r>
        <w:rPr>
          <w:rStyle w:val="CharSectno"/>
        </w:rPr>
        <w:t>31</w:t>
      </w:r>
      <w:r>
        <w:t>.</w:t>
      </w:r>
      <w:r>
        <w:tab/>
        <w:t>Term used: reference</w:t>
      </w:r>
      <w:bookmarkEnd w:id="40"/>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41" w:name="_Toc384990892"/>
      <w:r>
        <w:rPr>
          <w:rStyle w:val="CharSectno"/>
        </w:rPr>
        <w:t>32</w:t>
      </w:r>
      <w:r>
        <w:t>.</w:t>
      </w:r>
      <w:r>
        <w:tab/>
        <w:t>References</w:t>
      </w:r>
      <w:bookmarkEnd w:id="41"/>
    </w:p>
    <w:p>
      <w:pPr>
        <w:pStyle w:val="Subsection"/>
      </w:pPr>
      <w:r>
        <w:tab/>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spacing w:before="60"/>
      </w:pPr>
      <w:r>
        <w:tab/>
        <w:t>(a)</w:t>
      </w:r>
      <w:r>
        <w:tab/>
        <w:t>prices and pricing policy in respect of goods and services provided in the industry concerned; and</w:t>
      </w:r>
    </w:p>
    <w:p>
      <w:pPr>
        <w:pStyle w:val="Indenta"/>
        <w:spacing w:before="60"/>
      </w:pPr>
      <w:r>
        <w:tab/>
        <w:t>(b)</w:t>
      </w:r>
      <w:r>
        <w:tab/>
        <w:t>quality and reliability of goods and services provided in the industry concerned; and</w:t>
      </w:r>
    </w:p>
    <w:p>
      <w:pPr>
        <w:pStyle w:val="Indenta"/>
        <w:spacing w:before="60"/>
      </w:pPr>
      <w:r>
        <w:tab/>
        <w:t>(c)</w:t>
      </w:r>
      <w:r>
        <w:tab/>
        <w:t>investment and business practices in the industry concerned; and</w:t>
      </w:r>
    </w:p>
    <w:p>
      <w:pPr>
        <w:pStyle w:val="Indenta"/>
        <w:spacing w:before="60"/>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spacing w:before="60"/>
      </w:pPr>
      <w:r>
        <w:tab/>
        <w:t>(a)</w:t>
      </w:r>
      <w:r>
        <w:tab/>
        <w:t>must specify the terms of reference for the inquiry; and</w:t>
      </w:r>
    </w:p>
    <w:p>
      <w:pPr>
        <w:pStyle w:val="Indenta"/>
        <w:spacing w:before="60"/>
      </w:pPr>
      <w:r>
        <w:tab/>
        <w:t>(b)</w:t>
      </w:r>
      <w:r>
        <w:tab/>
        <w:t>may require the inquiry to be conducted on an annual or other periodic basis; and</w:t>
      </w:r>
    </w:p>
    <w:p>
      <w:pPr>
        <w:pStyle w:val="Indenta"/>
        <w:spacing w:before="60"/>
      </w:pPr>
      <w:r>
        <w:tab/>
        <w:t>(c)</w:t>
      </w:r>
      <w:r>
        <w:tab/>
        <w:t>may specify the nature and degree of public consultation that is to be undertaken for the purposes of the inquiry; and</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r>
        <w:tab/>
        <w:t>[Section 32 amended by No. 16 of 2009 s. 55.]</w:t>
      </w:r>
    </w:p>
    <w:p>
      <w:pPr>
        <w:pStyle w:val="Heading5"/>
      </w:pPr>
      <w:bookmarkStart w:id="42" w:name="_Toc384990893"/>
      <w:r>
        <w:rPr>
          <w:rStyle w:val="CharSectno"/>
        </w:rPr>
        <w:t>33</w:t>
      </w:r>
      <w:r>
        <w:t>.</w:t>
      </w:r>
      <w:r>
        <w:tab/>
        <w:t>Amendment or withdrawal of reference</w:t>
      </w:r>
      <w:bookmarkEnd w:id="42"/>
    </w:p>
    <w:p>
      <w:pPr>
        <w:pStyle w:val="Subsection"/>
      </w:pPr>
      <w:r>
        <w:tab/>
      </w:r>
      <w:r>
        <w:tab/>
        <w:t>The Minister may, by written notice given to the Authority, amend or withdraw a reference at any time before the Minister has received from the Authority a report under section 36(1) in respect of the reference.</w:t>
      </w:r>
    </w:p>
    <w:p>
      <w:pPr>
        <w:pStyle w:val="Heading5"/>
      </w:pPr>
      <w:bookmarkStart w:id="43" w:name="_Toc384990894"/>
      <w:r>
        <w:rPr>
          <w:rStyle w:val="CharSectno"/>
        </w:rPr>
        <w:t>34</w:t>
      </w:r>
      <w:r>
        <w:t>.</w:t>
      </w:r>
      <w:r>
        <w:tab/>
        <w:t>Notice of reference, amendment or withdrawal</w:t>
      </w:r>
      <w:bookmarkEnd w:id="43"/>
    </w:p>
    <w:p>
      <w:pPr>
        <w:pStyle w:val="Subsection"/>
      </w:pPr>
      <w:r>
        <w:tab/>
        <w:t>(1)</w:t>
      </w:r>
      <w:r>
        <w:tab/>
        <w:t xml:space="preserve">The Authority must publish notice of any reference, or the amendment or withdrawal of any reference — </w:t>
      </w:r>
    </w:p>
    <w:p>
      <w:pPr>
        <w:pStyle w:val="Indenta"/>
      </w:pPr>
      <w:r>
        <w:tab/>
        <w:t>(a)</w:t>
      </w:r>
      <w:r>
        <w:tab/>
        <w:t xml:space="preserve">in the </w:t>
      </w:r>
      <w:r>
        <w:rPr>
          <w:i/>
        </w:rPr>
        <w:t>Gazette</w:t>
      </w:r>
      <w:r>
        <w:t>; and</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 and</w:t>
      </w:r>
    </w:p>
    <w:p>
      <w:pPr>
        <w:pStyle w:val="Indenta"/>
      </w:pPr>
      <w:r>
        <w:tab/>
        <w:t>(b)</w:t>
      </w:r>
      <w:r>
        <w:tab/>
        <w:t>the period during which the inquiry is to be held; and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44" w:name="_Toc384990895"/>
      <w:r>
        <w:rPr>
          <w:rStyle w:val="CharSectno"/>
        </w:rPr>
        <w:t>35</w:t>
      </w:r>
      <w:r>
        <w:t>.</w:t>
      </w:r>
      <w:r>
        <w:tab/>
        <w:t>Authority to conduct inquiry</w:t>
      </w:r>
      <w:bookmarkEnd w:id="44"/>
    </w:p>
    <w:p>
      <w:pPr>
        <w:pStyle w:val="Subsection"/>
      </w:pPr>
      <w:r>
        <w:tab/>
      </w:r>
      <w:r>
        <w:tab/>
        <w:t>The Authority must conduct an inquiry into any matter referred to the Authority under section 32(1).</w:t>
      </w:r>
    </w:p>
    <w:p>
      <w:pPr>
        <w:pStyle w:val="Heading5"/>
      </w:pPr>
      <w:bookmarkStart w:id="45" w:name="_Toc384990896"/>
      <w:r>
        <w:rPr>
          <w:rStyle w:val="CharSectno"/>
        </w:rPr>
        <w:t>36</w:t>
      </w:r>
      <w:r>
        <w:t>.</w:t>
      </w:r>
      <w:r>
        <w:tab/>
        <w:t>Reports</w:t>
      </w:r>
      <w:bookmarkEnd w:id="45"/>
    </w:p>
    <w:p>
      <w:pPr>
        <w:pStyle w:val="Subsection"/>
      </w:pPr>
      <w:r>
        <w:tab/>
        <w:t>(1)</w:t>
      </w:r>
      <w:r>
        <w:tab/>
        <w:t>The Authority must submit a report to the Minister on the outcome of the inquiry.</w:t>
      </w:r>
    </w:p>
    <w:p>
      <w:pPr>
        <w:pStyle w:val="Subsection"/>
      </w:pPr>
      <w:r>
        <w:tab/>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46" w:name="_Toc384990897"/>
      <w:r>
        <w:rPr>
          <w:rStyle w:val="CharDivNo"/>
        </w:rPr>
        <w:t>Division 2</w:t>
      </w:r>
      <w:r>
        <w:t xml:space="preserve"> — </w:t>
      </w:r>
      <w:r>
        <w:rPr>
          <w:rStyle w:val="CharDivText"/>
        </w:rPr>
        <w:t>References on other industries</w:t>
      </w:r>
      <w:bookmarkEnd w:id="46"/>
    </w:p>
    <w:p>
      <w:pPr>
        <w:pStyle w:val="Heading5"/>
      </w:pPr>
      <w:bookmarkStart w:id="47" w:name="_Toc384990898"/>
      <w:r>
        <w:rPr>
          <w:rStyle w:val="CharSectno"/>
        </w:rPr>
        <w:t>37</w:t>
      </w:r>
      <w:r>
        <w:t>.</w:t>
      </w:r>
      <w:r>
        <w:tab/>
        <w:t>Term used: reference</w:t>
      </w:r>
      <w:bookmarkEnd w:id="47"/>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8" w:name="_Toc384990899"/>
      <w:r>
        <w:rPr>
          <w:rStyle w:val="CharSectno"/>
        </w:rPr>
        <w:t>38</w:t>
      </w:r>
      <w:r>
        <w:t>.</w:t>
      </w:r>
      <w:r>
        <w:tab/>
        <w:t>References</w:t>
      </w:r>
      <w:bookmarkEnd w:id="48"/>
    </w:p>
    <w:p>
      <w:pPr>
        <w:pStyle w:val="Subsection"/>
      </w:pPr>
      <w:r>
        <w:tab/>
        <w:t>(1)</w:t>
      </w:r>
      <w:r>
        <w:tab/>
        <w:t xml:space="preserve">The Minister may, by written notice, refer to the Authority for — </w:t>
      </w:r>
    </w:p>
    <w:p>
      <w:pPr>
        <w:pStyle w:val="Indenta"/>
        <w:spacing w:before="60"/>
      </w:pPr>
      <w:r>
        <w:tab/>
        <w:t>(a)</w:t>
      </w:r>
      <w:r>
        <w:tab/>
        <w:t>an inquiry; or</w:t>
      </w:r>
    </w:p>
    <w:p>
      <w:pPr>
        <w:pStyle w:val="Indenta"/>
        <w:spacing w:before="60"/>
      </w:pPr>
      <w:r>
        <w:tab/>
        <w:t>(b)</w:t>
      </w:r>
      <w:r>
        <w:tab/>
        <w:t>a report,</w:t>
      </w:r>
    </w:p>
    <w:p>
      <w:pPr>
        <w:pStyle w:val="Subsection"/>
        <w:spacing w:before="120"/>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spacing w:before="60"/>
      </w:pPr>
      <w:r>
        <w:tab/>
        <w:t>(a)</w:t>
      </w:r>
      <w:r>
        <w:tab/>
        <w:t>must specify the terms of reference for the inquiry or report; and</w:t>
      </w:r>
    </w:p>
    <w:p>
      <w:pPr>
        <w:pStyle w:val="Indenta"/>
        <w:spacing w:before="60"/>
      </w:pPr>
      <w:r>
        <w:tab/>
        <w:t>(b)</w:t>
      </w:r>
      <w:r>
        <w:tab/>
        <w:t>may specify the nature and degree of public consultation that is to be undertaken for the purposes of the inquiry or report; and</w:t>
      </w:r>
    </w:p>
    <w:p>
      <w:pPr>
        <w:pStyle w:val="Indenta"/>
        <w:spacing w:before="60"/>
      </w:pPr>
      <w:r>
        <w:tab/>
        <w:t>(c)</w:t>
      </w:r>
      <w:r>
        <w:tab/>
        <w:t>may specify a period within which the Authority must submit a report to the Minister under section 42(1) or (2); and</w:t>
      </w:r>
    </w:p>
    <w:p>
      <w:pPr>
        <w:pStyle w:val="Indenta"/>
        <w:spacing w:before="60"/>
        <w:rPr>
          <w:spacing w:val="-2"/>
        </w:rPr>
      </w:pPr>
      <w:r>
        <w:tab/>
        <w:t>(d)</w:t>
      </w:r>
      <w:r>
        <w:tab/>
      </w:r>
      <w:r>
        <w:rPr>
          <w:spacing w:val="-2"/>
        </w:rPr>
        <w:t>may require the Authority to make a draft report publicly available or available to specified persons or bodies.</w:t>
      </w:r>
    </w:p>
    <w:p>
      <w:pPr>
        <w:pStyle w:val="Heading5"/>
      </w:pPr>
      <w:bookmarkStart w:id="49" w:name="_Toc384990900"/>
      <w:r>
        <w:rPr>
          <w:rStyle w:val="CharSectno"/>
        </w:rPr>
        <w:t>39</w:t>
      </w:r>
      <w:r>
        <w:t>.</w:t>
      </w:r>
      <w:r>
        <w:tab/>
        <w:t>Amendment or withdrawal of reference</w:t>
      </w:r>
      <w:bookmarkEnd w:id="49"/>
    </w:p>
    <w:p>
      <w:pPr>
        <w:pStyle w:val="Subsection"/>
        <w:spacing w:before="120"/>
      </w:pPr>
      <w:r>
        <w:tab/>
      </w:r>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50" w:name="_Toc384990901"/>
      <w:r>
        <w:rPr>
          <w:rStyle w:val="CharSectno"/>
        </w:rPr>
        <w:t>40</w:t>
      </w:r>
      <w:r>
        <w:t>.</w:t>
      </w:r>
      <w:r>
        <w:tab/>
        <w:t>Notice of reference, amendment or withdrawal</w:t>
      </w:r>
      <w:bookmarkEnd w:id="50"/>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spacing w:before="210"/>
      </w:pPr>
      <w:bookmarkStart w:id="51" w:name="_Toc384990902"/>
      <w:r>
        <w:rPr>
          <w:rStyle w:val="CharSectno"/>
        </w:rPr>
        <w:t>41</w:t>
      </w:r>
      <w:r>
        <w:t>.</w:t>
      </w:r>
      <w:r>
        <w:tab/>
        <w:t>Authority to conduct inquiry</w:t>
      </w:r>
      <w:bookmarkEnd w:id="51"/>
    </w:p>
    <w:p>
      <w:pPr>
        <w:pStyle w:val="Subsection"/>
        <w:spacing w:before="120"/>
      </w:pPr>
      <w:r>
        <w:tab/>
      </w:r>
      <w:r>
        <w:tab/>
        <w:t>The Authority must conduct an inquiry into any matter referred to the Authority under section 38(1)(a).</w:t>
      </w:r>
    </w:p>
    <w:p>
      <w:pPr>
        <w:pStyle w:val="Heading5"/>
        <w:keepLines w:val="0"/>
        <w:spacing w:before="210"/>
      </w:pPr>
      <w:bookmarkStart w:id="52" w:name="_Toc384990903"/>
      <w:r>
        <w:rPr>
          <w:rStyle w:val="CharSectno"/>
        </w:rPr>
        <w:t>42</w:t>
      </w:r>
      <w:r>
        <w:t>.</w:t>
      </w:r>
      <w:r>
        <w:tab/>
        <w:t>Reports</w:t>
      </w:r>
      <w:bookmarkEnd w:id="52"/>
    </w:p>
    <w:p>
      <w:pPr>
        <w:pStyle w:val="Subsection"/>
        <w:spacing w:before="120"/>
      </w:pPr>
      <w:r>
        <w:tab/>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t>(3)</w:t>
      </w:r>
      <w:r>
        <w:tab/>
        <w:t>The Authority must identify in a report under subsection (1) or (2) any information contained in the report that the Authority considers is of a confidential or commercially sensitive nature.</w:t>
      </w:r>
    </w:p>
    <w:p>
      <w:pPr>
        <w:pStyle w:val="Subsection"/>
      </w:pPr>
      <w:r>
        <w:tab/>
        <w:t>(4)</w:t>
      </w:r>
      <w:r>
        <w:tab/>
        <w:t>The Minister must cause a copy of the report, excluding any information identified under subsection (3),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53" w:name="_Toc384990904"/>
      <w:r>
        <w:rPr>
          <w:rStyle w:val="CharSectno"/>
        </w:rPr>
        <w:t>43</w:t>
      </w:r>
      <w:r>
        <w:t>.</w:t>
      </w:r>
      <w:r>
        <w:tab/>
        <w:t>Preparation of reports for purposes of s. 42(2)</w:t>
      </w:r>
      <w:bookmarkEnd w:id="53"/>
    </w:p>
    <w:p>
      <w:pPr>
        <w:pStyle w:val="Subsection"/>
      </w:pPr>
      <w:r>
        <w:tab/>
      </w:r>
      <w:r>
        <w:tab/>
        <w:t>In preparing a report for the purposes of section 42(2), the Authority may inform itself on any matter in any manner it considers appropriate.</w:t>
      </w:r>
    </w:p>
    <w:p>
      <w:pPr>
        <w:pStyle w:val="Heading3"/>
      </w:pPr>
      <w:bookmarkStart w:id="54" w:name="_Toc384990905"/>
      <w:r>
        <w:rPr>
          <w:rStyle w:val="CharDivNo"/>
        </w:rPr>
        <w:t>Division 3</w:t>
      </w:r>
      <w:r>
        <w:t xml:space="preserve"> — </w:t>
      </w:r>
      <w:r>
        <w:rPr>
          <w:rStyle w:val="CharDivText"/>
        </w:rPr>
        <w:t>General</w:t>
      </w:r>
      <w:bookmarkEnd w:id="54"/>
    </w:p>
    <w:p>
      <w:pPr>
        <w:pStyle w:val="Heading5"/>
      </w:pPr>
      <w:bookmarkStart w:id="55" w:name="_Toc384990906"/>
      <w:r>
        <w:rPr>
          <w:rStyle w:val="CharSectno"/>
        </w:rPr>
        <w:t>44</w:t>
      </w:r>
      <w:r>
        <w:t>.</w:t>
      </w:r>
      <w:r>
        <w:tab/>
        <w:t>Term used: inquiry</w:t>
      </w:r>
      <w:bookmarkEnd w:id="55"/>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56" w:name="_Toc384990907"/>
      <w:r>
        <w:rPr>
          <w:rStyle w:val="CharSectno"/>
        </w:rPr>
        <w:t>45</w:t>
      </w:r>
      <w:r>
        <w:t>.</w:t>
      </w:r>
      <w:r>
        <w:tab/>
        <w:t>Authority to act through a member or members when conducting inquiry</w:t>
      </w:r>
      <w:bookmarkEnd w:id="5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57" w:name="_Toc384990908"/>
      <w:r>
        <w:rPr>
          <w:rStyle w:val="CharSectno"/>
        </w:rPr>
        <w:t>46</w:t>
      </w:r>
      <w:r>
        <w:t>.</w:t>
      </w:r>
      <w:r>
        <w:tab/>
        <w:t>Conduct of inquiry</w:t>
      </w:r>
      <w:bookmarkEnd w:id="57"/>
    </w:p>
    <w:p>
      <w:pPr>
        <w:pStyle w:val="Subsection"/>
      </w:pPr>
      <w:r>
        <w:tab/>
        <w:t>(1)</w:t>
      </w:r>
      <w:r>
        <w:tab/>
        <w:t xml:space="preserve">In conducting an inquiry the Authority — </w:t>
      </w:r>
    </w:p>
    <w:p>
      <w:pPr>
        <w:pStyle w:val="Indenta"/>
        <w:spacing w:before="60"/>
      </w:pPr>
      <w:r>
        <w:tab/>
        <w:t>(a)</w:t>
      </w:r>
      <w:r>
        <w:tab/>
        <w:t>is to act with as little formality as possible; and</w:t>
      </w:r>
    </w:p>
    <w:p>
      <w:pPr>
        <w:pStyle w:val="Indenta"/>
        <w:spacing w:before="60"/>
      </w:pPr>
      <w:r>
        <w:tab/>
        <w:t>(b)</w:t>
      </w:r>
      <w:r>
        <w:tab/>
        <w:t>is not bound by the rules of evidence and may inform itself on any matter in any manner it considers appropriate; and</w:t>
      </w:r>
    </w:p>
    <w:p>
      <w:pPr>
        <w:pStyle w:val="Indenta"/>
        <w:spacing w:before="60"/>
      </w:pPr>
      <w:r>
        <w:tab/>
        <w:t>(c)</w:t>
      </w:r>
      <w:r>
        <w:tab/>
        <w:t>may receive written or oral submissions; and</w:t>
      </w:r>
    </w:p>
    <w:p>
      <w:pPr>
        <w:pStyle w:val="Indenta"/>
        <w:spacing w:before="60"/>
      </w:pPr>
      <w:r>
        <w:tab/>
        <w:t>(d)</w:t>
      </w:r>
      <w:r>
        <w:tab/>
        <w:t>may establish working groups and task forces.</w:t>
      </w:r>
    </w:p>
    <w:p>
      <w:pPr>
        <w:pStyle w:val="Subsection"/>
      </w:pPr>
      <w:r>
        <w:tab/>
        <w:t>(2)</w:t>
      </w:r>
      <w:r>
        <w:tab/>
        <w:t xml:space="preserve">The Authority — </w:t>
      </w:r>
    </w:p>
    <w:p>
      <w:pPr>
        <w:pStyle w:val="Indenta"/>
        <w:spacing w:before="60"/>
      </w:pPr>
      <w:r>
        <w:tab/>
        <w:t>(a)</w:t>
      </w:r>
      <w:r>
        <w:tab/>
        <w:t>has a discretion as to whether any person may appear before the Authority in person or be represented by another person; and</w:t>
      </w:r>
    </w:p>
    <w:p>
      <w:pPr>
        <w:pStyle w:val="Indenta"/>
        <w:spacing w:before="60"/>
      </w:pPr>
      <w:r>
        <w:tab/>
        <w:t>(b)</w:t>
      </w:r>
      <w:r>
        <w:tab/>
        <w:t xml:space="preserve">may determine that proceedings, or any part of proceedings, before the Authority are to be held in private if the Authority is satisfied that — </w:t>
      </w:r>
    </w:p>
    <w:p>
      <w:pPr>
        <w:pStyle w:val="Indenti"/>
        <w:spacing w:before="60"/>
      </w:pPr>
      <w:r>
        <w:tab/>
        <w:t>(i)</w:t>
      </w:r>
      <w:r>
        <w:tab/>
        <w:t>it is in the public interest to do so; or</w:t>
      </w:r>
    </w:p>
    <w:p>
      <w:pPr>
        <w:pStyle w:val="Indenti"/>
        <w:spacing w:before="60"/>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58" w:name="_Toc384990909"/>
      <w:r>
        <w:rPr>
          <w:rStyle w:val="CharSectno"/>
        </w:rPr>
        <w:t>47</w:t>
      </w:r>
      <w:r>
        <w:t>.</w:t>
      </w:r>
      <w:r>
        <w:tab/>
        <w:t>Powers relating to inquiry</w:t>
      </w:r>
      <w:bookmarkEnd w:id="58"/>
    </w:p>
    <w:p>
      <w:pPr>
        <w:pStyle w:val="Subsection"/>
      </w:pPr>
      <w:r>
        <w:tab/>
      </w:r>
      <w:r>
        <w:tab/>
        <w:t xml:space="preserve">For the purposes of an inquiry, the Authority may — </w:t>
      </w:r>
    </w:p>
    <w:p>
      <w:pPr>
        <w:pStyle w:val="Indenta"/>
        <w:spacing w:before="60"/>
      </w:pPr>
      <w:r>
        <w:tab/>
        <w:t>(a)</w:t>
      </w:r>
      <w:r>
        <w:tab/>
        <w:t xml:space="preserve">by summons signed on behalf of the Authority by a member or the chief employee, require any person — </w:t>
      </w:r>
    </w:p>
    <w:p>
      <w:pPr>
        <w:pStyle w:val="Indenti"/>
        <w:spacing w:before="60"/>
      </w:pPr>
      <w:r>
        <w:tab/>
        <w:t>(i)</w:t>
      </w:r>
      <w:r>
        <w:tab/>
        <w:t>to attend before the Authority; or</w:t>
      </w:r>
    </w:p>
    <w:p>
      <w:pPr>
        <w:pStyle w:val="Indenti"/>
        <w:spacing w:before="60"/>
      </w:pPr>
      <w:r>
        <w:tab/>
        <w:t>(ii)</w:t>
      </w:r>
      <w:r>
        <w:tab/>
        <w:t>to produce any document specified in the summons to the Authority;</w:t>
      </w:r>
    </w:p>
    <w:p>
      <w:pPr>
        <w:pStyle w:val="Indenta"/>
        <w:spacing w:before="60"/>
      </w:pPr>
      <w:r>
        <w:tab/>
      </w:r>
      <w:r>
        <w:tab/>
        <w:t>or</w:t>
      </w:r>
    </w:p>
    <w:p>
      <w:pPr>
        <w:pStyle w:val="Indenta"/>
      </w:pPr>
      <w:r>
        <w:tab/>
        <w:t>(b)</w:t>
      </w:r>
      <w:r>
        <w:tab/>
        <w:t>inspect any document produced, and retain it for any reasonable period that the Authority thinks appropriate, and make copies of the document or any of its contents; or</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59" w:name="_Toc384990910"/>
      <w:r>
        <w:rPr>
          <w:rStyle w:val="CharSectno"/>
        </w:rPr>
        <w:t>48</w:t>
      </w:r>
      <w:r>
        <w:t>.</w:t>
      </w:r>
      <w:r>
        <w:tab/>
        <w:t>Offences in relation to inquiry</w:t>
      </w:r>
      <w:bookmarkEnd w:id="59"/>
    </w:p>
    <w:p>
      <w:pPr>
        <w:pStyle w:val="Subsection"/>
      </w:pPr>
      <w:r>
        <w:tab/>
      </w:r>
      <w:r>
        <w:tab/>
        <w:t xml:space="preserve">A person must not — </w:t>
      </w:r>
    </w:p>
    <w:p>
      <w:pPr>
        <w:pStyle w:val="Indenta"/>
      </w:pPr>
      <w:r>
        <w:tab/>
        <w:t>(a)</w:t>
      </w:r>
      <w:r>
        <w:tab/>
        <w:t>having been served with a summons under section 47 to attend before the Authority, fail without reasonable excuse (proof of which lies upon the person) to attend in obedience to the summons; or</w:t>
      </w:r>
    </w:p>
    <w:p>
      <w:pPr>
        <w:pStyle w:val="Indenta"/>
      </w:pPr>
      <w:r>
        <w:tab/>
        <w:t>(b)</w:t>
      </w:r>
      <w:r>
        <w:tab/>
        <w:t>having been served with a summons under section 47 to produce any document, fail without reasonable excuse (proof of which lies upon the person) to comply with the summons; or</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t>(ii)</w:t>
      </w:r>
      <w:r>
        <w:tab/>
        <w:t>to answer any question,</w:t>
      </w:r>
    </w:p>
    <w:p>
      <w:pPr>
        <w:pStyle w:val="Indenta"/>
      </w:pPr>
      <w:r>
        <w:tab/>
      </w:r>
      <w:r>
        <w:tab/>
        <w:t>when required under section 47 to do so; or</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60" w:name="_Toc384990911"/>
      <w:r>
        <w:rPr>
          <w:rStyle w:val="CharSectno"/>
        </w:rPr>
        <w:t>49</w:t>
      </w:r>
      <w:r>
        <w:t>.</w:t>
      </w:r>
      <w:r>
        <w:tab/>
        <w:t>Incriminating answers or documents</w:t>
      </w:r>
      <w:bookmarkEnd w:id="60"/>
    </w:p>
    <w:p>
      <w:pPr>
        <w:pStyle w:val="Subsection"/>
      </w:pPr>
      <w:r>
        <w:tab/>
      </w:r>
      <w:r>
        <w:tab/>
        <w:t>An individual is not excused from complying with a requirement under section 47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61" w:name="_Toc384990912"/>
      <w:r>
        <w:rPr>
          <w:rStyle w:val="CharSectno"/>
        </w:rPr>
        <w:t>50</w:t>
      </w:r>
      <w:r>
        <w:t>.</w:t>
      </w:r>
      <w:r>
        <w:tab/>
        <w:t>Protection for person assisting Authority</w:t>
      </w:r>
      <w:bookmarkEnd w:id="61"/>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62" w:name="_Toc384990913"/>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62"/>
    </w:p>
    <w:p>
      <w:pPr>
        <w:pStyle w:val="Heading5"/>
      </w:pPr>
      <w:bookmarkStart w:id="63" w:name="_Toc384990914"/>
      <w:r>
        <w:rPr>
          <w:rStyle w:val="CharSectno"/>
        </w:rPr>
        <w:t>51</w:t>
      </w:r>
      <w:r>
        <w:t>.</w:t>
      </w:r>
      <w:r>
        <w:tab/>
        <w:t>Power to obtain information and documents</w:t>
      </w:r>
      <w:bookmarkEnd w:id="63"/>
    </w:p>
    <w:p>
      <w:pPr>
        <w:pStyle w:val="Subsection"/>
      </w:pPr>
      <w:r>
        <w:tab/>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spacing w:before="70"/>
      </w:pPr>
      <w:r>
        <w:tab/>
        <w:t>(a)</w:t>
      </w:r>
      <w:r>
        <w:tab/>
        <w:t>identifies the information or document concerned; and</w:t>
      </w:r>
    </w:p>
    <w:p>
      <w:pPr>
        <w:pStyle w:val="Indenta"/>
        <w:spacing w:before="70"/>
      </w:pPr>
      <w:r>
        <w:tab/>
        <w:t>(b)</w:t>
      </w:r>
      <w:r>
        <w:tab/>
        <w:t>states that the requirement is made under this section; and</w:t>
      </w:r>
    </w:p>
    <w:p>
      <w:pPr>
        <w:pStyle w:val="Indenta"/>
        <w:spacing w:before="70"/>
      </w:pPr>
      <w:r>
        <w:tab/>
        <w:t>(c)</w:t>
      </w:r>
      <w:r>
        <w:tab/>
        <w:t>specifies the period within which the requirement must be complied with; and</w:t>
      </w:r>
    </w:p>
    <w:p>
      <w:pPr>
        <w:pStyle w:val="Indenta"/>
        <w:spacing w:before="70"/>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64" w:name="_Toc384990915"/>
      <w:r>
        <w:rPr>
          <w:rStyle w:val="CharSectno"/>
        </w:rPr>
        <w:t>52</w:t>
      </w:r>
      <w:r>
        <w:t>.</w:t>
      </w:r>
      <w:r>
        <w:tab/>
        <w:t>Offences</w:t>
      </w:r>
      <w:bookmarkEnd w:id="64"/>
    </w:p>
    <w:p>
      <w:pPr>
        <w:pStyle w:val="Subsection"/>
      </w:pPr>
      <w:r>
        <w:tab/>
        <w:t>(1)</w:t>
      </w:r>
      <w:r>
        <w:tab/>
        <w:t>A person must not fail without reasonable excuse (proof of which lies on the person) to comply with a requirement under section 51.</w:t>
      </w:r>
    </w:p>
    <w:p>
      <w:pPr>
        <w:pStyle w:val="Penstart"/>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pPr>
      <w:r>
        <w:tab/>
        <w:t>Penalty: $10 000 or imprisonment for 12 months.</w:t>
      </w:r>
    </w:p>
    <w:p>
      <w:pPr>
        <w:pStyle w:val="Heading5"/>
      </w:pPr>
      <w:bookmarkStart w:id="65" w:name="_Toc384990916"/>
      <w:r>
        <w:rPr>
          <w:rStyle w:val="CharSectno"/>
        </w:rPr>
        <w:t>53</w:t>
      </w:r>
      <w:r>
        <w:t>.</w:t>
      </w:r>
      <w:r>
        <w:tab/>
        <w:t>Incriminating information or documents</w:t>
      </w:r>
      <w:bookmarkEnd w:id="65"/>
    </w:p>
    <w:p>
      <w:pPr>
        <w:pStyle w:val="Subsection"/>
      </w:pPr>
      <w:r>
        <w:tab/>
      </w:r>
      <w:r>
        <w:tab/>
        <w:t>An individual is not excused from complying with a requirement under section 51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66" w:name="_Toc384990917"/>
      <w:r>
        <w:rPr>
          <w:rStyle w:val="CharSectno"/>
        </w:rPr>
        <w:t>54</w:t>
      </w:r>
      <w:r>
        <w:t>.</w:t>
      </w:r>
      <w:r>
        <w:tab/>
        <w:t>Protection for person giving information or document</w:t>
      </w:r>
      <w:bookmarkEnd w:id="6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67" w:name="_Toc384990918"/>
      <w:r>
        <w:rPr>
          <w:rStyle w:val="CharSectno"/>
        </w:rPr>
        <w:t>55</w:t>
      </w:r>
      <w:r>
        <w:t>.</w:t>
      </w:r>
      <w:r>
        <w:tab/>
        <w:t>Restriction on disclosure of confidential information</w:t>
      </w:r>
      <w:bookmarkEnd w:id="67"/>
    </w:p>
    <w:p>
      <w:pPr>
        <w:pStyle w:val="Subsection"/>
      </w:pPr>
      <w:r>
        <w:tab/>
        <w:t>(1)</w:t>
      </w:r>
      <w:r>
        <w:tab/>
        <w:t>This section applies if information or a document is given to the Authority under section 47 or 51 and, at the time it is given, the person giving it states that it is of a confidential or commercially sensitive nature.</w:t>
      </w:r>
    </w:p>
    <w:p>
      <w:pPr>
        <w:pStyle w:val="Subsection"/>
      </w:pPr>
      <w:r>
        <w:tab/>
        <w:t>(2)</w:t>
      </w:r>
      <w:r>
        <w:tab/>
        <w:t xml:space="preserve">The Authority must not disclose the information or the contents of the document to any person unless the Authority is of the opinion — </w:t>
      </w:r>
    </w:p>
    <w:p>
      <w:pPr>
        <w:pStyle w:val="Indenta"/>
      </w:pPr>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68" w:name="_Toc384990919"/>
      <w:r>
        <w:rPr>
          <w:rStyle w:val="CharPartNo"/>
        </w:rPr>
        <w:t>Part 7</w:t>
      </w:r>
      <w:r>
        <w:rPr>
          <w:rStyle w:val="CharDivNo"/>
        </w:rPr>
        <w:t xml:space="preserve"> </w:t>
      </w:r>
      <w:r>
        <w:t>—</w:t>
      </w:r>
      <w:r>
        <w:rPr>
          <w:rStyle w:val="CharDivText"/>
        </w:rPr>
        <w:t xml:space="preserve"> </w:t>
      </w:r>
      <w:r>
        <w:rPr>
          <w:rStyle w:val="CharPartText"/>
        </w:rPr>
        <w:t>Miscellaneous</w:t>
      </w:r>
      <w:bookmarkEnd w:id="68"/>
    </w:p>
    <w:p>
      <w:pPr>
        <w:pStyle w:val="Heading5"/>
      </w:pPr>
      <w:bookmarkStart w:id="69" w:name="_Toc384990920"/>
      <w:r>
        <w:rPr>
          <w:rStyle w:val="CharSectno"/>
        </w:rPr>
        <w:t>56</w:t>
      </w:r>
      <w:r>
        <w:t>.</w:t>
      </w:r>
      <w:r>
        <w:tab/>
        <w:t>Protection from liability for wrongdoing</w:t>
      </w:r>
      <w:bookmarkEnd w:id="69"/>
    </w:p>
    <w:p>
      <w:pPr>
        <w:pStyle w:val="Subsection"/>
      </w:pPr>
      <w:r>
        <w:tab/>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70" w:name="_Toc384990921"/>
      <w:r>
        <w:rPr>
          <w:rStyle w:val="CharSectno"/>
        </w:rPr>
        <w:t>57</w:t>
      </w:r>
      <w:r>
        <w:t>.</w:t>
      </w:r>
      <w:r>
        <w:tab/>
        <w:t>Confidentiality</w:t>
      </w:r>
      <w:bookmarkEnd w:id="70"/>
    </w:p>
    <w:p>
      <w:pPr>
        <w:pStyle w:val="Subsection"/>
      </w:pPr>
      <w:r>
        <w:tab/>
        <w:t>(1)</w:t>
      </w:r>
      <w:r>
        <w:tab/>
        <w:t>This section applies to a person who is or has been a member or a staff member.</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71" w:name="_Toc384990922"/>
      <w:r>
        <w:rPr>
          <w:rStyle w:val="CharSectno"/>
        </w:rPr>
        <w:t>58</w:t>
      </w:r>
      <w:r>
        <w:t>.</w:t>
      </w:r>
      <w:r>
        <w:tab/>
        <w:t>Intimidation</w:t>
      </w:r>
      <w:bookmarkEnd w:id="71"/>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5 Division 1 or 2; or</w:t>
      </w:r>
    </w:p>
    <w:p>
      <w:pPr>
        <w:pStyle w:val="Indenta"/>
      </w:pPr>
      <w:r>
        <w:tab/>
        <w:t>(d)</w:t>
      </w:r>
      <w:r>
        <w:tab/>
        <w:t>has complied, is complying or may comply with a requirement under section 51.</w:t>
      </w:r>
    </w:p>
    <w:p>
      <w:pPr>
        <w:pStyle w:val="Penstart"/>
      </w:pPr>
      <w:r>
        <w:tab/>
        <w:t>Penalty: $10 000 or imprisonment for 12 months.</w:t>
      </w:r>
    </w:p>
    <w:p>
      <w:pPr>
        <w:pStyle w:val="Heading5"/>
      </w:pPr>
      <w:bookmarkStart w:id="72" w:name="_Toc384990923"/>
      <w:r>
        <w:rPr>
          <w:rStyle w:val="CharSectno"/>
        </w:rPr>
        <w:t>59</w:t>
      </w:r>
      <w:r>
        <w:t>.</w:t>
      </w:r>
      <w:r>
        <w:tab/>
        <w:t>Execution of documents</w:t>
      </w:r>
      <w:bookmarkEnd w:id="7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pPr>
      <w:r>
        <w:tab/>
        <w:t>(5)</w:t>
      </w:r>
      <w: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73" w:name="_Toc384990924"/>
      <w:r>
        <w:rPr>
          <w:rStyle w:val="CharSectno"/>
        </w:rPr>
        <w:t>60</w:t>
      </w:r>
      <w:r>
        <w:t>.</w:t>
      </w:r>
      <w:r>
        <w:tab/>
        <w:t>Supplementary provision about laying documents before Parliament</w:t>
      </w:r>
      <w:bookmarkEnd w:id="73"/>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74" w:name="_Toc384990925"/>
      <w:r>
        <w:rPr>
          <w:rStyle w:val="CharSectno"/>
        </w:rPr>
        <w:t>61</w:t>
      </w:r>
      <w:r>
        <w:t>.</w:t>
      </w:r>
      <w:r>
        <w:tab/>
        <w:t>Regulations</w:t>
      </w:r>
      <w:bookmarkEnd w:id="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r>
        <w:t>[</w:t>
      </w:r>
      <w:r>
        <w:rPr>
          <w:b/>
          <w:bCs/>
        </w:rPr>
        <w:t>62.</w:t>
      </w:r>
      <w:r>
        <w:tab/>
        <w:t>Omitted under the Reprints Act 1984 s. 7(4)(e).]</w:t>
      </w:r>
    </w:p>
    <w:p>
      <w:pPr>
        <w:pStyle w:val="Ednotesection"/>
      </w:pPr>
      <w:r>
        <w:t>[</w:t>
      </w:r>
      <w:r>
        <w:rPr>
          <w:b/>
          <w:bCs/>
        </w:rPr>
        <w:t>63.</w:t>
      </w:r>
      <w:r>
        <w:tab/>
        <w:t>Omitted under the Reprints Act 1984 s. 7(4)(g).]</w:t>
      </w:r>
    </w:p>
    <w:p>
      <w:pPr>
        <w:pStyle w:val="Heading5"/>
      </w:pPr>
      <w:bookmarkStart w:id="75" w:name="_Toc384990926"/>
      <w:r>
        <w:rPr>
          <w:rStyle w:val="CharSectno"/>
        </w:rPr>
        <w:t>64</w:t>
      </w:r>
      <w:r>
        <w:t>.</w:t>
      </w:r>
      <w:r>
        <w:tab/>
        <w:t>Review of Act</w:t>
      </w:r>
      <w:bookmarkEnd w:id="75"/>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6" w:name="_Toc384990927"/>
      <w:r>
        <w:rPr>
          <w:rStyle w:val="CharSchNo"/>
        </w:rPr>
        <w:t>Schedule 1</w:t>
      </w:r>
      <w:r>
        <w:t xml:space="preserve"> — </w:t>
      </w:r>
      <w:r>
        <w:rPr>
          <w:rStyle w:val="CharSchText"/>
        </w:rPr>
        <w:t>Meetings of governing body</w:t>
      </w:r>
      <w:bookmarkEnd w:id="76"/>
    </w:p>
    <w:p>
      <w:pPr>
        <w:pStyle w:val="yShoulderClause"/>
      </w:pPr>
      <w:r>
        <w:t>[s. 13]</w:t>
      </w:r>
    </w:p>
    <w:p>
      <w:pPr>
        <w:pStyle w:val="yHeading5"/>
        <w:outlineLvl w:val="0"/>
      </w:pPr>
      <w:bookmarkStart w:id="77" w:name="_Toc384990928"/>
      <w:r>
        <w:rPr>
          <w:rStyle w:val="CharSClsNo"/>
        </w:rPr>
        <w:t>1</w:t>
      </w:r>
      <w:r>
        <w:t>.</w:t>
      </w:r>
      <w:r>
        <w:tab/>
        <w:t>Term used: meeting</w:t>
      </w:r>
      <w:bookmarkEnd w:id="77"/>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78" w:name="_Toc384990929"/>
      <w:r>
        <w:rPr>
          <w:rStyle w:val="CharSClsNo"/>
        </w:rPr>
        <w:t>2</w:t>
      </w:r>
      <w:r>
        <w:t>.</w:t>
      </w:r>
      <w:r>
        <w:tab/>
        <w:t>Application</w:t>
      </w:r>
      <w:bookmarkEnd w:id="78"/>
    </w:p>
    <w:p>
      <w:pPr>
        <w:pStyle w:val="ySubsection"/>
      </w:pPr>
      <w:r>
        <w:tab/>
      </w:r>
      <w:r>
        <w:tab/>
        <w:t>This Schedule applies if the governing body consists of more than one member.</w:t>
      </w:r>
    </w:p>
    <w:p>
      <w:pPr>
        <w:pStyle w:val="yHeading5"/>
        <w:outlineLvl w:val="0"/>
      </w:pPr>
      <w:bookmarkStart w:id="79" w:name="_Toc384990930"/>
      <w:r>
        <w:rPr>
          <w:rStyle w:val="CharSClsNo"/>
        </w:rPr>
        <w:t>3</w:t>
      </w:r>
      <w:r>
        <w:t>.</w:t>
      </w:r>
      <w:r>
        <w:tab/>
        <w:t>General procedure</w:t>
      </w:r>
      <w:bookmarkEnd w:id="79"/>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80" w:name="_Toc384990931"/>
      <w:r>
        <w:rPr>
          <w:rStyle w:val="CharSClsNo"/>
        </w:rPr>
        <w:t>4</w:t>
      </w:r>
      <w:r>
        <w:t>.</w:t>
      </w:r>
      <w:r>
        <w:tab/>
        <w:t>Presiding member</w:t>
      </w:r>
      <w:bookmarkEnd w:id="80"/>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81" w:name="_Toc384990932"/>
      <w:r>
        <w:rPr>
          <w:rStyle w:val="CharSClsNo"/>
        </w:rPr>
        <w:t>5</w:t>
      </w:r>
      <w:r>
        <w:t>.</w:t>
      </w:r>
      <w:r>
        <w:tab/>
        <w:t>Quorum</w:t>
      </w:r>
      <w:bookmarkEnd w:id="81"/>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82" w:name="_Toc384990933"/>
      <w:r>
        <w:rPr>
          <w:rStyle w:val="CharSClsNo"/>
        </w:rPr>
        <w:t>6</w:t>
      </w:r>
      <w:r>
        <w:t>.</w:t>
      </w:r>
      <w:r>
        <w:tab/>
        <w:t>Voting</w:t>
      </w:r>
      <w:bookmarkEnd w:id="82"/>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83" w:name="_Toc384990934"/>
      <w:r>
        <w:rPr>
          <w:rStyle w:val="CharSClsNo"/>
        </w:rPr>
        <w:t>7</w:t>
      </w:r>
      <w:r>
        <w:t>.</w:t>
      </w:r>
      <w:r>
        <w:tab/>
        <w:t>Minutes</w:t>
      </w:r>
      <w:bookmarkEnd w:id="83"/>
    </w:p>
    <w:p>
      <w:pPr>
        <w:pStyle w:val="ySubsection"/>
      </w:pPr>
      <w:r>
        <w:tab/>
      </w:r>
      <w:r>
        <w:tab/>
        <w:t>The governing body must cause accurate minutes to be kept of the proceedings at each meeting.</w:t>
      </w:r>
    </w:p>
    <w:p>
      <w:pPr>
        <w:pStyle w:val="yHeading5"/>
        <w:outlineLvl w:val="0"/>
      </w:pPr>
      <w:bookmarkStart w:id="84" w:name="_Toc384990935"/>
      <w:r>
        <w:rPr>
          <w:rStyle w:val="CharSClsNo"/>
        </w:rPr>
        <w:t>8</w:t>
      </w:r>
      <w:r>
        <w:t>.</w:t>
      </w:r>
      <w:r>
        <w:tab/>
        <w:t>Resolution without meeting</w:t>
      </w:r>
      <w:bookmarkEnd w:id="84"/>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85" w:name="_Toc384990936"/>
      <w:r>
        <w:rPr>
          <w:rStyle w:val="CharSClsNo"/>
        </w:rPr>
        <w:t>9</w:t>
      </w:r>
      <w:r>
        <w:t>.</w:t>
      </w:r>
      <w:r>
        <w:tab/>
        <w:t>Holding meetings remotely</w:t>
      </w:r>
      <w:bookmarkEnd w:id="8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86" w:name="_Toc384990937"/>
      <w:r>
        <w:rPr>
          <w:rStyle w:val="CharSClsNo"/>
        </w:rPr>
        <w:t>10</w:t>
      </w:r>
      <w:r>
        <w:t>.</w:t>
      </w:r>
      <w:r>
        <w:tab/>
        <w:t>Leave of absence from meetings</w:t>
      </w:r>
      <w:bookmarkEnd w:id="86"/>
    </w:p>
    <w:p>
      <w:pPr>
        <w:pStyle w:val="ySubsection"/>
      </w:pPr>
      <w:r>
        <w:tab/>
      </w:r>
      <w:r>
        <w:tab/>
        <w:t>The governing body may, on any terms and conditions it thinks fit, grant a member leave to be absent from a meeting.</w:t>
      </w:r>
    </w:p>
    <w:p>
      <w:pPr>
        <w:pStyle w:val="yEdnoteschedule"/>
      </w:pPr>
      <w:r>
        <w:t>[Schedule 2 omitted under the Reprints Act 1984 s. 7(4)(e).]</w:t>
      </w:r>
    </w:p>
    <w:p>
      <w:pPr>
        <w:pStyle w:val="yEdnoteschedule"/>
      </w:pPr>
      <w:r>
        <w:t>[Schedules 3 and 4 omitted under the Reprints Act 1984 s. 7(4)(g).]</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87" w:name="_Toc384990938"/>
      <w:r>
        <w:t>Notes</w:t>
      </w:r>
      <w:bookmarkEnd w:id="87"/>
    </w:p>
    <w:p>
      <w:pPr>
        <w:pStyle w:val="nSubsection"/>
        <w:rPr>
          <w:snapToGrid w:val="0"/>
        </w:rPr>
      </w:pPr>
      <w:r>
        <w:rPr>
          <w:snapToGrid w:val="0"/>
          <w:vertAlign w:val="superscript"/>
        </w:rPr>
        <w:t>1</w:t>
      </w:r>
      <w:r>
        <w:rPr>
          <w:snapToGrid w:val="0"/>
        </w:rPr>
        <w:tab/>
        <w:t xml:space="preserve">This reprint is a compilation as at 4 April 2014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384990939"/>
      <w:r>
        <w:rPr>
          <w:snapToGrid w:val="0"/>
        </w:rPr>
        <w:t>Compilation table</w:t>
      </w:r>
      <w:bookmarkEnd w:id="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rPr>
              <w:t>Machinery of Government (Miscellaneous Amendments) Act 2006</w:t>
            </w:r>
            <w:r>
              <w:rPr>
                <w:i/>
                <w:iCs/>
                <w:noProof/>
                <w:snapToGrid w:val="0"/>
                <w:sz w:val="19"/>
              </w:rPr>
              <w:t xml:space="preserve"> </w:t>
            </w:r>
            <w:r>
              <w:rPr>
                <w:noProof/>
                <w:snapToGrid w:val="0"/>
                <w:sz w:val="19"/>
              </w:rPr>
              <w:t>Pt. 17 Div. 2</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rPr>
            </w:pPr>
            <w:r>
              <w:rPr>
                <w:i/>
                <w:snapToGrid w:val="0"/>
                <w:sz w:val="19"/>
              </w:rPr>
              <w:t xml:space="preserve">Financial Legislation Amendment and Repeal Act 2006 </w:t>
            </w:r>
            <w:r>
              <w:rPr>
                <w:iCs/>
                <w:snapToGrid w:val="0"/>
                <w:sz w:val="19"/>
              </w:rPr>
              <w:t>Sch. 1 cl. 48</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ind w:right="156"/>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
                <w:iCs/>
                <w:sz w:val="19"/>
                <w:vertAlign w:val="superscript"/>
              </w:rPr>
            </w:pPr>
            <w:r>
              <w:rPr>
                <w:i/>
                <w:sz w:val="19"/>
              </w:rPr>
              <w:t>Duties Legislation Amendment Act 2008</w:t>
            </w:r>
            <w:r>
              <w:rPr>
                <w:iCs/>
                <w:sz w:val="19"/>
              </w:rPr>
              <w:t xml:space="preserve"> Sch. 1 cl. 7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9" w:name="AutoSch"/>
            <w:bookmarkEnd w:id="89"/>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 xml:space="preserve">Water Services Legislation Amendment and Repeal Act 2012 </w:t>
            </w:r>
            <w:r>
              <w:rPr>
                <w:iCs/>
                <w:snapToGrid w:val="0"/>
                <w:sz w:val="19"/>
              </w:rPr>
              <w:t>s. 209</w:t>
            </w:r>
          </w:p>
        </w:tc>
        <w:tc>
          <w:tcPr>
            <w:tcW w:w="1134" w:type="dxa"/>
            <w:shd w:val="clear" w:color="auto" w:fill="auto"/>
          </w:tcPr>
          <w:p>
            <w:pPr>
              <w:pStyle w:val="nTable"/>
              <w:spacing w:after="40"/>
              <w:rPr>
                <w:snapToGrid w:val="0"/>
                <w:sz w:val="19"/>
              </w:rPr>
            </w:pPr>
            <w:r>
              <w:rPr>
                <w:snapToGrid w:val="0"/>
                <w:sz w:val="19"/>
              </w:rPr>
              <w:t>25 of 2012</w:t>
            </w:r>
          </w:p>
        </w:tc>
        <w:tc>
          <w:tcPr>
            <w:tcW w:w="1134" w:type="dxa"/>
            <w:shd w:val="clear" w:color="auto" w:fill="auto"/>
          </w:tcPr>
          <w:p>
            <w:pPr>
              <w:pStyle w:val="nTable"/>
              <w:spacing w:after="40"/>
              <w:rPr>
                <w:sz w:val="19"/>
              </w:rPr>
            </w:pPr>
            <w:r>
              <w:rPr>
                <w:sz w:val="19"/>
              </w:rPr>
              <w:t>3 Sep 2012</w:t>
            </w:r>
          </w:p>
        </w:tc>
        <w:tc>
          <w:tcPr>
            <w:tcW w:w="2552" w:type="dxa"/>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2268" w:type="dxa"/>
            <w:shd w:val="clear" w:color="auto" w:fill="auto"/>
          </w:tcPr>
          <w:p>
            <w:pPr>
              <w:pStyle w:val="nTable"/>
              <w:spacing w:after="40"/>
              <w:ind w:right="113"/>
              <w:rPr>
                <w:i/>
                <w:iCs/>
                <w:snapToGrid w:val="0"/>
                <w:sz w:val="19"/>
              </w:rPr>
            </w:pPr>
            <w:r>
              <w:rPr>
                <w:i/>
                <w:iCs/>
                <w:snapToGrid w:val="0"/>
                <w:sz w:val="19"/>
                <w:szCs w:val="19"/>
              </w:rPr>
              <w:t xml:space="preserve">Electricity Corporations Amendment Act 2013 </w:t>
            </w:r>
            <w:r>
              <w:rPr>
                <w:iCs/>
                <w:snapToGrid w:val="0"/>
                <w:sz w:val="19"/>
                <w:szCs w:val="19"/>
              </w:rPr>
              <w:t>s. 38</w:t>
            </w:r>
          </w:p>
        </w:tc>
        <w:tc>
          <w:tcPr>
            <w:tcW w:w="1134" w:type="dxa"/>
            <w:shd w:val="clear" w:color="auto" w:fill="auto"/>
          </w:tcPr>
          <w:p>
            <w:pPr>
              <w:pStyle w:val="nTable"/>
              <w:spacing w:after="40"/>
              <w:rPr>
                <w:snapToGrid w:val="0"/>
                <w:sz w:val="19"/>
              </w:rPr>
            </w:pPr>
            <w:r>
              <w:rPr>
                <w:snapToGrid w:val="0"/>
                <w:sz w:val="19"/>
                <w:szCs w:val="19"/>
              </w:rPr>
              <w:t>25 of 2013</w:t>
            </w:r>
          </w:p>
        </w:tc>
        <w:tc>
          <w:tcPr>
            <w:tcW w:w="1134" w:type="dxa"/>
            <w:shd w:val="clear" w:color="auto" w:fill="auto"/>
          </w:tcPr>
          <w:p>
            <w:pPr>
              <w:pStyle w:val="nTable"/>
              <w:spacing w:after="40"/>
              <w:rPr>
                <w:sz w:val="19"/>
              </w:rPr>
            </w:pPr>
            <w:r>
              <w:rPr>
                <w:snapToGrid w:val="0"/>
                <w:sz w:val="19"/>
                <w:szCs w:val="19"/>
              </w:rPr>
              <w:t>18 Dec 2013</w:t>
            </w:r>
          </w:p>
        </w:tc>
        <w:tc>
          <w:tcPr>
            <w:tcW w:w="2552" w:type="dxa"/>
            <w:shd w:val="clear" w:color="auto" w:fill="auto"/>
          </w:tcPr>
          <w:p>
            <w:pPr>
              <w:pStyle w:val="nTable"/>
              <w:spacing w:after="40"/>
              <w:rPr>
                <w:snapToGrid w:val="0"/>
                <w:sz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rPr>
          <w:cantSplit/>
        </w:trPr>
        <w:tc>
          <w:tcPr>
            <w:tcW w:w="7088" w:type="dxa"/>
            <w:gridSpan w:val="4"/>
            <w:tcBorders>
              <w:bottom w:val="single" w:sz="8" w:space="0" w:color="auto"/>
            </w:tcBorders>
            <w:shd w:val="clear" w:color="auto" w:fill="auto"/>
          </w:tcPr>
          <w:p>
            <w:pPr>
              <w:pStyle w:val="nTable"/>
              <w:spacing w:after="40"/>
              <w:rPr>
                <w:i/>
                <w:snapToGrid w:val="0"/>
                <w:sz w:val="19"/>
              </w:rPr>
            </w:pPr>
            <w:r>
              <w:rPr>
                <w:b/>
                <w:bCs/>
                <w:sz w:val="19"/>
              </w:rPr>
              <w:t xml:space="preserve">Reprint 2: The </w:t>
            </w:r>
            <w:r>
              <w:rPr>
                <w:b/>
                <w:bCs/>
                <w:i/>
                <w:snapToGrid w:val="0"/>
                <w:sz w:val="19"/>
              </w:rPr>
              <w:t>Economic Regulation Authority Act 2003</w:t>
            </w:r>
            <w:r>
              <w:rPr>
                <w:b/>
                <w:bCs/>
                <w:sz w:val="19"/>
              </w:rPr>
              <w:t xml:space="preserve"> as at 4 Apr 2014</w:t>
            </w:r>
            <w:r>
              <w:rPr>
                <w:sz w:val="19"/>
              </w:rPr>
              <w:t xml:space="preserve"> (includes amendments listed above)</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Section 63 and Schedule 4 have been omitted under the </w:t>
      </w:r>
      <w:r>
        <w:rPr>
          <w:i/>
          <w:iCs/>
        </w:rPr>
        <w:t>Reprints Act 1984</w:t>
      </w:r>
      <w:r>
        <w:t xml:space="preserve"> s. 7(4)(g).</w:t>
      </w:r>
    </w:p>
    <w:p>
      <w:pPr>
        <w:pStyle w:val="nSubsection"/>
      </w:pPr>
      <w:r>
        <w:rPr>
          <w:vertAlign w:val="superscript"/>
        </w:rPr>
        <w:t>4</w:t>
      </w:r>
      <w:r>
        <w:tab/>
        <w:t xml:space="preserve">Schedule 2 has been omitted under the </w:t>
      </w:r>
      <w:r>
        <w:rPr>
          <w:i/>
          <w:iCs/>
        </w:rPr>
        <w:t>Reprints Act 1984</w:t>
      </w:r>
      <w:r>
        <w:t xml:space="preserve"> s. 7(4)(e).</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90" w:name="_Toc384990940"/>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access agreement</w:t>
      </w:r>
      <w:r>
        <w:tab/>
        <w:t>20(5)</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functions</w:t>
      </w:r>
      <w:r>
        <w:tab/>
        <w:t>3</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meeting</w:t>
      </w:r>
      <w:r>
        <w:tab/>
        <w:t>Sch. 1 cl. 1</w:t>
      </w:r>
    </w:p>
    <w:p>
      <w:pPr>
        <w:pStyle w:val="DefinedTerms"/>
      </w:pPr>
      <w:r>
        <w:t>member</w:t>
      </w:r>
      <w:r>
        <w:tab/>
        <w:t>3</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p>
    <w:p>
      <w:pPr>
        <w:pStyle w:val="DefinedTerms"/>
      </w:pPr>
    </w:p>
    <w:p>
      <w:pPr>
        <w:spacing w:before="80"/>
      </w:pPr>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39</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833"/>
    <w:docVar w:name="WAFER_20131219153902" w:val="RemoveTocBookmarks,RemoveUnusedBookmarks,RemoveLanguageTags,UsedStyles,ResetPageSize,UpdateArrangement"/>
    <w:docVar w:name="WAFER_20131219153902_GUID" w:val="ce808c6b-6871-4ea1-983e-ed21d721a5a4"/>
    <w:docVar w:name="WAFER_20140327104233" w:val="RemoveTocBookmarks,RemoveUnusedBookmarks,RemoveLanguageTags,UsedStyles,RemoveTrackChanges"/>
    <w:docVar w:name="WAFER_20140327104233_GUID" w:val="47ad5c45-0462-4f8a-bd09-1886edf259ff"/>
    <w:docVar w:name="WAFER_20140327104247" w:val="RemoveTocBookmarks,RemoveLanguageTags,RemoveTrackChanges,RunningHeaders"/>
    <w:docVar w:name="WAFER_20140327104247_GUID" w:val="86142cc8-14b1-4e10-9a25-a5a8abca83d0"/>
    <w:docVar w:name="WAFER_20140411143629" w:val="RemoveTocBookmarks,RemoveLanguageTags,RemoveTrackChanges,RunningHeaders"/>
    <w:docVar w:name="WAFER_20140411143629_GUID" w:val="4b136374-79c0-4d0a-ba31-8ad137d155fb"/>
    <w:docVar w:name="WAFER_20151203095833" w:val="RemoveTrackChanges"/>
    <w:docVar w:name="WAFER_20151203095833_GUID" w:val="0a0740af-80b4-443f-b5b4-687c481624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03A3-4673-4818-9853-102D3515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9536</Words>
  <Characters>45778</Characters>
  <Application>Microsoft Office Word</Application>
  <DocSecurity>0</DocSecurity>
  <Lines>1346</Lines>
  <Paragraphs>825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2003 - 02-00-01</dc:title>
  <dc:subject/>
  <dc:creator/>
  <cp:keywords/>
  <dc:description/>
  <cp:lastModifiedBy>svcMRProcess</cp:lastModifiedBy>
  <cp:revision>4</cp:revision>
  <cp:lastPrinted>2014-04-07T07:45:00Z</cp:lastPrinted>
  <dcterms:created xsi:type="dcterms:W3CDTF">2020-03-07T17:28:00Z</dcterms:created>
  <dcterms:modified xsi:type="dcterms:W3CDTF">2020-03-07T17:28:00Z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20140404</vt:lpwstr>
  </property>
  <property fmtid="{D5CDD505-2E9C-101B-9397-08002B2CF9AE}" pid="4" name="DocumentType">
    <vt:lpwstr>Act</vt:lpwstr>
  </property>
  <property fmtid="{D5CDD505-2E9C-101B-9397-08002B2CF9AE}" pid="5" name="OwlsUID">
    <vt:i4>6994</vt:i4>
  </property>
  <property fmtid="{D5CDD505-2E9C-101B-9397-08002B2CF9AE}" pid="6" name="AsAtDate">
    <vt:lpwstr>04 Apr 2014</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2014-04-03T16:00:00Z</vt:filetime>
  </property>
</Properties>
</file>