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(Permitted Calling Hours) Regulations 2014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(Permitted Calling Hours)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_Toc418152554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_Toc418152555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Permitted calling hours for negotiating unsolicited consumer agreement</w:t>
      </w:r>
      <w:r>
        <w:tab/>
      </w:r>
      <w:r>
        <w:fldChar w:fldCharType="begin"/>
      </w:r>
      <w:r>
        <w:instrText xml:space="preserve"> PAGEREF _Toc418152556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Operation of section 73(1) altered</w:t>
      </w:r>
      <w:r>
        <w:tab/>
      </w:r>
      <w:r>
        <w:fldChar w:fldCharType="begin"/>
      </w:r>
      <w:r>
        <w:instrText xml:space="preserve"> PAGEREF _Toc418152557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Operation of section 170(1) altered</w:t>
      </w:r>
      <w:r>
        <w:tab/>
      </w:r>
      <w:r>
        <w:fldChar w:fldCharType="begin"/>
      </w:r>
      <w:r>
        <w:instrText xml:space="preserve"> PAGEREF _Toc418152558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_Toc418152560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Fair Trading Act 2010</w:t>
      </w:r>
    </w:p>
    <w:p>
      <w:pPr>
        <w:pStyle w:val="NameofActReg"/>
      </w:pPr>
      <w:r>
        <w:t>Fair Trading (Permitted Calling Hours) Regulations 2014</w:t>
      </w:r>
    </w:p>
    <w:p>
      <w:pPr>
        <w:pStyle w:val="Heading5"/>
      </w:pPr>
      <w:bookmarkStart w:id="3" w:name="_Toc385495965"/>
      <w:bookmarkStart w:id="4" w:name="_Toc41815255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(Permitted Calling Hours)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385495966"/>
      <w:bookmarkStart w:id="7" w:name="_Toc41815255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8" w:name="_Toc385495967"/>
      <w:bookmarkStart w:id="9" w:name="_Toc41815255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Permitted calling hours for negotiating unsolicited consumer agreement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Australian Consumer Law (WA)</w:t>
      </w:r>
      <w:r>
        <w:t xml:space="preserve"> sections 73(1) and 170(1) (as modified by the </w:t>
      </w:r>
      <w:r>
        <w:rPr>
          <w:i/>
        </w:rPr>
        <w:t>Fair Trading Act 2010</w:t>
      </w:r>
      <w:r>
        <w:t xml:space="preserve"> section 36) operate as if amended as set out in regulations 4 and 5.</w:t>
      </w:r>
    </w:p>
    <w:p>
      <w:pPr>
        <w:pStyle w:val="Heading5"/>
      </w:pPr>
      <w:bookmarkStart w:id="10" w:name="_Toc385495968"/>
      <w:bookmarkStart w:id="11" w:name="_Toc418152557"/>
      <w:r>
        <w:rPr>
          <w:rStyle w:val="CharSectno"/>
        </w:rPr>
        <w:t>4</w:t>
      </w:r>
      <w:r>
        <w:t>.</w:t>
      </w:r>
      <w:r>
        <w:tab/>
        <w:t>Operation of section 73(1) altered</w:t>
      </w:r>
      <w:bookmarkEnd w:id="10"/>
      <w:bookmarkEnd w:id="11"/>
    </w:p>
    <w:p>
      <w:pPr>
        <w:pStyle w:val="Subsection"/>
      </w:pPr>
      <w:r>
        <w:tab/>
      </w:r>
      <w:r>
        <w:tab/>
        <w:t>Delete section 73(1)(c)(ii) and insert:</w:t>
      </w:r>
    </w:p>
    <w:p>
      <w:pPr>
        <w:pStyle w:val="BlankOpen"/>
      </w:pPr>
    </w:p>
    <w:p>
      <w:pPr>
        <w:pStyle w:val="Indenti"/>
      </w:pPr>
      <w:r>
        <w:tab/>
        <w:t>(ii)</w:t>
      </w:r>
      <w:r>
        <w:tab/>
        <w:t>between 6 pm and midnight.</w:t>
      </w:r>
    </w:p>
    <w:p>
      <w:pPr>
        <w:pStyle w:val="BlankClose"/>
        <w:keepNext/>
      </w:pPr>
    </w:p>
    <w:p>
      <w:pPr>
        <w:pStyle w:val="Heading5"/>
      </w:pPr>
      <w:bookmarkStart w:id="12" w:name="_Toc385495969"/>
      <w:bookmarkStart w:id="13" w:name="_Toc418152558"/>
      <w:r>
        <w:rPr>
          <w:rStyle w:val="CharSectno"/>
        </w:rPr>
        <w:t>5</w:t>
      </w:r>
      <w:r>
        <w:t>.</w:t>
      </w:r>
      <w:r>
        <w:tab/>
        <w:t>Operation of section 170(1) altered</w:t>
      </w:r>
      <w:bookmarkEnd w:id="12"/>
      <w:bookmarkEnd w:id="13"/>
    </w:p>
    <w:p>
      <w:pPr>
        <w:pStyle w:val="Subsection"/>
      </w:pPr>
      <w:r>
        <w:tab/>
      </w:r>
      <w:r>
        <w:tab/>
        <w:t>Delete section 170(1)(c)(ii) and insert:</w:t>
      </w:r>
    </w:p>
    <w:p>
      <w:pPr>
        <w:pStyle w:val="BlankOpen"/>
      </w:pPr>
    </w:p>
    <w:p>
      <w:pPr>
        <w:pStyle w:val="Indenti"/>
      </w:pPr>
      <w:r>
        <w:tab/>
        <w:t>(ii)</w:t>
      </w:r>
      <w:r>
        <w:tab/>
        <w:t>between 6 pm and midnight.</w:t>
      </w:r>
    </w:p>
    <w:p>
      <w:pPr>
        <w:pStyle w:val="BlankClose"/>
      </w:pPr>
    </w:p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85427086"/>
      <w:bookmarkStart w:id="15" w:name="_Toc385495970"/>
      <w:bookmarkStart w:id="16" w:name="_Toc418152545"/>
      <w:bookmarkStart w:id="17" w:name="_Toc418152559"/>
      <w:r>
        <w:t>Notes</w:t>
      </w:r>
      <w:bookmarkEnd w:id="14"/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Fair Trading (Permitted Calling Hours) Regulations 2014.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8" w:name="_Toc385495971"/>
      <w:bookmarkStart w:id="19" w:name="_Toc418152560"/>
      <w:r>
        <w:t>Compilation table</w:t>
      </w:r>
      <w:bookmarkEnd w:id="18"/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Fair Trading (Permitted Calling Hours)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Apr 2014 p. 1074-5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17 Apr 2014 (see r. 2(a));</w:t>
            </w:r>
          </w:p>
          <w:p>
            <w:pPr>
              <w:pStyle w:val="nTable"/>
              <w:spacing w:after="40"/>
            </w:pPr>
            <w:r>
              <w:t>Regulations other than r. 1 and 2: 18 Apr 2014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04DA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D0A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66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C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267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C2E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0C5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67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D49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568ADE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3429"/>
    <w:docVar w:name="WAFER_20140416155503" w:val="RemoveTocBookmarks,RemoveUnusedBookmarks,RemoveLanguageTags,UsedStyles,ResetPageSize"/>
    <w:docVar w:name="WAFER_20140416155503_GUID" w:val="cba8f447-219b-4111-add5-fbd6f4047d94"/>
    <w:docVar w:name="WAFER_20150914121155" w:val="ResetPageSize,UpdateArrangement,UpdateNTable"/>
    <w:docVar w:name="WAFER_20150914121155_GUID" w:val="d99612a4-85f5-42ed-80a4-988ebe60f35b"/>
    <w:docVar w:name="WAFER_20151105103429" w:val="UpdateStyles,UsedStyles"/>
    <w:docVar w:name="WAFER_20151105103429_GUID" w:val="7f713569-4dd4-4b5c-a08f-3608d77e51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</Words>
  <Characters>1932</Characters>
  <Application>Microsoft Office Word</Application>
  <DocSecurity>0</DocSecurity>
  <Lines>92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(Permitted Calling Hours) Regulations 2014 - 00-a0-04</dc:title>
  <dc:subject/>
  <dc:creator/>
  <cp:keywords/>
  <dc:description/>
  <cp:lastModifiedBy>svcMRProcess</cp:lastModifiedBy>
  <cp:revision>4</cp:revision>
  <cp:lastPrinted>2004-04-21T03:49:00Z</cp:lastPrinted>
  <dcterms:created xsi:type="dcterms:W3CDTF">2019-01-18T03:43:00Z</dcterms:created>
  <dcterms:modified xsi:type="dcterms:W3CDTF">2019-01-18T03:43:00Z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Apr 2014 p 1074-5</vt:lpwstr>
  </property>
  <property fmtid="{D5CDD505-2E9C-101B-9397-08002B2CF9AE}" pid="3" name="CommencementDate">
    <vt:lpwstr>20140418</vt:lpwstr>
  </property>
  <property fmtid="{D5CDD505-2E9C-101B-9397-08002B2CF9AE}" pid="4" name="DocumentType">
    <vt:lpwstr>Reg</vt:lpwstr>
  </property>
  <property fmtid="{D5CDD505-2E9C-101B-9397-08002B2CF9AE}" pid="5" name="AsAtDate">
    <vt:lpwstr>18 Apr 2014</vt:lpwstr>
  </property>
  <property fmtid="{D5CDD505-2E9C-101B-9397-08002B2CF9AE}" pid="6" name="Suffix">
    <vt:lpwstr>00-a0-04</vt:lpwstr>
  </property>
</Properties>
</file>