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Produce (Chemical Residues)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after="480"/>
        <w:outlineLvl w:val="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Agricultural Produce (Chemical Residues) Regulations 1985</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_Toc142987998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_Toc142987999 \h </w:instrText>
      </w:r>
      <w:r>
        <w:fldChar w:fldCharType="separate"/>
      </w:r>
      <w:r>
        <w:t>1</w:t>
      </w:r>
      <w:r>
        <w:fldChar w:fldCharType="end"/>
      </w:r>
    </w:p>
    <w:p>
      <w:pPr>
        <w:pStyle w:val="TOC8"/>
        <w:rPr>
          <w:sz w:val="24"/>
          <w:szCs w:val="24"/>
        </w:rPr>
      </w:pPr>
      <w:r>
        <w:rPr>
          <w:szCs w:val="24"/>
        </w:rPr>
        <w:t>2AA</w:t>
      </w:r>
      <w:r>
        <w:rPr>
          <w:snapToGrid w:val="0"/>
          <w:szCs w:val="24"/>
        </w:rPr>
        <w:t>.</w:t>
      </w:r>
      <w:r>
        <w:rPr>
          <w:snapToGrid w:val="0"/>
          <w:szCs w:val="24"/>
        </w:rPr>
        <w:tab/>
        <w:t>Interpretation</w:t>
      </w:r>
      <w:r>
        <w:tab/>
      </w:r>
      <w:r>
        <w:fldChar w:fldCharType="begin"/>
      </w:r>
      <w:r>
        <w:instrText xml:space="preserve"> PAGEREF _Toc142988000 \h </w:instrText>
      </w:r>
      <w:r>
        <w:fldChar w:fldCharType="separate"/>
      </w:r>
      <w:r>
        <w:t>1</w:t>
      </w:r>
      <w:r>
        <w:fldChar w:fldCharType="end"/>
      </w:r>
    </w:p>
    <w:p>
      <w:pPr>
        <w:pStyle w:val="TOC8"/>
        <w:rPr>
          <w:sz w:val="24"/>
          <w:szCs w:val="24"/>
        </w:rPr>
      </w:pPr>
      <w:r>
        <w:rPr>
          <w:szCs w:val="24"/>
        </w:rPr>
        <w:t>2A.</w:t>
      </w:r>
      <w:r>
        <w:rPr>
          <w:szCs w:val="24"/>
        </w:rPr>
        <w:tab/>
        <w:t>Agricultural chemicals</w:t>
      </w:r>
      <w:r>
        <w:tab/>
      </w:r>
      <w:r>
        <w:fldChar w:fldCharType="begin"/>
      </w:r>
      <w:r>
        <w:instrText xml:space="preserve"> PAGEREF _Toc142988001 \h </w:instrText>
      </w:r>
      <w:r>
        <w:fldChar w:fldCharType="separate"/>
      </w:r>
      <w:r>
        <w:t>2</w:t>
      </w:r>
      <w:r>
        <w:fldChar w:fldCharType="end"/>
      </w:r>
    </w:p>
    <w:p>
      <w:pPr>
        <w:pStyle w:val="TOC8"/>
        <w:rPr>
          <w:sz w:val="24"/>
          <w:szCs w:val="24"/>
        </w:rPr>
      </w:pPr>
      <w:r>
        <w:rPr>
          <w:szCs w:val="24"/>
        </w:rPr>
        <w:t>3.</w:t>
      </w:r>
      <w:r>
        <w:rPr>
          <w:szCs w:val="24"/>
        </w:rPr>
        <w:tab/>
        <w:t>Maximum residue limits</w:t>
      </w:r>
      <w:r>
        <w:tab/>
      </w:r>
      <w:r>
        <w:fldChar w:fldCharType="begin"/>
      </w:r>
      <w:r>
        <w:instrText xml:space="preserve"> PAGEREF _Toc142988002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Method of determination</w:t>
      </w:r>
      <w:r>
        <w:tab/>
      </w:r>
      <w:r>
        <w:fldChar w:fldCharType="begin"/>
      </w:r>
      <w:r>
        <w:instrText xml:space="preserve"> PAGEREF _Toc142988003 \h </w:instrText>
      </w:r>
      <w:r>
        <w:fldChar w:fldCharType="separate"/>
      </w:r>
      <w:r>
        <w:t>4</w:t>
      </w:r>
      <w:r>
        <w:fldChar w:fldCharType="end"/>
      </w:r>
    </w:p>
    <w:p>
      <w:pPr>
        <w:pStyle w:val="TOC2"/>
        <w:tabs>
          <w:tab w:val="right" w:leader="dot" w:pos="7077"/>
        </w:tabs>
        <w:rPr>
          <w:b w:val="0"/>
          <w:sz w:val="24"/>
          <w:szCs w:val="24"/>
        </w:rPr>
      </w:pPr>
      <w:r>
        <w:rPr>
          <w:szCs w:val="28"/>
        </w:rPr>
        <w:t>Schedule 1</w:t>
      </w:r>
    </w:p>
    <w:p>
      <w:pPr>
        <w:pStyle w:val="TOC2"/>
        <w:tabs>
          <w:tab w:val="right" w:leader="dot" w:pos="7077"/>
        </w:tabs>
        <w:rPr>
          <w:b w:val="0"/>
          <w:sz w:val="24"/>
          <w:szCs w:val="24"/>
        </w:rPr>
      </w:pPr>
      <w:r>
        <w:rPr>
          <w:szCs w:val="28"/>
        </w:rPr>
        <w:t>Schedule 3</w:t>
      </w:r>
    </w:p>
    <w:p>
      <w:pPr>
        <w:pStyle w:val="TOC2"/>
        <w:tabs>
          <w:tab w:val="right" w:leader="dot" w:pos="7077"/>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_Toc142988007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sectPr>
          <w:headerReference w:type="even" r:id="rId14"/>
          <w:headerReference w:type="default" r:id="rId15"/>
          <w:footerReference w:type="even" r:id="rId16"/>
          <w:footerReference w:type="default" r:id="rId17"/>
          <w:footerReference w:type="first" r:id="rId18"/>
          <w:type w:val="oddPage"/>
          <w:pgSz w:w="11907" w:h="16840" w:code="9"/>
          <w:pgMar w:top="2381" w:right="2410" w:bottom="3544" w:left="2410" w:header="720" w:footer="3380" w:gutter="0"/>
          <w:pgNumType w:fmt="lowerRoman" w:start="1"/>
          <w:cols w:space="720"/>
          <w:titlePg/>
          <w:docGrid w:linePitch="326"/>
        </w:sectPr>
      </w:pPr>
    </w:p>
    <w:p>
      <w:pPr>
        <w:pStyle w:val="WA"/>
      </w:pPr>
      <w:r>
        <w:lastRenderedPageBreak/>
        <w:t>Western Australia</w:t>
      </w:r>
    </w:p>
    <w:p>
      <w:pPr>
        <w:pStyle w:val="PrincipalActReg"/>
        <w:rPr>
          <w:snapToGrid w:val="0"/>
        </w:rPr>
      </w:pPr>
      <w:r>
        <w:rPr>
          <w:snapToGrid w:val="0"/>
        </w:rPr>
        <w:t>Agricultural Produce (Chemical Residues) Act 1983</w:t>
      </w:r>
    </w:p>
    <w:p>
      <w:pPr>
        <w:pStyle w:val="NameofActReg"/>
      </w:pPr>
      <w:r>
        <w:t>Agricultural Produce (Chemical Residues) Regulations 1985</w:t>
      </w:r>
    </w:p>
    <w:p>
      <w:pPr>
        <w:pStyle w:val="Heading5"/>
        <w:rPr>
          <w:snapToGrid w:val="0"/>
        </w:rPr>
      </w:pPr>
      <w:bookmarkStart w:id="2" w:name="_Toc459091841"/>
      <w:bookmarkStart w:id="3" w:name="_Toc526818693"/>
      <w:bookmarkStart w:id="4" w:name="_Toc526818914"/>
      <w:bookmarkStart w:id="5" w:name="_Toc92872204"/>
      <w:bookmarkStart w:id="6" w:name="_Toc142987998"/>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Agricultural Produce (Chemical Residues) Regulations 1985</w:t>
      </w:r>
      <w:r>
        <w:rPr>
          <w:snapToGrid w:val="0"/>
          <w:vertAlign w:val="superscript"/>
        </w:rPr>
        <w:t> 1</w:t>
      </w:r>
      <w:r>
        <w:rPr>
          <w:snapToGrid w:val="0"/>
        </w:rPr>
        <w:t xml:space="preserve">. </w:t>
      </w:r>
    </w:p>
    <w:p>
      <w:pPr>
        <w:pStyle w:val="Heading5"/>
        <w:rPr>
          <w:snapToGrid w:val="0"/>
        </w:rPr>
      </w:pPr>
      <w:bookmarkStart w:id="7" w:name="_Toc459091842"/>
      <w:bookmarkStart w:id="8" w:name="_Toc526818694"/>
      <w:bookmarkStart w:id="9" w:name="_Toc526818915"/>
      <w:bookmarkStart w:id="10" w:name="_Toc92872205"/>
      <w:bookmarkStart w:id="11" w:name="_Toc142987999"/>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1 September 1985.</w:t>
      </w:r>
    </w:p>
    <w:p>
      <w:pPr>
        <w:pStyle w:val="Heading5"/>
        <w:rPr>
          <w:snapToGrid w:val="0"/>
        </w:rPr>
      </w:pPr>
      <w:bookmarkStart w:id="12" w:name="_Toc459091843"/>
      <w:bookmarkStart w:id="13" w:name="_Toc526818695"/>
      <w:bookmarkStart w:id="14" w:name="_Toc526818916"/>
      <w:bookmarkStart w:id="15" w:name="_Toc92872206"/>
      <w:bookmarkStart w:id="16" w:name="_Toc142988000"/>
      <w:r>
        <w:rPr>
          <w:rStyle w:val="CharSectno"/>
        </w:rPr>
        <w:t>2AA</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animal feeding stuff</w:t>
      </w:r>
      <w:r>
        <w:rPr>
          <w:b/>
        </w:rPr>
        <w:t>”</w:t>
      </w:r>
      <w:r>
        <w:t xml:space="preserve"> means any substance, including any mixture or compound, and whether in package form or in bulk, used or intended for consumption by any animal or offered for sale for that purpose, and includes basic feed, processed food and manufactured stock foods;</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w:t>
      </w:r>
    </w:p>
    <w:p>
      <w:pPr>
        <w:pStyle w:val="Defstart"/>
      </w:pPr>
      <w:r>
        <w:rPr>
          <w:b/>
        </w:rPr>
        <w:tab/>
        <w:t>“</w:t>
      </w:r>
      <w:r>
        <w:rPr>
          <w:rStyle w:val="CharDefText"/>
        </w:rPr>
        <w:t>Food Standards Code</w:t>
      </w:r>
      <w:r>
        <w:rPr>
          <w:b/>
        </w:rPr>
        <w:t>”</w:t>
      </w:r>
      <w:r>
        <w:t xml:space="preserve"> means the code published under the name “Food Standards Code” in the Commonwealth</w:t>
      </w:r>
      <w:r>
        <w:rPr>
          <w:i/>
          <w:iCs/>
        </w:rPr>
        <w:t xml:space="preserve"> Food Standards Gazette</w:t>
      </w:r>
      <w:r>
        <w:t xml:space="preserve"> on 27 August 1987 together with any amendments to the standards in that Code up to and including “Amendment 84”;</w:t>
      </w:r>
    </w:p>
    <w:p>
      <w:pPr>
        <w:pStyle w:val="Defstart"/>
      </w:pPr>
      <w:r>
        <w:rPr>
          <w:b/>
        </w:rPr>
        <w:tab/>
        <w:t>“</w:t>
      </w:r>
      <w:r>
        <w:rPr>
          <w:rStyle w:val="CharDefText"/>
        </w:rPr>
        <w:t>manufactured stock food</w:t>
      </w:r>
      <w:r>
        <w:rPr>
          <w:b/>
        </w:rPr>
        <w:t>”</w:t>
      </w:r>
      <w:r>
        <w:t xml:space="preserve"> means any feed made up of one or more of the following — </w:t>
      </w:r>
    </w:p>
    <w:p>
      <w:pPr>
        <w:pStyle w:val="Defpara"/>
      </w:pPr>
      <w:r>
        <w:tab/>
        <w:t>(a)</w:t>
      </w:r>
      <w:r>
        <w:tab/>
        <w:t>basic feed;</w:t>
      </w:r>
    </w:p>
    <w:p>
      <w:pPr>
        <w:pStyle w:val="Defpara"/>
      </w:pPr>
      <w:r>
        <w:tab/>
        <w:t>(b)</w:t>
      </w:r>
      <w:r>
        <w:tab/>
        <w:t>processed food;</w:t>
      </w:r>
    </w:p>
    <w:p>
      <w:pPr>
        <w:pStyle w:val="Defpara"/>
      </w:pPr>
      <w:r>
        <w:tab/>
        <w:t>(c)</w:t>
      </w:r>
      <w:r>
        <w:tab/>
        <w:t>by</w:t>
      </w:r>
      <w:r>
        <w:noBreakHyphen/>
        <w:t>products,</w:t>
      </w:r>
    </w:p>
    <w:p>
      <w:pPr>
        <w:pStyle w:val="Defstart"/>
      </w:pPr>
      <w:r>
        <w:tab/>
      </w:r>
      <w:r>
        <w:tab/>
        <w:t>and includes stock licks but does not include basic feed only;</w:t>
      </w:r>
    </w:p>
    <w:p>
      <w:pPr>
        <w:pStyle w:val="Defstart"/>
      </w:pPr>
      <w:r>
        <w:rPr>
          <w:b/>
        </w:rPr>
        <w:tab/>
        <w:t>“</w:t>
      </w:r>
      <w:r>
        <w:rPr>
          <w:rStyle w:val="CharDefText"/>
        </w:rPr>
        <w:t>MRL Standard</w:t>
      </w:r>
      <w:r>
        <w:rPr>
          <w:b/>
        </w:rPr>
        <w:t>”</w:t>
      </w:r>
      <w:r>
        <w:t xml:space="preserve"> means the “Maximum Residue Limit Standard”, listing maximum residue limits set by the Australian Pesticides and Veterinary Medicines Authority (APVMA) as published in the </w:t>
      </w:r>
      <w:r>
        <w:rPr>
          <w:i/>
          <w:iCs/>
        </w:rPr>
        <w:t>Agricultural and Veterinary Chemical Gazette</w:t>
      </w:r>
      <w:r>
        <w:t xml:space="preserve"> of the Commonwealth, together with any amendments, as at February 2006;</w:t>
      </w:r>
    </w:p>
    <w:p>
      <w:pPr>
        <w:pStyle w:val="Defstart"/>
      </w:pPr>
      <w:r>
        <w:tab/>
      </w:r>
      <w:r>
        <w:rPr>
          <w:b/>
        </w:rPr>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Subsection"/>
        <w:rPr>
          <w:snapToGrid w:val="0"/>
        </w:rPr>
      </w:pPr>
      <w:r>
        <w:rPr>
          <w:snapToGrid w:val="0"/>
        </w:rPr>
        <w:tab/>
        <w:t>(2)</w:t>
      </w:r>
      <w:r>
        <w:rPr>
          <w:snapToGrid w:val="0"/>
        </w:rPr>
        <w:tab/>
        <w:t>In these regulations a reference to agricultural produce by a group name specified in Column 1 of Schedule 1 is a reference to the agricultural produce specified opposite that group name in Column 2 of that Schedule.</w:t>
      </w:r>
    </w:p>
    <w:p>
      <w:pPr>
        <w:pStyle w:val="Footnotesection"/>
      </w:pPr>
      <w:r>
        <w:tab/>
        <w:t>[Regulation 2AA inserted in Gazette 22 May 1987 p. 2202; amended in Gazette 11 Jun 1996 p. 2431</w:t>
      </w:r>
      <w:r>
        <w:noBreakHyphen/>
        <w:t xml:space="preserve">2; 11 Aug 2006 p. 2977-8.] </w:t>
      </w:r>
    </w:p>
    <w:p>
      <w:pPr>
        <w:pStyle w:val="Heading5"/>
      </w:pPr>
      <w:bookmarkStart w:id="17" w:name="_Toc142988001"/>
      <w:bookmarkStart w:id="18" w:name="_Toc459091845"/>
      <w:bookmarkStart w:id="19" w:name="_Toc526818697"/>
      <w:bookmarkStart w:id="20" w:name="_Toc526818918"/>
      <w:bookmarkStart w:id="21" w:name="_Toc92872208"/>
      <w:r>
        <w:rPr>
          <w:rStyle w:val="CharSectno"/>
        </w:rPr>
        <w:t>2A</w:t>
      </w:r>
      <w:r>
        <w:t>.</w:t>
      </w:r>
      <w:r>
        <w:tab/>
        <w:t>Agricultural chemicals</w:t>
      </w:r>
      <w:bookmarkEnd w:id="17"/>
    </w:p>
    <w:p>
      <w:pPr>
        <w:pStyle w:val="Subsection"/>
      </w:pPr>
      <w:r>
        <w:tab/>
      </w:r>
      <w:r>
        <w:tab/>
        <w:t xml:space="preserve">If a substance is — </w:t>
      </w:r>
    </w:p>
    <w:p>
      <w:pPr>
        <w:pStyle w:val="Indenta"/>
      </w:pPr>
      <w:r>
        <w:tab/>
        <w:t>(a)</w:t>
      </w:r>
      <w:r>
        <w:tab/>
        <w:t>defined as a “metal contaminant” in the Food Standards Code, Standard 1.4.1, clause 2; or</w:t>
      </w:r>
    </w:p>
    <w:p>
      <w:pPr>
        <w:pStyle w:val="Indenta"/>
      </w:pPr>
      <w:r>
        <w:tab/>
        <w:t>(b)</w:t>
      </w:r>
      <w:r>
        <w:tab/>
        <w:t>defined as a “chemical” in the Food Standards Code, Standard 1.4.2, clause 1(6) and listed in bold type in one of the shaded boxed in Schedule 1 of that Standard; or</w:t>
      </w:r>
    </w:p>
    <w:p>
      <w:pPr>
        <w:pStyle w:val="Indenta"/>
      </w:pPr>
      <w:r>
        <w:tab/>
        <w:t>(c)</w:t>
      </w:r>
      <w:r>
        <w:tab/>
        <w:t>listed as a “compound” in the MRL Standard Table 4; or</w:t>
      </w:r>
    </w:p>
    <w:p>
      <w:pPr>
        <w:pStyle w:val="Indenta"/>
      </w:pPr>
      <w:r>
        <w:tab/>
        <w:t>(d)</w:t>
      </w:r>
      <w:r>
        <w:tab/>
        <w:t>listed as in Schedule 3 to these regulations,</w:t>
      </w:r>
    </w:p>
    <w:p>
      <w:pPr>
        <w:pStyle w:val="Subsection"/>
      </w:pPr>
      <w:r>
        <w:tab/>
      </w:r>
      <w:r>
        <w:tab/>
        <w:t>that substance is prescribed to be an “agricultural chemical” for the purposes of the Act.</w:t>
      </w:r>
    </w:p>
    <w:p>
      <w:pPr>
        <w:pStyle w:val="Footnotesection"/>
      </w:pPr>
      <w:r>
        <w:tab/>
        <w:t>[Regulation 2A inserted in Gazette 11 Aug 2006 p. 2978.]</w:t>
      </w:r>
    </w:p>
    <w:p>
      <w:pPr>
        <w:pStyle w:val="Heading5"/>
      </w:pPr>
      <w:bookmarkStart w:id="22" w:name="_Toc142988002"/>
      <w:bookmarkStart w:id="23" w:name="_Toc459091846"/>
      <w:bookmarkStart w:id="24" w:name="_Toc526818698"/>
      <w:bookmarkStart w:id="25" w:name="_Toc526818919"/>
      <w:bookmarkStart w:id="26" w:name="_Toc92872209"/>
      <w:bookmarkEnd w:id="18"/>
      <w:bookmarkEnd w:id="19"/>
      <w:bookmarkEnd w:id="20"/>
      <w:bookmarkEnd w:id="21"/>
      <w:r>
        <w:rPr>
          <w:rStyle w:val="CharSectno"/>
        </w:rPr>
        <w:t>3</w:t>
      </w:r>
      <w:r>
        <w:t>.</w:t>
      </w:r>
      <w:r>
        <w:tab/>
        <w:t>Maximum residue limits</w:t>
      </w:r>
      <w:bookmarkEnd w:id="22"/>
    </w:p>
    <w:p>
      <w:pPr>
        <w:pStyle w:val="Subsection"/>
      </w:pPr>
      <w:r>
        <w:tab/>
        <w:t>(1)</w:t>
      </w:r>
      <w:r>
        <w:tab/>
        <w:t xml:space="preserve">Subject to this regulation, the maximum residue limits prescribed for agricultural chemicals in agricultural produce are those set out in — </w:t>
      </w:r>
    </w:p>
    <w:p>
      <w:pPr>
        <w:pStyle w:val="Indenta"/>
      </w:pPr>
      <w:r>
        <w:tab/>
        <w:t>(a)</w:t>
      </w:r>
      <w:r>
        <w:tab/>
        <w:t>the Table to clause 2 of the Food Standards Code, Standard 1.4.1; or</w:t>
      </w:r>
    </w:p>
    <w:p>
      <w:pPr>
        <w:pStyle w:val="Indenta"/>
      </w:pPr>
      <w:r>
        <w:tab/>
        <w:t>(b)</w:t>
      </w:r>
      <w:r>
        <w:tab/>
        <w:t>Schedule 1 of the Food Standards Code, Standard 1.4.2; or</w:t>
      </w:r>
    </w:p>
    <w:p>
      <w:pPr>
        <w:pStyle w:val="Indenta"/>
      </w:pPr>
      <w:r>
        <w:tab/>
        <w:t>(c)</w:t>
      </w:r>
      <w:r>
        <w:tab/>
        <w:t>Table 4 to the MRL Standard.</w:t>
      </w:r>
    </w:p>
    <w:p>
      <w:pPr>
        <w:pStyle w:val="Subsection"/>
      </w:pPr>
      <w:r>
        <w:tab/>
        <w:t>(2)</w:t>
      </w:r>
      <w:r>
        <w:tab/>
        <w:t>Where there is no maximum residue limit prescribed for an agricultural chemical in agricultural produce under subregulation (1), the maximum residual limit is zero.</w:t>
      </w:r>
    </w:p>
    <w:p>
      <w:pPr>
        <w:pStyle w:val="Subsection"/>
      </w:pPr>
      <w:r>
        <w:tab/>
        <w:t>(3)</w:t>
      </w:r>
      <w:r>
        <w:tab/>
        <w:t xml:space="preserve">Where mixed agricultural produce listed in a Schedule or Table referred to in subregulation (1) contains more than one kind of agricultural produce listed under or against an agricultural chemical, then the following formulae are to be used to calculate a maximum residue limit (MRL) for the agricultural chemical in relation to that mixed agricultural produce — </w:t>
      </w:r>
    </w:p>
    <w:p>
      <w:pPr>
        <w:pStyle w:val="MiscellaneousBody"/>
        <w:tabs>
          <w:tab w:val="left" w:pos="851"/>
        </w:tabs>
      </w:pPr>
      <w:r>
        <w:rPr>
          <w:b/>
          <w:bCs/>
          <w:u w:val="single"/>
        </w:rPr>
        <w:tab/>
        <w:t>For a mixture of 2</w:t>
      </w:r>
      <w:r>
        <w:rPr>
          <w:b/>
          <w:bCs/>
        </w:rPr>
        <w:t xml:space="preserve">: </w:t>
      </w:r>
    </w:p>
    <w:p>
      <w:pPr>
        <w:pStyle w:val="Equation"/>
        <w:tabs>
          <w:tab w:val="left" w:pos="2410"/>
        </w:tabs>
        <w:ind w:left="1418"/>
        <w:jc w:val="both"/>
      </w:pPr>
      <w:r>
        <w:rPr>
          <w:position w:val="-24"/>
          <w:lang w:eastAsia="en-AU"/>
        </w:rPr>
        <w:drawing>
          <wp:inline distT="0" distB="0" distL="0" distR="0">
            <wp:extent cx="2909570" cy="52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9570" cy="52260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MRL that applies to the agricultural chemical in the mixed agricultural produce;</w:t>
      </w:r>
    </w:p>
    <w:p>
      <w:pPr>
        <w:pStyle w:val="MiscellaneousBody"/>
        <w:tabs>
          <w:tab w:val="left" w:pos="851"/>
        </w:tabs>
        <w:ind w:left="1985" w:hanging="1985"/>
      </w:pPr>
      <w:r>
        <w:rPr>
          <w:b/>
          <w:bCs/>
        </w:rPr>
        <w:tab/>
        <w:t>MRL A</w:t>
      </w:r>
      <w:r>
        <w:t xml:space="preserve"> = </w:t>
      </w:r>
      <w:r>
        <w:tab/>
        <w:t>the MRL for the agricultural chemical which applies to agricultural produce A;</w:t>
      </w:r>
    </w:p>
    <w:p>
      <w:pPr>
        <w:pStyle w:val="MiscellaneousBody"/>
        <w:tabs>
          <w:tab w:val="left" w:pos="851"/>
        </w:tabs>
        <w:ind w:left="1985" w:hanging="1985"/>
      </w:pPr>
      <w:r>
        <w:rPr>
          <w:b/>
          <w:bCs/>
        </w:rPr>
        <w:tab/>
        <w:t>MRL B</w:t>
      </w:r>
      <w:r>
        <w:t xml:space="preserve"> = </w:t>
      </w:r>
      <w:r>
        <w:tab/>
        <w:t>the MRL for the agricultural chemical which applies to agricultural produce B;</w:t>
      </w:r>
    </w:p>
    <w:p>
      <w:pPr>
        <w:pStyle w:val="MiscellaneousBody"/>
        <w:tabs>
          <w:tab w:val="left" w:pos="851"/>
        </w:tabs>
        <w:ind w:left="2552" w:hanging="2552"/>
      </w:pPr>
      <w:r>
        <w:rPr>
          <w:b/>
          <w:bCs/>
        </w:rPr>
        <w:tab/>
        <w:t>Total Weight</w:t>
      </w:r>
      <w:r>
        <w:t xml:space="preserve"> = </w:t>
      </w:r>
      <w:r>
        <w:tab/>
        <w:t>the total weight of the mixed agricultural produce;</w:t>
      </w:r>
    </w:p>
    <w:p>
      <w:pPr>
        <w:pStyle w:val="MiscellaneousBody"/>
        <w:tabs>
          <w:tab w:val="left" w:pos="851"/>
        </w:tabs>
        <w:ind w:left="1985" w:hanging="1985"/>
      </w:pPr>
      <w:r>
        <w:rPr>
          <w:b/>
          <w:bCs/>
        </w:rPr>
        <w:tab/>
        <w:t>Weight A</w:t>
      </w:r>
      <w:r>
        <w:t xml:space="preserve"> = </w:t>
      </w:r>
      <w:r>
        <w:tab/>
        <w:t>the total weight of agricultural produce A;</w:t>
      </w:r>
    </w:p>
    <w:p>
      <w:pPr>
        <w:pStyle w:val="MiscellaneousBody"/>
        <w:tabs>
          <w:tab w:val="left" w:pos="851"/>
        </w:tabs>
        <w:ind w:left="1985" w:hanging="1985"/>
      </w:pPr>
      <w:r>
        <w:rPr>
          <w:b/>
          <w:bCs/>
        </w:rPr>
        <w:tab/>
        <w:t>Weight B</w:t>
      </w:r>
      <w:r>
        <w:t xml:space="preserve"> = </w:t>
      </w:r>
      <w:r>
        <w:tab/>
        <w:t>the total weight of agricultural produce B.</w:t>
      </w:r>
    </w:p>
    <w:p>
      <w:pPr>
        <w:pStyle w:val="MiscellaneousBody"/>
        <w:tabs>
          <w:tab w:val="left" w:pos="851"/>
        </w:tabs>
        <w:rPr>
          <w:b/>
          <w:bCs/>
          <w:u w:val="single"/>
        </w:rPr>
      </w:pPr>
      <w:r>
        <w:rPr>
          <w:b/>
          <w:bCs/>
          <w:u w:val="single"/>
        </w:rPr>
        <w:tab/>
        <w:t>For a mixture of more than 2</w:t>
      </w:r>
      <w:r>
        <w:rPr>
          <w:b/>
          <w:bCs/>
        </w:rPr>
        <w:t>:</w:t>
      </w:r>
      <w:r>
        <w:rPr>
          <w:b/>
          <w:bCs/>
          <w:u w:val="single"/>
        </w:rPr>
        <w:t xml:space="preserve"> </w:t>
      </w:r>
    </w:p>
    <w:p>
      <w:pPr>
        <w:pStyle w:val="Equation"/>
        <w:ind w:left="1004" w:firstLine="442"/>
        <w:jc w:val="both"/>
      </w:pPr>
      <w:r>
        <w:rPr>
          <w:position w:val="-30"/>
          <w:lang w:eastAsia="en-AU"/>
        </w:rPr>
        <w:drawing>
          <wp:inline distT="0" distB="0" distL="0" distR="0">
            <wp:extent cx="1911985" cy="55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1985" cy="558165"/>
                    </a:xfrm>
                    <a:prstGeom prst="rect">
                      <a:avLst/>
                    </a:prstGeom>
                    <a:noFill/>
                    <a:ln>
                      <a:noFill/>
                    </a:ln>
                  </pic:spPr>
                </pic:pic>
              </a:graphicData>
            </a:graphic>
          </wp:inline>
        </w:drawing>
      </w:r>
    </w:p>
    <w:p>
      <w:pPr>
        <w:pStyle w:val="Subsection"/>
      </w:pPr>
      <w:r>
        <w:tab/>
        <w:t>(4)</w:t>
      </w:r>
      <w:r>
        <w:tab/>
        <w:t>Where residues of 2 or more of the agricultural chemicals listed in any one group of those specified in Schedule 3 are present in any agricultural produce, then when the following formula is applied, the MRL levels are exceeded if the result (Z) is greater than 1.</w:t>
      </w:r>
    </w:p>
    <w:p>
      <w:pPr>
        <w:pStyle w:val="MiscellaneousBody"/>
        <w:tabs>
          <w:tab w:val="left" w:pos="851"/>
        </w:tabs>
      </w:pPr>
      <w:r>
        <w:rPr>
          <w:b/>
          <w:bCs/>
          <w:u w:val="single"/>
        </w:rPr>
        <w:tab/>
        <w:t>Where 2 residues are present</w:t>
      </w:r>
      <w:r>
        <w:rPr>
          <w:b/>
          <w:bCs/>
        </w:rPr>
        <w:t xml:space="preserve">: </w:t>
      </w:r>
    </w:p>
    <w:p>
      <w:pPr>
        <w:pStyle w:val="Equation"/>
        <w:ind w:left="567"/>
        <w:jc w:val="center"/>
      </w:pPr>
      <w:r>
        <w:rPr>
          <w:position w:val="-24"/>
          <w:sz w:val="22"/>
          <w:lang w:eastAsia="en-AU"/>
        </w:rPr>
        <w:drawing>
          <wp:inline distT="0" distB="0" distL="0" distR="0">
            <wp:extent cx="3895090"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95090" cy="522605"/>
                    </a:xfrm>
                    <a:prstGeom prst="rect">
                      <a:avLst/>
                    </a:prstGeom>
                    <a:noFill/>
                    <a:ln>
                      <a:noFill/>
                    </a:ln>
                  </pic:spPr>
                </pic:pic>
              </a:graphicData>
            </a:graphic>
          </wp:inline>
        </w:drawing>
      </w:r>
    </w:p>
    <w:p>
      <w:pPr>
        <w:pStyle w:val="MiscellaneousBody"/>
        <w:tabs>
          <w:tab w:val="left" w:pos="851"/>
        </w:tabs>
      </w:pPr>
      <w:r>
        <w:rPr>
          <w:b/>
          <w:bCs/>
          <w:u w:val="single"/>
        </w:rPr>
        <w:tab/>
        <w:t>Where more than 2 residues are present</w:t>
      </w:r>
      <w:r>
        <w:rPr>
          <w:b/>
          <w:bCs/>
        </w:rPr>
        <w:t xml:space="preserve">: </w:t>
      </w:r>
    </w:p>
    <w:p>
      <w:pPr>
        <w:pStyle w:val="Equation"/>
        <w:ind w:left="1004" w:firstLine="1276"/>
        <w:jc w:val="both"/>
      </w:pPr>
      <w:r>
        <w:rPr>
          <w:position w:val="-30"/>
          <w:lang w:eastAsia="en-AU"/>
        </w:rPr>
        <w:drawing>
          <wp:inline distT="0" distB="0" distL="0" distR="0">
            <wp:extent cx="997585" cy="558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7585" cy="558165"/>
                    </a:xfrm>
                    <a:prstGeom prst="rect">
                      <a:avLst/>
                    </a:prstGeom>
                    <a:noFill/>
                    <a:ln>
                      <a:noFill/>
                    </a:ln>
                  </pic:spPr>
                </pic:pic>
              </a:graphicData>
            </a:graphic>
          </wp:inline>
        </w:drawing>
      </w:r>
    </w:p>
    <w:p>
      <w:pPr>
        <w:pStyle w:val="Footnotesection"/>
      </w:pPr>
      <w:r>
        <w:tab/>
        <w:t>[Regulation 3 inserted in Gazette 11 Aug 2006 p. 2978-9.]</w:t>
      </w:r>
    </w:p>
    <w:p>
      <w:pPr>
        <w:pStyle w:val="Heading5"/>
        <w:rPr>
          <w:snapToGrid w:val="0"/>
        </w:rPr>
      </w:pPr>
      <w:bookmarkStart w:id="27" w:name="_Toc142988003"/>
      <w:r>
        <w:rPr>
          <w:rStyle w:val="CharSectno"/>
        </w:rPr>
        <w:t>4</w:t>
      </w:r>
      <w:r>
        <w:rPr>
          <w:snapToGrid w:val="0"/>
        </w:rPr>
        <w:t>.</w:t>
      </w:r>
      <w:r>
        <w:rPr>
          <w:snapToGrid w:val="0"/>
        </w:rPr>
        <w:tab/>
        <w:t>Method of determination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 of determining the agricultural chemicals present in agricultural produce, the agricultural produce examined shall consist of the whole agricultural produce and the results of the analysis shall be expressed in milligrams of the residue per kilogram (mg/kg) of the whole agricultural produce except in the case of the following agricultural produce, which shall be examined subject to the modifications specified below — </w:t>
      </w:r>
    </w:p>
    <w:p>
      <w:pPr>
        <w:pStyle w:val="Indenta"/>
        <w:rPr>
          <w:snapToGrid w:val="0"/>
        </w:rPr>
      </w:pPr>
      <w:r>
        <w:rPr>
          <w:snapToGrid w:val="0"/>
        </w:rPr>
        <w:tab/>
        <w:t>(a)</w:t>
      </w:r>
      <w:r>
        <w:rPr>
          <w:snapToGrid w:val="0"/>
        </w:rPr>
        <w:tab/>
        <w:t>bananas — crown tissue and stalk shall be removed and discarded;</w:t>
      </w:r>
    </w:p>
    <w:p>
      <w:pPr>
        <w:pStyle w:val="Indenta"/>
        <w:rPr>
          <w:snapToGrid w:val="0"/>
        </w:rPr>
      </w:pPr>
      <w:r>
        <w:rPr>
          <w:snapToGrid w:val="0"/>
        </w:rPr>
        <w:tab/>
        <w:t>(b)</w:t>
      </w:r>
      <w:r>
        <w:rPr>
          <w:snapToGrid w:val="0"/>
        </w:rPr>
        <w:tab/>
        <w:t>tree nuts — shells shall be removed and discarded;</w:t>
      </w:r>
    </w:p>
    <w:p>
      <w:pPr>
        <w:pStyle w:val="Indenta"/>
        <w:rPr>
          <w:snapToGrid w:val="0"/>
        </w:rPr>
      </w:pPr>
      <w:r>
        <w:rPr>
          <w:snapToGrid w:val="0"/>
        </w:rPr>
        <w:tab/>
        <w:t>(c)</w:t>
      </w:r>
      <w:r>
        <w:rPr>
          <w:snapToGrid w:val="0"/>
        </w:rPr>
        <w:tab/>
        <w:t>strawberries — caps (hulls) shall be removed and discarded;</w:t>
      </w:r>
    </w:p>
    <w:p>
      <w:pPr>
        <w:pStyle w:val="Indenta"/>
        <w:rPr>
          <w:snapToGrid w:val="0"/>
        </w:rPr>
      </w:pPr>
      <w:r>
        <w:rPr>
          <w:snapToGrid w:val="0"/>
        </w:rPr>
        <w:tab/>
        <w:t>(d)</w:t>
      </w:r>
      <w:r>
        <w:rPr>
          <w:snapToGrid w:val="0"/>
        </w:rPr>
        <w:tab/>
        <w:t>melons — stems shall be removed and discarded;</w:t>
      </w:r>
    </w:p>
    <w:p>
      <w:pPr>
        <w:pStyle w:val="Indenta"/>
        <w:rPr>
          <w:snapToGrid w:val="0"/>
        </w:rPr>
      </w:pPr>
      <w:r>
        <w:rPr>
          <w:snapToGrid w:val="0"/>
        </w:rPr>
        <w:tab/>
        <w:t>(e)</w:t>
      </w:r>
      <w:r>
        <w:rPr>
          <w:snapToGrid w:val="0"/>
        </w:rPr>
        <w:tab/>
        <w:t>corn (</w:t>
      </w:r>
      <w:r>
        <w:rPr>
          <w:i/>
          <w:snapToGrid w:val="0"/>
        </w:rPr>
        <w:t>Zea mays</w:t>
      </w:r>
      <w:r>
        <w:rPr>
          <w:snapToGrid w:val="0"/>
        </w:rPr>
        <w:t>) — stems and outer sheaths (husks) shall be removed from the ears and discarded (only the corn kernels shall be examined);</w:t>
      </w:r>
    </w:p>
    <w:p>
      <w:pPr>
        <w:pStyle w:val="Indenta"/>
        <w:rPr>
          <w:snapToGrid w:val="0"/>
        </w:rPr>
      </w:pPr>
      <w:r>
        <w:rPr>
          <w:snapToGrid w:val="0"/>
        </w:rPr>
        <w:tab/>
        <w:t>(f)</w:t>
      </w:r>
      <w:r>
        <w:rPr>
          <w:snapToGrid w:val="0"/>
        </w:rPr>
        <w:tab/>
        <w:t>pineapples — the crowns (leaves at the top of the fruit) shall be removed and discarded;</w:t>
      </w:r>
    </w:p>
    <w:p>
      <w:pPr>
        <w:pStyle w:val="Indenta"/>
        <w:rPr>
          <w:snapToGrid w:val="0"/>
        </w:rPr>
      </w:pPr>
      <w:r>
        <w:rPr>
          <w:snapToGrid w:val="0"/>
        </w:rPr>
        <w:tab/>
        <w:t>(g)</w:t>
      </w:r>
      <w:r>
        <w:rPr>
          <w:snapToGrid w:val="0"/>
        </w:rPr>
        <w:tab/>
        <w:t>passionfruit — skin shall be removed and discarded;</w:t>
      </w:r>
    </w:p>
    <w:p>
      <w:pPr>
        <w:pStyle w:val="Indenta"/>
        <w:rPr>
          <w:snapToGrid w:val="0"/>
        </w:rPr>
      </w:pPr>
      <w:r>
        <w:rPr>
          <w:snapToGrid w:val="0"/>
        </w:rPr>
        <w:tab/>
        <w:t>(h)</w:t>
      </w:r>
      <w:r>
        <w:rPr>
          <w:snapToGrid w:val="0"/>
        </w:rPr>
        <w:tab/>
        <w:t>eggs — shells shall be removed and discarded;</w:t>
      </w:r>
    </w:p>
    <w:p>
      <w:pPr>
        <w:pStyle w:val="Indenta"/>
        <w:rPr>
          <w:snapToGrid w:val="0"/>
        </w:rPr>
      </w:pPr>
      <w:r>
        <w:rPr>
          <w:snapToGrid w:val="0"/>
        </w:rPr>
        <w:tab/>
        <w:t>(i)</w:t>
      </w:r>
      <w:r>
        <w:rPr>
          <w:snapToGrid w:val="0"/>
        </w:rPr>
        <w:tab/>
        <w:t>stone fruits — stones shall be removed and discarded;</w:t>
      </w:r>
    </w:p>
    <w:p>
      <w:pPr>
        <w:pStyle w:val="Indenta"/>
        <w:rPr>
          <w:snapToGrid w:val="0"/>
        </w:rPr>
      </w:pPr>
      <w:r>
        <w:rPr>
          <w:snapToGrid w:val="0"/>
        </w:rPr>
        <w:tab/>
        <w:t>(j)</w:t>
      </w:r>
      <w:r>
        <w:rPr>
          <w:snapToGrid w:val="0"/>
        </w:rPr>
        <w:tab/>
        <w:t>root vegetables — where a maximum residue limit is specified in relation to a root vegetable including tops or with tops and the tops and the root are marketed together, they shall be analysed separately and neither the residue on the roots nor the residue on the tops shall exceed the maximum residue limit.</w:t>
      </w:r>
    </w:p>
    <w:p>
      <w:pPr>
        <w:pStyle w:val="Footnotesection"/>
      </w:pPr>
      <w:r>
        <w:tab/>
        <w:t xml:space="preserve">[Regulation 4 amended in Gazette 11 Jun 1996 p. 2432.] </w:t>
      </w:r>
    </w:p>
    <w:p>
      <w:pPr>
        <w:pStyle w:val="Ednotesection"/>
      </w:pPr>
      <w:r>
        <w:t>[</w:t>
      </w:r>
      <w:r>
        <w:rPr>
          <w:b/>
          <w:bCs/>
        </w:rPr>
        <w:t>5.</w:t>
      </w:r>
      <w:r>
        <w:tab/>
        <w:t>Repealed in Gazette 30 Dec 2004 p. 6894.]</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28" w:name="_Toc526818921"/>
      <w:bookmarkStart w:id="29" w:name="_Toc92872210"/>
      <w:bookmarkStart w:id="30" w:name="_Toc110920813"/>
      <w:bookmarkStart w:id="31" w:name="_Toc110920907"/>
      <w:bookmarkStart w:id="32" w:name="_Toc110921043"/>
      <w:bookmarkStart w:id="33" w:name="_Toc110921127"/>
      <w:bookmarkStart w:id="34" w:name="_Toc110921140"/>
      <w:bookmarkStart w:id="35" w:name="_Toc110921346"/>
      <w:bookmarkStart w:id="36" w:name="_Toc110921425"/>
      <w:bookmarkStart w:id="37" w:name="_Toc110921533"/>
      <w:bookmarkStart w:id="38" w:name="_Toc110921583"/>
      <w:bookmarkStart w:id="39" w:name="_Toc110921684"/>
      <w:bookmarkStart w:id="40" w:name="_Toc110921826"/>
      <w:bookmarkStart w:id="41" w:name="_Toc110921859"/>
      <w:bookmarkStart w:id="42" w:name="_Toc110921905"/>
      <w:bookmarkStart w:id="43" w:name="_Toc110921949"/>
      <w:bookmarkStart w:id="44" w:name="_Toc142977794"/>
      <w:bookmarkStart w:id="45" w:name="_Toc142988004"/>
      <w:r>
        <w:rPr>
          <w:rStyle w:val="CharSchNo"/>
        </w:rPr>
        <w:t>Schedule 1</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yShoulderClause"/>
        <w:rPr>
          <w:snapToGrid w:val="0"/>
        </w:rPr>
      </w:pPr>
      <w:r>
        <w:rPr>
          <w:snapToGrid w:val="0"/>
        </w:rPr>
        <w:t>[Regulation 2AA]</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c>
          <w:tcPr>
            <w:tcW w:w="3119" w:type="dxa"/>
          </w:tcPr>
          <w:p>
            <w:pPr>
              <w:pStyle w:val="yTable"/>
              <w:tabs>
                <w:tab w:val="center" w:pos="1629"/>
              </w:tabs>
              <w:suppressAutoHyphens/>
              <w:jc w:val="center"/>
              <w:rPr>
                <w:b/>
                <w:spacing w:val="-2"/>
              </w:rPr>
            </w:pPr>
            <w:r>
              <w:rPr>
                <w:b/>
                <w:spacing w:val="-2"/>
              </w:rPr>
              <w:t xml:space="preserve">Column 1 </w:t>
            </w:r>
            <w:r>
              <w:rPr>
                <w:b/>
                <w:spacing w:val="-2"/>
              </w:rPr>
              <w:br/>
              <w:t>Group name</w:t>
            </w:r>
          </w:p>
        </w:tc>
        <w:tc>
          <w:tcPr>
            <w:tcW w:w="3969" w:type="dxa"/>
          </w:tcPr>
          <w:p>
            <w:pPr>
              <w:pStyle w:val="yTable"/>
              <w:tabs>
                <w:tab w:val="center" w:pos="1630"/>
              </w:tabs>
              <w:suppressAutoHyphens/>
              <w:jc w:val="center"/>
              <w:rPr>
                <w:b/>
                <w:spacing w:val="-2"/>
              </w:rPr>
            </w:pPr>
            <w:r>
              <w:rPr>
                <w:b/>
                <w:spacing w:val="-2"/>
              </w:rPr>
              <w:t>Column 2</w:t>
            </w:r>
            <w:r>
              <w:rPr>
                <w:b/>
                <w:spacing w:val="-2"/>
              </w:rPr>
              <w:br/>
              <w:t>Agricultural produce</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Alliums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Chives, Garlic, Leeks, Onions, Shallots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Blackberries, Boysenberries, Currants, Elderberries, Gooseberries, Loganberries, Mulberries, Raspberries, Rosehips, Strawberries, Vaccinium berries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Berry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Cape gooseberry, Capsicums, Eggplant, Okra, Tomatoes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Cereal grains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Barley, Maize, Millet, Oats, Rice, Rye, Sorghum, Triticale, Wheat</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Citrus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Citrons, Cumquats, Grapefruits, Lemons, Limes, Mandarins, Oranges, Pomeloes,  Tangeloes, Tangors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Cucurbits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Chokos, Cucumbers, Marrows, Melons, Pumpkins, Squash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Fish</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Crustaceans, Freshwater fish, Sea</w:t>
            </w:r>
            <w:r>
              <w:rPr>
                <w:spacing w:val="-2"/>
              </w:rPr>
              <w:noBreakHyphen/>
              <w:t>fish, Shellfish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Fruit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Avocadoes, Bananas, Berry fruits, Citrus fruits, Custard apples, Figs, Grapes, Guavas, Mangoes, Monstera, Passionfruit, Pawpaws, Persimmons, Pineapples, Pome fruits, Stone fruits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Leafy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Chinese cabbage, Cole crops (Broccoli, Brussel sprouts, Cabbages, Cauliflowers, Kale, Kohlrabi), Cress, Endive, Lettuce, Spinach, Swiss chard, Turnip tops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Meat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Buffaloes, Cattle, Goats, Pigs, Sheep</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Oil seeds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Cottonseed, Linseed, Rapeseed, Safflower seed, Sunflower seed</w:t>
            </w:r>
          </w:p>
        </w:tc>
      </w:tr>
      <w:tr>
        <w:tc>
          <w:tcPr>
            <w:tcW w:w="311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Pome fruits</w:t>
            </w:r>
          </w:p>
        </w:tc>
        <w:tc>
          <w:tcPr>
            <w:tcW w:w="396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Apples, Crabapples, Loquats, Medlars, Pears, Pomegranates, Quinces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Poultry</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Domestic fowls, Ducks, Geese, Guinea fowls, Pheasants, Pigeons, Quail, Turkeys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Root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Artichokes, Beetroot, Carrots, Celeriac, Chicory root, Horseradish, Parsnips, Potatoes, Radishes, Salsify, Scorzonera, Swede turnips, Sweet potatoes, Turnips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Seed and pod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Broad beans, Dried bean seeds, Dried pea seeds, Garden peas, Green beans, Lentils, Mung beans, Soya beans, Sugar peas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Stalk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Asparagus, Bamboo shoots, Celery, Fennel, Rhubarb</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Stone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Apricots, Cherries, Nectarines, Peaches, Plums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Tree nuts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Almond, Brazil, Cashew, Chestnuts, Hazel, Litchi, Macadamia, Pecan, Pistachio, Walnuts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Alliums, Berry vegetables, Cucurbits, Leafy vegetables, Root vegetables, Seed and pod vegetables, Stalk vegetables</w:t>
            </w:r>
          </w:p>
        </w:tc>
      </w:tr>
    </w:tbl>
    <w:p>
      <w:pPr>
        <w:pStyle w:val="yFootnotesection"/>
      </w:pPr>
      <w:r>
        <w:tab/>
        <w:t>[Schedule 1 inserted in Gazette 11 Jun 1996 p. 2432</w:t>
      </w:r>
      <w:r>
        <w:noBreakHyphen/>
        <w:t xml:space="preserve">4.] </w:t>
      </w:r>
    </w:p>
    <w:p>
      <w:pPr>
        <w:pStyle w:val="yEdnoteschedule"/>
      </w:pPr>
      <w:r>
        <w:t>[Schedule 2 repealed in Gazette 11 Aug 2006 p. 2979.]</w:t>
      </w:r>
    </w:p>
    <w:p>
      <w:pPr>
        <w:pStyle w:val="yScheduleHeading"/>
      </w:pPr>
      <w:bookmarkStart w:id="46" w:name="_Toc526818923"/>
      <w:bookmarkStart w:id="47" w:name="_Toc92872212"/>
      <w:bookmarkStart w:id="48" w:name="_Toc110920815"/>
      <w:bookmarkStart w:id="49" w:name="_Toc110920909"/>
      <w:bookmarkStart w:id="50" w:name="_Toc110921045"/>
      <w:bookmarkStart w:id="51" w:name="_Toc110921129"/>
      <w:bookmarkStart w:id="52" w:name="_Toc110921142"/>
      <w:bookmarkStart w:id="53" w:name="_Toc110921348"/>
      <w:bookmarkStart w:id="54" w:name="_Toc110921427"/>
      <w:bookmarkStart w:id="55" w:name="_Toc110921535"/>
      <w:bookmarkStart w:id="56" w:name="_Toc110921585"/>
      <w:bookmarkStart w:id="57" w:name="_Toc110921686"/>
      <w:bookmarkStart w:id="58" w:name="_Toc110921828"/>
      <w:bookmarkStart w:id="59" w:name="_Toc110921861"/>
      <w:bookmarkStart w:id="60" w:name="_Toc110921907"/>
      <w:bookmarkStart w:id="61" w:name="_Toc110921951"/>
      <w:bookmarkStart w:id="62" w:name="_Toc142977796"/>
      <w:bookmarkStart w:id="63" w:name="_Toc142988005"/>
      <w:r>
        <w:rPr>
          <w:rStyle w:val="CharSchNo"/>
        </w:rPr>
        <w:t>Schedule 3</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ShoulderClause"/>
        <w:rPr>
          <w:snapToGrid w:val="0"/>
        </w:rPr>
      </w:pPr>
      <w:r>
        <w:rPr>
          <w:snapToGrid w:val="0"/>
        </w:rPr>
        <w:t>[Regulation 3]</w:t>
      </w:r>
    </w:p>
    <w:p>
      <w:pPr>
        <w:pStyle w:val="yTable"/>
        <w:rPr>
          <w:b/>
          <w:snapToGrid w:val="0"/>
        </w:rPr>
      </w:pPr>
      <w:r>
        <w:rPr>
          <w:b/>
          <w:snapToGrid w:val="0"/>
        </w:rPr>
        <w:t>Group A</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Aldrin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Chlordane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Chlordecone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Dieldrin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Endosulfan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Endrin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Heptachlor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Isobenzan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B</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BHC and its isomers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DDT (including DDD and DDE)</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Dicofol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Fenarimol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Lindane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Methoxychlor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Quintozene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Camphechlor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Chlorinated terpene isomers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D</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Azamethiphos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Bromophos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Carbophenothion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Chlorfenvinphos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Chlorthiophos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Coumaphos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Crotoxyphos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Demeton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Diazinon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Dichlorvos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Dimethoate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Dioxathion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Disulfoton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Dithianon</w:t>
            </w:r>
          </w:p>
        </w:tc>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Ethoprophos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Famphur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Fenamiphos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Fenchlorphos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Fenitrothion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Fensulfothion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Formothion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Isocarbophos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xml:space="preserve">Leptophos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Maldison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Menazon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Methamidophos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Methidathion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Monocrotophos</w:t>
            </w:r>
          </w:p>
        </w:tc>
      </w:tr>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Naled</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Naphthalophos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Omethoate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Parathion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Parathion</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Phenkapton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Phorate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Phosalone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Phosmet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Phosphamidon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Pirimiphos</w:t>
            </w:r>
            <w:r>
              <w:rPr>
                <w:spacing w:val="-2"/>
              </w:rPr>
              <w:noBreakHyphen/>
              <w:t>ethyl</w:t>
            </w:r>
          </w:p>
        </w:tc>
        <w:tc>
          <w:tcPr>
            <w:tcW w:w="3686"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Pirimiphos</w:t>
            </w:r>
            <w:r>
              <w:rPr>
                <w:spacing w:val="-2"/>
              </w:rPr>
              <w:noBreakHyphen/>
              <w:t>methyl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Prothiophos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Pyrazophos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Schradan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Sulprofos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Temephos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Tetrachlorvinphos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Thiometon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Tributylphosphorotrithioate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Trichlorfon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Vamidothion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E</w:t>
      </w:r>
    </w:p>
    <w:tbl>
      <w:tblPr>
        <w:tblW w:w="0" w:type="auto"/>
        <w:tblInd w:w="108" w:type="dxa"/>
        <w:tblLayout w:type="fixed"/>
        <w:tblLook w:val="0000" w:firstRow="0" w:lastRow="0" w:firstColumn="0" w:lastColumn="0" w:noHBand="0" w:noVBand="0"/>
      </w:tblPr>
      <w:tblGrid>
        <w:gridCol w:w="3544"/>
        <w:gridCol w:w="2804"/>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08"/>
              <w:jc w:val="both"/>
            </w:pPr>
            <w:r>
              <w:t xml:space="preserve">Dithiocarbamates (including — </w:t>
            </w:r>
          </w:p>
          <w:p>
            <w:pPr>
              <w:pStyle w:val="Table"/>
              <w:spacing w:before="0"/>
              <w:ind w:left="113"/>
            </w:pPr>
            <w:r>
              <w:t>ferbam</w:t>
            </w:r>
          </w:p>
          <w:p>
            <w:pPr>
              <w:pStyle w:val="Table"/>
              <w:spacing w:before="0"/>
              <w:ind w:left="113"/>
            </w:pPr>
            <w:r>
              <w:t>mancozeb</w:t>
            </w:r>
          </w:p>
          <w:p>
            <w:pPr>
              <w:pStyle w:val="Table"/>
              <w:spacing w:before="0"/>
              <w:ind w:left="113"/>
            </w:pPr>
            <w:r>
              <w:t>maneb</w:t>
            </w:r>
          </w:p>
        </w:tc>
        <w:tc>
          <w:tcPr>
            <w:tcW w:w="2804" w:type="dxa"/>
          </w:tcPr>
          <w:p>
            <w:pPr>
              <w:pStyle w:val="Table"/>
              <w:spacing w:before="0"/>
              <w:ind w:left="113"/>
            </w:pPr>
            <w:r>
              <w:t>propineb</w:t>
            </w:r>
            <w:r>
              <w:br/>
              <w:t>thiram</w:t>
            </w:r>
          </w:p>
          <w:p>
            <w:pPr>
              <w:pStyle w:val="Table"/>
              <w:spacing w:before="0"/>
              <w:ind w:left="113"/>
            </w:pPr>
            <w:r>
              <w:t>zineb</w:t>
            </w:r>
          </w:p>
          <w:p>
            <w:pPr>
              <w:pStyle w:val="Table"/>
              <w:spacing w:before="0"/>
              <w:ind w:left="113"/>
            </w:pPr>
            <w:r>
              <w:t>ziram)</w:t>
            </w:r>
          </w:p>
          <w:p>
            <w:pPr>
              <w:pStyle w:val="Table"/>
              <w:spacing w:before="0"/>
              <w:ind w:left="113"/>
            </w:pPr>
            <w:r>
              <w:t>Formetanate</w:t>
            </w:r>
          </w:p>
        </w:tc>
      </w:tr>
    </w:tbl>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F</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4</w:t>
            </w:r>
            <w:r>
              <w:rPr>
                <w:spacing w:val="-2"/>
              </w:rPr>
              <w:noBreakHyphen/>
              <w:t>CPA</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2,4</w:t>
            </w:r>
            <w:r>
              <w:rPr>
                <w:spacing w:val="-2"/>
              </w:rPr>
              <w:noBreakHyphen/>
              <w:t>D</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Diclofop</w:t>
            </w:r>
            <w:r>
              <w:rPr>
                <w:spacing w:val="-2"/>
              </w:rPr>
              <w:noBreakHyphen/>
              <w:t>methyl</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MCPA</w:t>
            </w:r>
          </w:p>
        </w:tc>
        <w:tc>
          <w:tcPr>
            <w:tcW w:w="3686"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MCPB</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Picloram</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2,4,5</w:t>
            </w:r>
            <w:r>
              <w:rPr>
                <w:spacing w:val="-2"/>
              </w:rPr>
              <w:noBreakHyphen/>
              <w:t>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G</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Aldicarb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Aminocarb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Bendiocarb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Butacarb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Carbaryl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Iprodione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Methomyl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Oxamyl</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Phenisopham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Promacyl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Propoxur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Thiobencarb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Thiobucarb</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H</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Chloroxuron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Fluometuron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Linuron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Methabenzthiazuron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Metobromuron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Metoxuron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Noruron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Thidiazuron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Thiabendazole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J</w:t>
      </w:r>
    </w:p>
    <w:tbl>
      <w:tblPr>
        <w:tblW w:w="0" w:type="auto"/>
        <w:tblInd w:w="108" w:type="dxa"/>
        <w:tblLayout w:type="fixed"/>
        <w:tblLook w:val="0000" w:firstRow="0" w:lastRow="0" w:firstColumn="0" w:lastColumn="0" w:noHBand="0" w:noVBand="0"/>
      </w:tblPr>
      <w:tblGrid>
        <w:gridCol w:w="3544"/>
        <w:gridCol w:w="2552"/>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08"/>
              <w:jc w:val="both"/>
            </w:pPr>
            <w:r>
              <w:t xml:space="preserve">Carbendazim (including — </w:t>
            </w:r>
          </w:p>
          <w:p>
            <w:pPr>
              <w:pStyle w:val="Table"/>
              <w:spacing w:before="0"/>
              <w:ind w:left="113"/>
            </w:pPr>
            <w:r>
              <w:t>benomyl</w:t>
            </w:r>
          </w:p>
          <w:p>
            <w:pPr>
              <w:pStyle w:val="Table"/>
              <w:spacing w:before="0"/>
              <w:ind w:left="113"/>
            </w:pPr>
            <w:r>
              <w:t>thiophanate</w:t>
            </w:r>
          </w:p>
          <w:p>
            <w:pPr>
              <w:pStyle w:val="Table"/>
              <w:spacing w:before="0"/>
              <w:ind w:left="113"/>
            </w:pPr>
            <w:r>
              <w:t>thiophanate</w:t>
            </w:r>
            <w:r>
              <w:noBreakHyphen/>
              <w:t>methyl)</w:t>
            </w:r>
          </w:p>
        </w:tc>
        <w:tc>
          <w:tcPr>
            <w:tcW w:w="2552" w:type="dxa"/>
          </w:tcPr>
          <w:p>
            <w:pPr>
              <w:pStyle w:val="Table"/>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Dinoseb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DNOC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L</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Ametryn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Atrazine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Aziprotryne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Cyanazine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Cycloparafate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Desmetryn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Metribuzin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Prometryn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Simazine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Terbuthylazine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Terbutryn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M</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Butachlor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Fluchloralin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Metolachlor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Propachlor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Prynachlor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Chlormequat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Diquat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Paraquat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O</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Captafol</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Captan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Carbon tetrachloride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dibromide (EDB)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Methyl bromide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Trichloroethylene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Q</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Azocyclotin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Cyhexatin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Fenbutatin</w:t>
      </w:r>
      <w:r>
        <w:rPr>
          <w:spacing w:val="-2"/>
        </w:rPr>
        <w:noBreakHyphen/>
        <w:t>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Fenfuram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Methfuroxam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S</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685"/>
      </w:tblGrid>
      <w:tr>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Bioresmethrin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Cypermethrin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Deltamethrin</w:t>
            </w:r>
          </w:p>
        </w:tc>
        <w:tc>
          <w:tcPr>
            <w:tcW w:w="36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Fenvalerate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Permethrin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Pyrethrins</w:t>
            </w:r>
          </w:p>
        </w:tc>
      </w:tr>
    </w:tbl>
    <w:p>
      <w:pPr>
        <w:pStyle w:val="yTable"/>
        <w:keepNext/>
        <w:keepLines/>
        <w:spacing w:before="240"/>
        <w:rPr>
          <w:b/>
          <w:snapToGrid w:val="0"/>
        </w:rPr>
      </w:pPr>
      <w:r>
        <w:rPr>
          <w:b/>
          <w:snapToGrid w:val="0"/>
        </w:rPr>
        <w:t>Group T</w:t>
      </w:r>
    </w:p>
    <w:p>
      <w:pPr>
        <w:pStyle w:val="yTable"/>
        <w:keepNext/>
        <w:keepLines/>
        <w:rPr>
          <w:snapToGrid w:val="0"/>
        </w:rPr>
      </w:pPr>
      <w:r>
        <w:rPr>
          <w:snapToGrid w:val="0"/>
        </w:rPr>
        <w:t>Etridiazole</w:t>
      </w:r>
    </w:p>
    <w:p>
      <w:pPr>
        <w:pStyle w:val="yTable"/>
        <w:keepNext/>
        <w:keepLines/>
        <w:spacing w:before="0"/>
        <w:rPr>
          <w:snapToGrid w:val="0"/>
        </w:rPr>
      </w:pPr>
      <w:r>
        <w:rPr>
          <w:snapToGrid w:val="0"/>
        </w:rPr>
        <w:t>Triadimefon</w:t>
      </w:r>
    </w:p>
    <w:p>
      <w:pPr>
        <w:pStyle w:val="yTable"/>
        <w:keepNext/>
        <w:keepLines/>
        <w:spacing w:before="0"/>
        <w:rPr>
          <w:snapToGrid w:val="0"/>
        </w:rPr>
      </w:pPr>
      <w:r>
        <w:rPr>
          <w:snapToGrid w:val="0"/>
        </w:rPr>
        <w:t>Triazbutil</w:t>
      </w:r>
    </w:p>
    <w:p>
      <w:pPr>
        <w:pStyle w:val="yFootnotesection"/>
      </w:pPr>
      <w:r>
        <w:tab/>
        <w:t>[Schedule 3 inserted in Gazette 11 Jun 1996 p. 2489</w:t>
      </w:r>
      <w:r>
        <w:noBreakHyphen/>
        <w:t xml:space="preserve">91; amended in Gazette 11 Aug 2006 p. 2979-80.]] </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64" w:name="_Toc92872041"/>
      <w:bookmarkStart w:id="65" w:name="_Toc92872213"/>
      <w:bookmarkStart w:id="66" w:name="_Toc110921908"/>
      <w:bookmarkStart w:id="67" w:name="_Toc110921952"/>
      <w:bookmarkStart w:id="68" w:name="_Toc142977797"/>
      <w:bookmarkStart w:id="69" w:name="_Toc142988006"/>
      <w:r>
        <w:t>Notes</w:t>
      </w:r>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snapToGrid w:val="0"/>
        </w:rPr>
        <w:t>Agricultural Produce (Chemical Residues)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92872214"/>
      <w:bookmarkStart w:id="71" w:name="_Toc142988007"/>
      <w:r>
        <w:rPr>
          <w:snapToGrid w:val="0"/>
        </w:rPr>
        <w:t>Compilation table</w:t>
      </w:r>
      <w:bookmarkEnd w:id="70"/>
      <w:bookmarkEnd w:id="7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pacing w:val="-2"/>
                <w:sz w:val="19"/>
              </w:rPr>
            </w:pPr>
            <w:r>
              <w:rPr>
                <w:b/>
                <w:spacing w:val="-2"/>
                <w:sz w:val="19"/>
              </w:rPr>
              <w:t>Gazettal</w:t>
            </w:r>
          </w:p>
        </w:tc>
        <w:tc>
          <w:tcPr>
            <w:tcW w:w="2693" w:type="dxa"/>
            <w:tcBorders>
              <w:top w:val="single" w:sz="12" w:space="0" w:color="auto"/>
              <w:bottom w:val="single" w:sz="12" w:space="0" w:color="auto"/>
            </w:tcBorders>
          </w:tcPr>
          <w:p>
            <w:pPr>
              <w:pStyle w:val="nTable"/>
              <w:spacing w:before="60" w:after="60"/>
              <w:rPr>
                <w:b/>
                <w:spacing w:val="-2"/>
                <w:sz w:val="19"/>
              </w:rPr>
            </w:pPr>
            <w:r>
              <w:rPr>
                <w:b/>
                <w:spacing w:val="-2"/>
                <w:sz w:val="19"/>
              </w:rPr>
              <w:t>Commencement</w:t>
            </w:r>
          </w:p>
        </w:tc>
      </w:tr>
      <w:tr>
        <w:trPr>
          <w:cantSplit/>
        </w:trPr>
        <w:tc>
          <w:tcPr>
            <w:tcW w:w="3119" w:type="dxa"/>
          </w:tcPr>
          <w:p>
            <w:pPr>
              <w:pStyle w:val="nTable"/>
              <w:spacing w:before="120"/>
              <w:ind w:right="113"/>
              <w:rPr>
                <w:sz w:val="19"/>
              </w:rPr>
            </w:pPr>
            <w:r>
              <w:rPr>
                <w:i/>
                <w:spacing w:val="-2"/>
                <w:sz w:val="19"/>
              </w:rPr>
              <w:t>Agricultural Produce (Chemical Residues) Regulations 1985</w:t>
            </w:r>
          </w:p>
        </w:tc>
        <w:tc>
          <w:tcPr>
            <w:tcW w:w="1276" w:type="dxa"/>
          </w:tcPr>
          <w:p>
            <w:pPr>
              <w:pStyle w:val="nTable"/>
              <w:spacing w:before="120"/>
              <w:rPr>
                <w:sz w:val="19"/>
              </w:rPr>
            </w:pPr>
            <w:r>
              <w:rPr>
                <w:spacing w:val="-2"/>
                <w:sz w:val="19"/>
              </w:rPr>
              <w:t>30 Aug 1985 p. 3127</w:t>
            </w:r>
            <w:r>
              <w:rPr>
                <w:spacing w:val="-2"/>
                <w:sz w:val="19"/>
              </w:rPr>
              <w:noBreakHyphen/>
              <w:t>45</w:t>
            </w:r>
          </w:p>
        </w:tc>
        <w:tc>
          <w:tcPr>
            <w:tcW w:w="2693" w:type="dxa"/>
          </w:tcPr>
          <w:p>
            <w:pPr>
              <w:pStyle w:val="nTable"/>
              <w:spacing w:before="120"/>
              <w:rPr>
                <w:sz w:val="19"/>
              </w:rPr>
            </w:pPr>
            <w:r>
              <w:rPr>
                <w:spacing w:val="-2"/>
                <w:sz w:val="19"/>
              </w:rPr>
              <w:t>1 Sep 1985 (see r. 2)</w:t>
            </w:r>
          </w:p>
        </w:tc>
      </w:tr>
      <w:tr>
        <w:trPr>
          <w:cantSplit/>
        </w:trPr>
        <w:tc>
          <w:tcPr>
            <w:tcW w:w="3119" w:type="dxa"/>
          </w:tcPr>
          <w:p>
            <w:pPr>
              <w:pStyle w:val="nTable"/>
              <w:spacing w:before="120"/>
              <w:ind w:right="113"/>
              <w:rPr>
                <w:i/>
                <w:spacing w:val="-2"/>
                <w:sz w:val="19"/>
              </w:rPr>
            </w:pPr>
            <w:r>
              <w:rPr>
                <w:i/>
                <w:spacing w:val="-2"/>
                <w:sz w:val="19"/>
              </w:rPr>
              <w:t>Agricultural Produce (Chemical Residues) Amendment Regulations 1985</w:t>
            </w:r>
          </w:p>
        </w:tc>
        <w:tc>
          <w:tcPr>
            <w:tcW w:w="1276" w:type="dxa"/>
          </w:tcPr>
          <w:p>
            <w:pPr>
              <w:pStyle w:val="nTable"/>
              <w:spacing w:before="120"/>
              <w:rPr>
                <w:sz w:val="19"/>
              </w:rPr>
            </w:pPr>
            <w:r>
              <w:rPr>
                <w:spacing w:val="-2"/>
                <w:sz w:val="19"/>
              </w:rPr>
              <w:t>18 Oct 1985 p. 4083</w:t>
            </w:r>
          </w:p>
        </w:tc>
        <w:tc>
          <w:tcPr>
            <w:tcW w:w="2693" w:type="dxa"/>
          </w:tcPr>
          <w:p>
            <w:pPr>
              <w:pStyle w:val="nTable"/>
              <w:spacing w:before="120"/>
              <w:rPr>
                <w:spacing w:val="-2"/>
                <w:sz w:val="19"/>
              </w:rPr>
            </w:pPr>
            <w:r>
              <w:rPr>
                <w:spacing w:val="-2"/>
                <w:sz w:val="19"/>
              </w:rPr>
              <w:t>18 Oct 1985</w:t>
            </w:r>
          </w:p>
        </w:tc>
      </w:tr>
      <w:tr>
        <w:trPr>
          <w:cantSplit/>
        </w:trPr>
        <w:tc>
          <w:tcPr>
            <w:tcW w:w="3119" w:type="dxa"/>
          </w:tcPr>
          <w:p>
            <w:pPr>
              <w:pStyle w:val="nTable"/>
              <w:spacing w:before="120"/>
              <w:ind w:right="113"/>
              <w:rPr>
                <w:spacing w:val="-2"/>
                <w:sz w:val="19"/>
              </w:rPr>
            </w:pPr>
            <w:r>
              <w:rPr>
                <w:i/>
                <w:spacing w:val="-2"/>
                <w:sz w:val="19"/>
              </w:rPr>
              <w:t>Agricultural Produce (Chemical Residues) Amendment Regulations 1986</w:t>
            </w:r>
          </w:p>
        </w:tc>
        <w:tc>
          <w:tcPr>
            <w:tcW w:w="1276" w:type="dxa"/>
          </w:tcPr>
          <w:p>
            <w:pPr>
              <w:pStyle w:val="nTable"/>
              <w:spacing w:before="120"/>
              <w:rPr>
                <w:sz w:val="19"/>
              </w:rPr>
            </w:pPr>
            <w:r>
              <w:rPr>
                <w:spacing w:val="-2"/>
                <w:sz w:val="19"/>
              </w:rPr>
              <w:t>7 Nov 1986 p. 4173</w:t>
            </w:r>
          </w:p>
        </w:tc>
        <w:tc>
          <w:tcPr>
            <w:tcW w:w="2693" w:type="dxa"/>
          </w:tcPr>
          <w:p>
            <w:pPr>
              <w:pStyle w:val="nTable"/>
              <w:spacing w:before="120"/>
              <w:rPr>
                <w:spacing w:val="-2"/>
                <w:sz w:val="19"/>
              </w:rPr>
            </w:pPr>
            <w:r>
              <w:rPr>
                <w:spacing w:val="-2"/>
                <w:sz w:val="19"/>
              </w:rPr>
              <w:t>7 Nov 1986</w:t>
            </w:r>
          </w:p>
        </w:tc>
      </w:tr>
      <w:tr>
        <w:trPr>
          <w:cantSplit/>
        </w:trPr>
        <w:tc>
          <w:tcPr>
            <w:tcW w:w="3119" w:type="dxa"/>
          </w:tcPr>
          <w:p>
            <w:pPr>
              <w:pStyle w:val="nTable"/>
              <w:spacing w:before="120"/>
              <w:ind w:right="113"/>
              <w:rPr>
                <w:spacing w:val="-2"/>
                <w:sz w:val="19"/>
              </w:rPr>
            </w:pPr>
            <w:r>
              <w:rPr>
                <w:i/>
                <w:spacing w:val="-2"/>
                <w:sz w:val="19"/>
              </w:rPr>
              <w:t>Agricultural Produce (Chemical Residues) Amendment Regulations 1987</w:t>
            </w:r>
          </w:p>
        </w:tc>
        <w:tc>
          <w:tcPr>
            <w:tcW w:w="1276" w:type="dxa"/>
          </w:tcPr>
          <w:p>
            <w:pPr>
              <w:pStyle w:val="nTable"/>
              <w:spacing w:before="120"/>
              <w:rPr>
                <w:sz w:val="19"/>
              </w:rPr>
            </w:pPr>
            <w:r>
              <w:rPr>
                <w:spacing w:val="-2"/>
                <w:sz w:val="19"/>
              </w:rPr>
              <w:t>22 May 1987 p. 2202</w:t>
            </w:r>
            <w:r>
              <w:rPr>
                <w:spacing w:val="-2"/>
                <w:sz w:val="19"/>
              </w:rPr>
              <w:noBreakHyphen/>
              <w:t>3</w:t>
            </w:r>
          </w:p>
        </w:tc>
        <w:tc>
          <w:tcPr>
            <w:tcW w:w="2693" w:type="dxa"/>
          </w:tcPr>
          <w:p>
            <w:pPr>
              <w:pStyle w:val="nTable"/>
              <w:spacing w:before="120"/>
              <w:rPr>
                <w:spacing w:val="-2"/>
                <w:sz w:val="19"/>
              </w:rPr>
            </w:pPr>
            <w:r>
              <w:rPr>
                <w:spacing w:val="-2"/>
                <w:sz w:val="19"/>
              </w:rPr>
              <w:t>22 May 1987</w:t>
            </w:r>
          </w:p>
        </w:tc>
      </w:tr>
      <w:tr>
        <w:trPr>
          <w:cantSplit/>
        </w:trPr>
        <w:tc>
          <w:tcPr>
            <w:tcW w:w="3119" w:type="dxa"/>
          </w:tcPr>
          <w:p>
            <w:pPr>
              <w:pStyle w:val="nTable"/>
              <w:spacing w:before="120"/>
              <w:ind w:right="113"/>
              <w:rPr>
                <w:sz w:val="19"/>
              </w:rPr>
            </w:pPr>
            <w:r>
              <w:rPr>
                <w:i/>
                <w:spacing w:val="-2"/>
                <w:sz w:val="19"/>
              </w:rPr>
              <w:t>Agricultural Produce (Chemical Residues) Amendment Regulations 1996</w:t>
            </w:r>
          </w:p>
        </w:tc>
        <w:tc>
          <w:tcPr>
            <w:tcW w:w="1276" w:type="dxa"/>
          </w:tcPr>
          <w:p>
            <w:pPr>
              <w:pStyle w:val="nTable"/>
              <w:spacing w:before="120"/>
              <w:rPr>
                <w:sz w:val="19"/>
              </w:rPr>
            </w:pPr>
            <w:r>
              <w:rPr>
                <w:spacing w:val="-2"/>
                <w:sz w:val="19"/>
              </w:rPr>
              <w:t>11 Jun 1996 p. 2431</w:t>
            </w:r>
            <w:r>
              <w:rPr>
                <w:spacing w:val="-2"/>
                <w:sz w:val="19"/>
              </w:rPr>
              <w:noBreakHyphen/>
              <w:t>91</w:t>
            </w:r>
          </w:p>
        </w:tc>
        <w:tc>
          <w:tcPr>
            <w:tcW w:w="2693" w:type="dxa"/>
          </w:tcPr>
          <w:p>
            <w:pPr>
              <w:pStyle w:val="nTable"/>
              <w:spacing w:before="120"/>
              <w:rPr>
                <w:sz w:val="19"/>
              </w:rPr>
            </w:pPr>
            <w:r>
              <w:rPr>
                <w:spacing w:val="-2"/>
                <w:sz w:val="19"/>
              </w:rPr>
              <w:t>11 Jun 1996</w:t>
            </w:r>
          </w:p>
        </w:tc>
      </w:tr>
      <w:tr>
        <w:trPr>
          <w:cantSplit/>
        </w:trPr>
        <w:tc>
          <w:tcPr>
            <w:tcW w:w="7088" w:type="dxa"/>
            <w:gridSpan w:val="3"/>
          </w:tcPr>
          <w:p>
            <w:pPr>
              <w:pStyle w:val="nTable"/>
              <w:spacing w:before="120"/>
              <w:rPr>
                <w:spacing w:val="-2"/>
                <w:sz w:val="19"/>
              </w:rPr>
            </w:pPr>
            <w:r>
              <w:rPr>
                <w:b/>
                <w:spacing w:val="-2"/>
                <w:sz w:val="19"/>
              </w:rPr>
              <w:t xml:space="preserve">Reprint of the </w:t>
            </w:r>
            <w:r>
              <w:rPr>
                <w:b/>
                <w:i/>
                <w:spacing w:val="-2"/>
                <w:sz w:val="19"/>
              </w:rPr>
              <w:t>Agricultural Produce (Chemical Residues) Regulations 1985</w:t>
            </w:r>
            <w:r>
              <w:rPr>
                <w:b/>
                <w:spacing w:val="-2"/>
                <w:sz w:val="19"/>
              </w:rPr>
              <w:t xml:space="preserve"> as at 9 Nov 2001</w:t>
            </w:r>
            <w:r>
              <w:rPr>
                <w:i/>
                <w:spacing w:val="-2"/>
                <w:sz w:val="19"/>
              </w:rPr>
              <w:t xml:space="preserve"> </w:t>
            </w:r>
            <w:r>
              <w:rPr>
                <w:spacing w:val="-2"/>
                <w:sz w:val="19"/>
              </w:rPr>
              <w:t>(includes amendments listed above)</w:t>
            </w:r>
          </w:p>
        </w:tc>
      </w:tr>
      <w:tr>
        <w:trPr>
          <w:cantSplit/>
        </w:trPr>
        <w:tc>
          <w:tcPr>
            <w:tcW w:w="3119" w:type="dxa"/>
          </w:tcPr>
          <w:p>
            <w:pPr>
              <w:pStyle w:val="nTable"/>
              <w:spacing w:before="120"/>
              <w:ind w:right="113"/>
              <w:rPr>
                <w:sz w:val="19"/>
              </w:rPr>
            </w:pPr>
            <w:r>
              <w:rPr>
                <w:i/>
                <w:spacing w:val="-2"/>
                <w:sz w:val="19"/>
              </w:rPr>
              <w:t>Agricultural Produce (Chemical Residues) Amendment Regulations 2004</w:t>
            </w:r>
          </w:p>
        </w:tc>
        <w:tc>
          <w:tcPr>
            <w:tcW w:w="1276" w:type="dxa"/>
          </w:tcPr>
          <w:p>
            <w:pPr>
              <w:pStyle w:val="nTable"/>
              <w:spacing w:before="120"/>
              <w:rPr>
                <w:sz w:val="19"/>
              </w:rPr>
            </w:pPr>
            <w:r>
              <w:rPr>
                <w:sz w:val="19"/>
              </w:rPr>
              <w:t>30 Dec 2004 p. 6894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Borders>
              <w:bottom w:val="single" w:sz="4" w:space="0" w:color="auto"/>
            </w:tcBorders>
          </w:tcPr>
          <w:p>
            <w:pPr>
              <w:pStyle w:val="nTable"/>
              <w:spacing w:before="120"/>
              <w:ind w:right="113"/>
              <w:rPr>
                <w:i/>
                <w:spacing w:val="-2"/>
                <w:sz w:val="19"/>
              </w:rPr>
            </w:pPr>
            <w:r>
              <w:rPr>
                <w:i/>
                <w:spacing w:val="-2"/>
                <w:sz w:val="19"/>
              </w:rPr>
              <w:t>Agricultural Produce (Chemical Residues) Amendment Regulations 2006</w:t>
            </w:r>
          </w:p>
        </w:tc>
        <w:tc>
          <w:tcPr>
            <w:tcW w:w="1276" w:type="dxa"/>
            <w:tcBorders>
              <w:bottom w:val="single" w:sz="4" w:space="0" w:color="auto"/>
            </w:tcBorders>
          </w:tcPr>
          <w:p>
            <w:pPr>
              <w:pStyle w:val="nTable"/>
              <w:spacing w:before="120"/>
              <w:rPr>
                <w:sz w:val="19"/>
              </w:rPr>
            </w:pPr>
            <w:r>
              <w:rPr>
                <w:sz w:val="19"/>
              </w:rPr>
              <w:t>11 Aug 2006 p. 2977-80</w:t>
            </w:r>
          </w:p>
        </w:tc>
        <w:tc>
          <w:tcPr>
            <w:tcW w:w="2693" w:type="dxa"/>
            <w:tcBorders>
              <w:bottom w:val="single" w:sz="4" w:space="0" w:color="auto"/>
            </w:tcBorders>
          </w:tcPr>
          <w:p>
            <w:pPr>
              <w:pStyle w:val="nTable"/>
              <w:spacing w:before="120"/>
              <w:rPr>
                <w:sz w:val="19"/>
              </w:rPr>
            </w:pPr>
            <w:r>
              <w:rPr>
                <w:sz w:val="19"/>
              </w:rPr>
              <w:t>11 Aug 2006</w:t>
            </w:r>
          </w:p>
        </w:tc>
      </w:tr>
    </w:tbl>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(Chemical Residues)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(Chemical Residues)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(Chemical Residues) Regulations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(Chemical Residues)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29C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AE27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3866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3055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F64B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CC57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9650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A453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D07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F8F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3B4E6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AD819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1823</Words>
  <Characters>10779</Characters>
  <Application>Microsoft Office Word</Application>
  <DocSecurity>0</DocSecurity>
  <Lines>513</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Regulations 1985 - 01-c0-03</dc:title>
  <dc:subject/>
  <dc:creator/>
  <cp:keywords/>
  <dc:description/>
  <cp:lastModifiedBy>svcMRProcess</cp:lastModifiedBy>
  <cp:revision>4</cp:revision>
  <cp:lastPrinted>2001-11-14T02:58:00Z</cp:lastPrinted>
  <dcterms:created xsi:type="dcterms:W3CDTF">2020-02-20T06:00:00Z</dcterms:created>
  <dcterms:modified xsi:type="dcterms:W3CDTF">2020-02-20T06:00:00Z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30-Aug-1985 pp.3127-45</vt:lpwstr>
  </property>
  <property fmtid="{D5CDD505-2E9C-101B-9397-08002B2CF9AE}" pid="3" name="CommencementDate">
    <vt:lpwstr>20060811</vt:lpwstr>
  </property>
  <property fmtid="{D5CDD505-2E9C-101B-9397-08002B2CF9AE}" pid="4" name="DocumentType">
    <vt:lpwstr>Reg</vt:lpwstr>
  </property>
  <property fmtid="{D5CDD505-2E9C-101B-9397-08002B2CF9AE}" pid="5" name="OwlsUID">
    <vt:i4>4261</vt:i4>
  </property>
  <property fmtid="{D5CDD505-2E9C-101B-9397-08002B2CF9AE}" pid="6" name="AsAtDate">
    <vt:lpwstr>11 Aug 2006</vt:lpwstr>
  </property>
  <property fmtid="{D5CDD505-2E9C-101B-9397-08002B2CF9AE}" pid="7" name="Suffix">
    <vt:lpwstr>01-c0-03</vt:lpwstr>
  </property>
</Properties>
</file>