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Racing Penalties (Appeals)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Penalties (Appeals) Regulations 1991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140530"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tabs>
          <w:tab w:val="left" w:pos="567"/>
          <w:tab w:val="left" w:pos="851"/>
        </w:tabs>
        <w:spacing w:before="60"/>
        <w:ind w:left="851" w:hanging="851"/>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_Toc388519319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_Toc388519320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_Toc388519321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_Toc388519322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_Toc388519323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_Toc388519324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_Toc388519325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_Toc388519326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_Toc388519327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_Toc388519330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388519319"/>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2" w:name="_Toc388519320"/>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3" w:name="_Toc388519321"/>
      <w:r>
        <w:rPr>
          <w:rStyle w:val="CharSectno"/>
        </w:rPr>
        <w:t>3</w:t>
      </w:r>
      <w:r>
        <w:rPr>
          <w:snapToGrid w:val="0"/>
        </w:rPr>
        <w:t>.</w:t>
      </w:r>
      <w:r>
        <w:rPr>
          <w:snapToGrid w:val="0"/>
        </w:rPr>
        <w:tab/>
        <w:t>Notice of appeal</w:t>
      </w:r>
      <w:bookmarkEnd w:id="3"/>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4" w:name="_Toc388519322"/>
      <w:r>
        <w:rPr>
          <w:rStyle w:val="CharSectno"/>
        </w:rPr>
        <w:t>4</w:t>
      </w:r>
      <w:r>
        <w:rPr>
          <w:snapToGrid w:val="0"/>
        </w:rPr>
        <w:t>.</w:t>
      </w:r>
      <w:r>
        <w:rPr>
          <w:snapToGrid w:val="0"/>
        </w:rPr>
        <w:tab/>
        <w:t>Fees in relation to appeals</w:t>
      </w:r>
      <w:bookmarkEnd w:id="4"/>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$145; and</w:t>
      </w:r>
    </w:p>
    <w:p>
      <w:pPr>
        <w:pStyle w:val="Indenta"/>
        <w:rPr>
          <w:snapToGrid w:val="0"/>
        </w:rPr>
      </w:pPr>
      <w:r>
        <w:rPr>
          <w:snapToGrid w:val="0"/>
        </w:rPr>
        <w:tab/>
        <w:t>(b)</w:t>
      </w:r>
      <w:r>
        <w:rPr>
          <w:snapToGrid w:val="0"/>
        </w:rPr>
        <w:tab/>
        <w:t>for all other appeals, $355.</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$145; and</w:t>
      </w:r>
    </w:p>
    <w:p>
      <w:pPr>
        <w:pStyle w:val="Indenti"/>
        <w:rPr>
          <w:snapToGrid w:val="0"/>
        </w:rPr>
      </w:pPr>
      <w:r>
        <w:rPr>
          <w:snapToGrid w:val="0"/>
        </w:rPr>
        <w:tab/>
        <w:t>(ii)</w:t>
      </w:r>
      <w:r>
        <w:rPr>
          <w:snapToGrid w:val="0"/>
        </w:rPr>
        <w:tab/>
        <w:t>for all other appeals, $355;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$72.</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w:t>
      </w:r>
    </w:p>
    <w:p>
      <w:pPr>
        <w:pStyle w:val="Heading5"/>
        <w:rPr>
          <w:snapToGrid w:val="0"/>
        </w:rPr>
      </w:pPr>
      <w:bookmarkStart w:id="5" w:name="_Toc388519323"/>
      <w:r>
        <w:rPr>
          <w:rStyle w:val="CharSectno"/>
        </w:rPr>
        <w:t>5</w:t>
      </w:r>
      <w:r>
        <w:rPr>
          <w:snapToGrid w:val="0"/>
        </w:rPr>
        <w:t>.</w:t>
      </w:r>
      <w:r>
        <w:rPr>
          <w:snapToGrid w:val="0"/>
        </w:rPr>
        <w:tab/>
        <w:t>Notice of representation</w:t>
      </w:r>
      <w:bookmarkEnd w:id="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6" w:name="_Toc388519324"/>
      <w:r>
        <w:rPr>
          <w:rStyle w:val="CharSectno"/>
        </w:rPr>
        <w:t>6</w:t>
      </w:r>
      <w:r>
        <w:rPr>
          <w:snapToGrid w:val="0"/>
        </w:rPr>
        <w:t>.</w:t>
      </w:r>
      <w:r>
        <w:rPr>
          <w:snapToGrid w:val="0"/>
        </w:rPr>
        <w:tab/>
        <w:t xml:space="preserve">Hearing of evidence </w:t>
      </w:r>
      <w:r>
        <w:rPr>
          <w:i/>
          <w:snapToGrid w:val="0"/>
        </w:rPr>
        <w:t>in camera</w:t>
      </w:r>
      <w:bookmarkEnd w:id="6"/>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7" w:name="_Toc388519325"/>
      <w:r>
        <w:rPr>
          <w:rStyle w:val="CharSectno"/>
        </w:rPr>
        <w:t>7</w:t>
      </w:r>
      <w:r>
        <w:rPr>
          <w:snapToGrid w:val="0"/>
        </w:rPr>
        <w:t>.</w:t>
      </w:r>
      <w:r>
        <w:rPr>
          <w:snapToGrid w:val="0"/>
        </w:rPr>
        <w:tab/>
        <w:t>Fee for transcripts</w:t>
      </w:r>
      <w:bookmarkEnd w:id="7"/>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8" w:name="_Toc388519326"/>
      <w:r>
        <w:rPr>
          <w:rStyle w:val="CharSectno"/>
        </w:rPr>
        <w:t>8</w:t>
      </w:r>
      <w:r>
        <w:rPr>
          <w:snapToGrid w:val="0"/>
        </w:rPr>
        <w:t>.</w:t>
      </w:r>
      <w:r>
        <w:rPr>
          <w:snapToGrid w:val="0"/>
        </w:rPr>
        <w:tab/>
        <w:t>Duties of Registrar</w:t>
      </w:r>
      <w:bookmarkEnd w:id="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9" w:name="_Toc388519327"/>
      <w:r>
        <w:rPr>
          <w:rStyle w:val="CharSectno"/>
        </w:rPr>
        <w:t>9</w:t>
      </w:r>
      <w:r>
        <w:rPr>
          <w:snapToGrid w:val="0"/>
        </w:rPr>
        <w:t>.</w:t>
      </w:r>
      <w:r>
        <w:rPr>
          <w:snapToGrid w:val="0"/>
        </w:rPr>
        <w:tab/>
        <w:t>Matters in which Chairperson or member alone may act</w:t>
      </w:r>
      <w:bookmarkEnd w:id="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0" w:name="_Toc388519328"/>
      <w:r>
        <w:rPr>
          <w:rStyle w:val="CharSchNo"/>
        </w:rPr>
        <w:t>Schedule 1</w:t>
      </w:r>
      <w:bookmarkEnd w:id="10"/>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tabs>
          <w:tab w:val="clear" w:pos="893"/>
          <w:tab w:val="left" w:pos="709"/>
        </w:tabs>
        <w:ind w:left="709" w:hanging="709"/>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1" w:name="_Toc388519329"/>
      <w:r>
        <w:t>Notes</w:t>
      </w:r>
      <w:bookmarkEnd w:id="11"/>
    </w:p>
    <w:p>
      <w:pPr>
        <w:pStyle w:val="nSubsection"/>
        <w:rPr>
          <w:snapToGrid w:val="0"/>
        </w:rPr>
      </w:pPr>
      <w:r>
        <w:rPr>
          <w:snapToGrid w:val="0"/>
          <w:vertAlign w:val="superscript"/>
        </w:rPr>
        <w:t>1</w:t>
      </w:r>
      <w:r>
        <w:rPr>
          <w:snapToGrid w:val="0"/>
        </w:rPr>
        <w:tab/>
        <w:t xml:space="preserve">This reprint is a compilation as at 2 May 2014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2" w:name="_Toc388519330"/>
      <w:r>
        <w:t>Compilation table</w:t>
      </w:r>
      <w:bookmarkEnd w:id="12"/>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8"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8"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8"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8"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8"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8" w:type="dxa"/>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8"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rPr>
              <w:t>1 Jan 2007 (see r. 2)</w:t>
            </w:r>
          </w:p>
        </w:tc>
      </w:tr>
      <w:tr>
        <w:trPr>
          <w:gridAfter w:val="1"/>
          <w:wAfter w:w="8"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trPr>
        <w:tc>
          <w:tcPr>
            <w:tcW w:w="7087" w:type="dxa"/>
            <w:gridSpan w:val="6"/>
          </w:tcPr>
          <w:p>
            <w:pPr>
              <w:pStyle w:val="nTable"/>
              <w:spacing w:after="40"/>
              <w:rPr>
                <w:snapToGrid w:val="0"/>
                <w:sz w:val="19"/>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trPr>
        <w:tc>
          <w:tcPr>
            <w:tcW w:w="3118" w:type="dxa"/>
            <w:gridSpan w:val="2"/>
          </w:tcPr>
          <w:p>
            <w:pPr>
              <w:pStyle w:val="nTable"/>
              <w:spacing w:after="40"/>
              <w:ind w:right="113"/>
              <w:rPr>
                <w:iCs/>
                <w:sz w:val="19"/>
                <w:vertAlign w:val="superscript"/>
              </w:rPr>
            </w:pPr>
            <w:r>
              <w:rPr>
                <w:i/>
                <w:sz w:val="19"/>
              </w:rPr>
              <w:t>Racing Penalties (Appeals) Amendment Regulations 2008</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z w:val="19"/>
              </w:rPr>
              <w:t>r. 1 and 2: 28 Oct 2008 (see r. 2(a));</w:t>
            </w:r>
            <w:r>
              <w:rPr>
                <w:snapToGrid w:val="0"/>
                <w:sz w:val="19"/>
              </w:rPr>
              <w:br/>
              <w:t>Regulations other than r. 1 and 2: 1 Jan 2009 (see r. 2(b))</w:t>
            </w:r>
          </w:p>
        </w:tc>
      </w:tr>
      <w:tr>
        <w:trPr>
          <w:gridAfter w:val="1"/>
          <w:wAfter w:w="8" w:type="dxa"/>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2012</w:t>
            </w:r>
          </w:p>
        </w:tc>
        <w:tc>
          <w:tcPr>
            <w:tcW w:w="1276" w:type="dxa"/>
            <w:gridSpan w:val="2"/>
          </w:tcPr>
          <w:p>
            <w:pPr>
              <w:pStyle w:val="nTable"/>
              <w:spacing w:after="40"/>
              <w:rPr>
                <w:sz w:val="19"/>
              </w:rPr>
            </w:pPr>
            <w:r>
              <w:rPr>
                <w:sz w:val="19"/>
              </w:rPr>
              <w:t>16 Nov 2012 p. 5656-7</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After w:val="1"/>
          <w:wAfter w:w="8" w:type="dxa"/>
        </w:trPr>
        <w:tc>
          <w:tcPr>
            <w:tcW w:w="3118" w:type="dxa"/>
            <w:gridSpan w:val="2"/>
          </w:tcPr>
          <w:p>
            <w:pPr>
              <w:pStyle w:val="nTable"/>
              <w:spacing w:after="40"/>
              <w:ind w:right="113"/>
              <w:rPr>
                <w:i/>
                <w:sz w:val="19"/>
              </w:rPr>
            </w:pPr>
            <w:r>
              <w:rPr>
                <w:i/>
                <w:sz w:val="19"/>
                <w:szCs w:val="19"/>
              </w:rPr>
              <w:t>Racing Penalties (Appeals) Amendment Regulations 2013</w:t>
            </w:r>
          </w:p>
        </w:tc>
        <w:tc>
          <w:tcPr>
            <w:tcW w:w="1276" w:type="dxa"/>
            <w:gridSpan w:val="2"/>
          </w:tcPr>
          <w:p>
            <w:pPr>
              <w:pStyle w:val="nTable"/>
              <w:spacing w:after="40"/>
              <w:rPr>
                <w:sz w:val="19"/>
              </w:rPr>
            </w:pPr>
            <w:r>
              <w:rPr>
                <w:sz w:val="19"/>
                <w:szCs w:val="19"/>
              </w:rPr>
              <w:t>8 Nov 2013 p. 4981</w:t>
            </w:r>
            <w:r>
              <w:rPr>
                <w:sz w:val="19"/>
                <w:szCs w:val="19"/>
              </w:rPr>
              <w:noBreakHyphen/>
              <w:t>2</w:t>
            </w:r>
          </w:p>
        </w:tc>
        <w:tc>
          <w:tcPr>
            <w:tcW w:w="2693" w:type="dxa"/>
            <w:gridSpan w:val="2"/>
          </w:tcPr>
          <w:p>
            <w:pPr>
              <w:pStyle w:val="nTable"/>
              <w:spacing w:after="40"/>
              <w:rPr>
                <w:rFonts w:ascii="Arial" w:hAnsi="Arial"/>
                <w:b/>
                <w:snapToGrid w:val="0"/>
                <w:sz w:val="19"/>
              </w:rPr>
            </w:pPr>
            <w:r>
              <w:rPr>
                <w:snapToGrid w:val="0"/>
                <w:sz w:val="19"/>
                <w:szCs w:val="19"/>
              </w:rPr>
              <w:t>r. 1 and 2: 8 Nov 2013 (see r. 2(a));</w:t>
            </w:r>
            <w:r>
              <w:rPr>
                <w:snapToGrid w:val="0"/>
                <w:sz w:val="19"/>
                <w:szCs w:val="19"/>
              </w:rPr>
              <w:br/>
              <w:t xml:space="preserve">Regulations other than r. 1 and 2: </w:t>
            </w:r>
            <w:r>
              <w:rPr>
                <w:sz w:val="19"/>
                <w:szCs w:val="19"/>
              </w:rPr>
              <w:t>1 Jan 2014 (see. r. 2(b))</w:t>
            </w:r>
          </w:p>
        </w:tc>
      </w:tr>
      <w:tr>
        <w:trPr>
          <w:gridAfter w:val="1"/>
          <w:wAfter w:w="8" w:type="dxa"/>
        </w:trPr>
        <w:tc>
          <w:tcPr>
            <w:tcW w:w="7087" w:type="dxa"/>
            <w:gridSpan w:val="6"/>
            <w:tcBorders>
              <w:bottom w:val="single" w:sz="8" w:space="0" w:color="auto"/>
            </w:tcBorders>
            <w:shd w:val="clear" w:color="auto" w:fill="auto"/>
          </w:tcPr>
          <w:p>
            <w:pPr>
              <w:pStyle w:val="nTable"/>
              <w:spacing w:after="40"/>
              <w:rPr>
                <w:snapToGrid w:val="0"/>
                <w:spacing w:val="-2"/>
                <w:sz w:val="19"/>
                <w:szCs w:val="19"/>
              </w:rPr>
            </w:pPr>
            <w:r>
              <w:rPr>
                <w:b/>
                <w:sz w:val="19"/>
              </w:rPr>
              <w:t xml:space="preserve">Reprint 3: The </w:t>
            </w:r>
            <w:r>
              <w:rPr>
                <w:b/>
                <w:i/>
                <w:sz w:val="19"/>
              </w:rPr>
              <w:t>Racing Penalties (Appeals) Regulations 1991</w:t>
            </w:r>
            <w:r>
              <w:rPr>
                <w:b/>
                <w:sz w:val="19"/>
              </w:rPr>
              <w:t xml:space="preserve"> as at 2 May 2014</w:t>
            </w:r>
            <w:r>
              <w:rPr>
                <w:sz w:val="19"/>
              </w:rPr>
              <w:t xml:space="preserve"> (includes amendments listed above)</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812"/>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812" w:val="RemoveTocBookmarks,RemoveUnusedBookmarks,RemoveLanguageTags,UsedStyles,ResetPageSize"/>
    <w:docVar w:name="WAFER_20140522104812_GUID" w:val="5dfe479c-6b1c-4a0a-a069-7f517f4bbf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2057</Words>
  <Characters>9447</Characters>
  <Application>Microsoft Office Word</Application>
  <DocSecurity>0</DocSecurity>
  <Lines>337</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1991 - 03-00-01</dc:title>
  <dc:subject/>
  <dc:creator/>
  <cp:keywords/>
  <dc:description/>
  <cp:lastModifiedBy>svcMRProcess</cp:lastModifiedBy>
  <cp:revision>4</cp:revision>
  <cp:lastPrinted>2014-04-15T02:09:00Z</cp:lastPrinted>
  <dcterms:created xsi:type="dcterms:W3CDTF">2020-04-23T01:49:00Z</dcterms:created>
  <dcterms:modified xsi:type="dcterms:W3CDTF">2020-04-23T01:49:00Z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4728</vt:i4>
  </property>
  <property fmtid="{D5CDD505-2E9C-101B-9397-08002B2CF9AE}" pid="6" name="AsAtDate">
    <vt:lpwstr>02 May 2014</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2014-05-01T16:00:00Z</vt:filetime>
  </property>
</Properties>
</file>