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_Toc388862796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_Toc388862797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_Toc388862798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Port authorities: establishment and administration</w:t>
      </w:r>
    </w:p>
    <w:p>
      <w:pPr>
        <w:pStyle w:val="TOC4"/>
        <w:tabs>
          <w:tab w:val="right" w:leader="dot" w:pos="7086"/>
        </w:tabs>
        <w:rPr>
          <w:rFonts w:asciiTheme="minorHAnsi" w:eastAsiaTheme="minorEastAsia" w:hAnsiTheme="minorHAnsi" w:cstheme="minorBidi"/>
          <w:b w:val="0"/>
          <w:szCs w:val="22"/>
        </w:rPr>
      </w:pPr>
      <w:r>
        <w:t>Division 1 — Establishment of port authorities</w:t>
      </w:r>
    </w:p>
    <w:p>
      <w:pPr>
        <w:pStyle w:val="TOC8"/>
        <w:rPr>
          <w:rFonts w:asciiTheme="minorHAnsi" w:eastAsiaTheme="minorEastAsia" w:hAnsiTheme="minorHAnsi" w:cstheme="minorBidi"/>
          <w:szCs w:val="22"/>
        </w:rPr>
      </w:pPr>
      <w:r>
        <w:t>4</w:t>
      </w:r>
      <w:r>
        <w:rPr>
          <w:snapToGrid w:val="0"/>
        </w:rPr>
        <w:t>.</w:t>
      </w:r>
      <w:r>
        <w:rPr>
          <w:snapToGrid w:val="0"/>
        </w:rPr>
        <w:tab/>
        <w:t>Port authorities, establishment, nature and trading names of</w:t>
      </w:r>
      <w:r>
        <w:tab/>
      </w:r>
      <w:r>
        <w:fldChar w:fldCharType="begin"/>
      </w:r>
      <w:r>
        <w:instrText xml:space="preserve"> PAGEREF _Toc388862801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 authorities not agents of Crown</w:t>
      </w:r>
      <w:r>
        <w:tab/>
      </w:r>
      <w:r>
        <w:fldChar w:fldCharType="begin"/>
      </w:r>
      <w:r>
        <w:instrText xml:space="preserve"> PAGEREF _Toc388862802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 authorities and officers not part of public sector</w:t>
      </w:r>
      <w:r>
        <w:tab/>
      </w:r>
      <w:r>
        <w:fldChar w:fldCharType="begin"/>
      </w:r>
      <w:r>
        <w:instrText xml:space="preserve"> PAGEREF _Toc388862803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7</w:t>
      </w:r>
      <w:r>
        <w:rPr>
          <w:snapToGrid w:val="0"/>
        </w:rPr>
        <w:t>.</w:t>
      </w:r>
      <w:r>
        <w:rPr>
          <w:snapToGrid w:val="0"/>
        </w:rPr>
        <w:tab/>
        <w:t>Port authorities to have board of directors</w:t>
      </w:r>
      <w:r>
        <w:tab/>
      </w:r>
      <w:r>
        <w:fldChar w:fldCharType="begin"/>
      </w:r>
      <w:r>
        <w:instrText xml:space="preserve"> PAGEREF _Toc388862805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Boards, role of</w:t>
      </w:r>
      <w:r>
        <w:tab/>
      </w:r>
      <w:r>
        <w:fldChar w:fldCharType="begin"/>
      </w:r>
      <w:r>
        <w:instrText xml:space="preserve"> PAGEREF _Toc388862806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of (Sch. 2)</w:t>
      </w:r>
      <w:r>
        <w:tab/>
      </w:r>
      <w:r>
        <w:fldChar w:fldCharType="begin"/>
      </w:r>
      <w:r>
        <w:instrText xml:space="preserve"> PAGEREF _Toc388862807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remuneration of</w:t>
      </w:r>
      <w:r>
        <w:tab/>
      </w:r>
      <w:r>
        <w:fldChar w:fldCharType="begin"/>
      </w:r>
      <w:r>
        <w:instrText xml:space="preserve"> PAGEREF _Toc388862808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_Toc388862809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Notifiable interests, disclosing</w:t>
      </w:r>
      <w:r>
        <w:tab/>
      </w:r>
      <w:r>
        <w:fldChar w:fldCharType="begin"/>
      </w:r>
      <w:r>
        <w:instrText xml:space="preserve"> PAGEREF _Toc388862810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_Toc388862811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Staff</w:t>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_Toc388862813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CEO’s functions</w:t>
      </w:r>
      <w:r>
        <w:tab/>
      </w:r>
      <w:r>
        <w:fldChar w:fldCharType="begin"/>
      </w:r>
      <w:r>
        <w:instrText xml:space="preserve"> PAGEREF _Toc388862814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_Toc388862815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standards for staff management</w:t>
      </w:r>
      <w:r>
        <w:tab/>
      </w:r>
      <w:r>
        <w:fldChar w:fldCharType="begin"/>
      </w:r>
      <w:r>
        <w:instrText xml:space="preserve"> PAGEREF _Toc388862816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Reports to Public Sector Commissioner as to s. 17 standards</w:t>
      </w:r>
      <w:r>
        <w:tab/>
      </w:r>
      <w:r>
        <w:fldChar w:fldCharType="begin"/>
      </w:r>
      <w:r>
        <w:instrText xml:space="preserve"> PAGEREF _Toc388862817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_Toc388862818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Conduct and integrity of staff</w:t>
      </w:r>
    </w:p>
    <w:p>
      <w:pPr>
        <w:pStyle w:val="TOC8"/>
        <w:rPr>
          <w:rFonts w:asciiTheme="minorHAnsi" w:eastAsiaTheme="minorEastAsia" w:hAnsiTheme="minorHAnsi" w:cstheme="minorBidi"/>
          <w:szCs w:val="22"/>
        </w:rPr>
      </w:pPr>
      <w:r>
        <w:t>20</w:t>
      </w:r>
      <w:r>
        <w:rPr>
          <w:snapToGrid w:val="0"/>
        </w:rPr>
        <w:t>.</w:t>
      </w:r>
      <w:r>
        <w:rPr>
          <w:snapToGrid w:val="0"/>
        </w:rPr>
        <w:tab/>
        <w:t>CEO and staff, duties of (Sch. 3) etc.</w:t>
      </w:r>
      <w:r>
        <w:tab/>
      </w:r>
      <w:r>
        <w:fldChar w:fldCharType="begin"/>
      </w:r>
      <w:r>
        <w:instrText xml:space="preserve"> PAGEREF _Toc388862820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Codes of conduct</w:t>
      </w:r>
      <w:r>
        <w:tab/>
      </w:r>
      <w:r>
        <w:fldChar w:fldCharType="begin"/>
      </w:r>
      <w:r>
        <w:instrText xml:space="preserve"> PAGEREF _Toc388862821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 as to s. 21 codes</w:t>
      </w:r>
      <w:r>
        <w:tab/>
      </w:r>
      <w:r>
        <w:fldChar w:fldCharType="begin"/>
      </w:r>
      <w:r>
        <w:instrText xml:space="preserve"> PAGEREF _Toc388862822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Reports to Minister as to s. 21 codes</w:t>
      </w:r>
      <w:r>
        <w:tab/>
      </w:r>
      <w:r>
        <w:fldChar w:fldCharType="begin"/>
      </w:r>
      <w:r>
        <w:instrText xml:space="preserve"> PAGEREF _Toc388862823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Port areas and property of port authorities</w:t>
      </w:r>
    </w:p>
    <w:p>
      <w:pPr>
        <w:pStyle w:val="TOC8"/>
        <w:rPr>
          <w:rFonts w:asciiTheme="minorHAnsi" w:eastAsiaTheme="minorEastAsia" w:hAnsiTheme="minorHAnsi" w:cstheme="minorBidi"/>
          <w:szCs w:val="22"/>
        </w:rPr>
      </w:pPr>
      <w:r>
        <w:t>24</w:t>
      </w:r>
      <w:r>
        <w:rPr>
          <w:snapToGrid w:val="0"/>
        </w:rPr>
        <w:t>.</w:t>
      </w:r>
      <w:r>
        <w:rPr>
          <w:snapToGrid w:val="0"/>
        </w:rPr>
        <w:tab/>
        <w:t>Port areas defined</w:t>
      </w:r>
      <w:r>
        <w:tab/>
      </w:r>
      <w:r>
        <w:fldChar w:fldCharType="begin"/>
      </w:r>
      <w:r>
        <w:instrText xml:space="preserve"> PAGEREF _Toc388862825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Port authority, property vested in</w:t>
      </w:r>
      <w:r>
        <w:tab/>
      </w:r>
      <w:r>
        <w:fldChar w:fldCharType="begin"/>
      </w:r>
      <w:r>
        <w:instrText xml:space="preserve"> PAGEREF _Toc388862826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Port property may be taken back by Crown</w:t>
      </w:r>
      <w:r>
        <w:tab/>
      </w:r>
      <w:r>
        <w:fldChar w:fldCharType="begin"/>
      </w:r>
      <w:r>
        <w:instrText xml:space="preserve"> PAGEREF _Toc388862827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sell land, restrictions on</w:t>
      </w:r>
      <w:r>
        <w:tab/>
      </w:r>
      <w:r>
        <w:fldChar w:fldCharType="begin"/>
      </w:r>
      <w:r>
        <w:instrText xml:space="preserve"> PAGEREF _Toc388862828 \h </w:instrText>
      </w:r>
      <w:r>
        <w:fldChar w:fldCharType="separate"/>
      </w:r>
      <w:r>
        <w:t>18</w:t>
      </w:r>
      <w:r>
        <w:fldChar w:fldCharType="end"/>
      </w:r>
    </w:p>
    <w:p>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_Toc388862829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Vested land, creating and dealing with interests in</w:t>
      </w:r>
      <w:r>
        <w:tab/>
      </w:r>
      <w:r>
        <w:fldChar w:fldCharType="begin"/>
      </w:r>
      <w:r>
        <w:instrText xml:space="preserve"> PAGEREF _Toc388862830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_Toc388862831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Functions and powers</w:t>
      </w:r>
    </w:p>
    <w:p>
      <w:pPr>
        <w:pStyle w:val="TOC4"/>
        <w:tabs>
          <w:tab w:val="right" w:leader="dot" w:pos="7086"/>
        </w:tabs>
        <w:rPr>
          <w:rFonts w:asciiTheme="minorHAnsi" w:eastAsiaTheme="minorEastAsia" w:hAnsiTheme="minorHAnsi" w:cstheme="minorBidi"/>
          <w:b w:val="0"/>
          <w:szCs w:val="22"/>
        </w:rPr>
      </w:pPr>
      <w:r>
        <w:t>Division 1 — Functions, powers and related provisions</w:t>
      </w:r>
    </w:p>
    <w:p>
      <w:pPr>
        <w:pStyle w:val="TOC8"/>
        <w:rPr>
          <w:rFonts w:asciiTheme="minorHAnsi" w:eastAsiaTheme="minorEastAsia" w:hAnsiTheme="minorHAnsi" w:cstheme="minorBidi"/>
          <w:szCs w:val="22"/>
        </w:rPr>
      </w:pPr>
      <w:r>
        <w:t>30</w:t>
      </w:r>
      <w:r>
        <w:rPr>
          <w:snapToGrid w:val="0"/>
        </w:rPr>
        <w:t>.</w:t>
      </w:r>
      <w:r>
        <w:rPr>
          <w:snapToGrid w:val="0"/>
        </w:rPr>
        <w:tab/>
        <w:t>Functions</w:t>
      </w:r>
      <w:r>
        <w:tab/>
      </w:r>
      <w:r>
        <w:fldChar w:fldCharType="begin"/>
      </w:r>
      <w:r>
        <w:instrText xml:space="preserve"> PAGEREF _Toc388862834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Port authorities can act at their discretion</w:t>
      </w:r>
      <w:r>
        <w:tab/>
      </w:r>
      <w:r>
        <w:fldChar w:fldCharType="begin"/>
      </w:r>
      <w:r>
        <w:instrText xml:space="preserve"> PAGEREF _Toc388862835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port, port authority has</w:t>
      </w:r>
      <w:r>
        <w:tab/>
      </w:r>
      <w:r>
        <w:fldChar w:fldCharType="begin"/>
      </w:r>
      <w:r>
        <w:instrText xml:space="preserve"> PAGEREF _Toc388862836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act in accordance with policy instruments</w:t>
      </w:r>
      <w:r>
        <w:tab/>
      </w:r>
      <w:r>
        <w:fldChar w:fldCharType="begin"/>
      </w:r>
      <w:r>
        <w:instrText xml:space="preserve"> PAGEREF _Toc388862837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to act on commercial principles</w:t>
      </w:r>
      <w:r>
        <w:tab/>
      </w:r>
      <w:r>
        <w:fldChar w:fldCharType="begin"/>
      </w:r>
      <w:r>
        <w:instrText xml:space="preserve"> PAGEREF _Toc388862838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generally</w:t>
      </w:r>
      <w:r>
        <w:tab/>
      </w:r>
      <w:r>
        <w:fldChar w:fldCharType="begin"/>
      </w:r>
      <w:r>
        <w:instrText xml:space="preserve"> PAGEREF _Toc388862839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Port facilities and services, extended powers as to</w:t>
      </w:r>
      <w:r>
        <w:tab/>
      </w:r>
      <w:r>
        <w:fldChar w:fldCharType="begin"/>
      </w:r>
      <w:r>
        <w:instrText xml:space="preserve"> PAGEREF _Toc388862840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and charges, power to levy</w:t>
      </w:r>
      <w:r>
        <w:tab/>
      </w:r>
      <w:r>
        <w:fldChar w:fldCharType="begin"/>
      </w:r>
      <w:r>
        <w:instrText xml:space="preserve"> PAGEREF _Toc388862841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Planning laws, application of to port authorities</w:t>
      </w:r>
      <w:r>
        <w:tab/>
      </w:r>
      <w:r>
        <w:fldChar w:fldCharType="begin"/>
      </w:r>
      <w:r>
        <w:instrText xml:space="preserve"> PAGEREF _Toc388862842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Subsidiaries of port authorities, acquisition of etc.</w:t>
      </w:r>
      <w:r>
        <w:tab/>
      </w:r>
      <w:r>
        <w:fldChar w:fldCharType="begin"/>
      </w:r>
      <w:r>
        <w:instrText xml:space="preserve"> PAGEREF _Toc388862843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 transactions requiring</w:t>
      </w:r>
      <w:r>
        <w:tab/>
      </w:r>
      <w:r>
        <w:fldChar w:fldCharType="begin"/>
      </w:r>
      <w:r>
        <w:instrText xml:space="preserve"> PAGEREF _Toc388862844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Exemptions from s. 40</w:t>
      </w:r>
      <w:r>
        <w:tab/>
      </w:r>
      <w:r>
        <w:fldChar w:fldCharType="begin"/>
      </w:r>
      <w:r>
        <w:instrText xml:space="preserve"> PAGEREF _Toc388862845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Term used: transaction</w:t>
      </w:r>
      <w:r>
        <w:tab/>
      </w:r>
      <w:r>
        <w:fldChar w:fldCharType="begin"/>
      </w:r>
      <w:r>
        <w:instrText xml:space="preserve"> PAGEREF _Toc388862846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Major initiatives etc., Minister to be consulted on</w:t>
      </w:r>
      <w:r>
        <w:tab/>
      </w:r>
      <w:r>
        <w:fldChar w:fldCharType="begin"/>
      </w:r>
      <w:r>
        <w:instrText xml:space="preserve"> PAGEREF _Toc388862847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Delegation by port authority</w:t>
      </w:r>
      <w:r>
        <w:tab/>
      </w:r>
      <w:r>
        <w:fldChar w:fldCharType="begin"/>
      </w:r>
      <w:r>
        <w:instrText xml:space="preserve"> PAGEREF _Toc388862848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Protection of people dealing with port authorities</w:t>
      </w:r>
    </w:p>
    <w:p>
      <w:pPr>
        <w:pStyle w:val="TOC8"/>
        <w:rPr>
          <w:rFonts w:asciiTheme="minorHAnsi" w:eastAsiaTheme="minorEastAsia" w:hAnsiTheme="minorHAnsi" w:cstheme="minorBidi"/>
          <w:szCs w:val="22"/>
        </w:rPr>
      </w:pPr>
      <w:r>
        <w:t>45</w:t>
      </w:r>
      <w:r>
        <w:rPr>
          <w:snapToGrid w:val="0"/>
        </w:rPr>
        <w:t>.</w:t>
      </w:r>
      <w:r>
        <w:rPr>
          <w:snapToGrid w:val="0"/>
        </w:rPr>
        <w:tab/>
        <w:t>People dealing with port authorities may make assumptions</w:t>
      </w:r>
      <w:r>
        <w:tab/>
      </w:r>
      <w:r>
        <w:fldChar w:fldCharType="begin"/>
      </w:r>
      <w:r>
        <w:instrText xml:space="preserve"> PAGEREF _Toc388862850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Third parties may make assumptions</w:t>
      </w:r>
      <w:r>
        <w:tab/>
      </w:r>
      <w:r>
        <w:fldChar w:fldCharType="begin"/>
      </w:r>
      <w:r>
        <w:instrText xml:space="preserve"> PAGEREF _Toc388862851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Assumptions that may be made under s. 45 and 46</w:t>
      </w:r>
      <w:r>
        <w:tab/>
      </w:r>
      <w:r>
        <w:fldChar w:fldCharType="begin"/>
      </w:r>
      <w:r>
        <w:instrText xml:space="preserve"> PAGEREF _Toc388862852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Exception to s. 45 and 46</w:t>
      </w:r>
      <w:r>
        <w:tab/>
      </w:r>
      <w:r>
        <w:fldChar w:fldCharType="begin"/>
      </w:r>
      <w:r>
        <w:instrText xml:space="preserve"> PAGEREF _Toc388862853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Provisions about accountability</w:t>
      </w:r>
    </w:p>
    <w:p>
      <w:pPr>
        <w:pStyle w:val="TOC4"/>
        <w:tabs>
          <w:tab w:val="right" w:leader="dot" w:pos="7086"/>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49</w:t>
      </w:r>
      <w:r>
        <w:rPr>
          <w:snapToGrid w:val="0"/>
        </w:rPr>
        <w:t>.</w:t>
      </w:r>
      <w:r>
        <w:rPr>
          <w:snapToGrid w:val="0"/>
        </w:rPr>
        <w:tab/>
        <w:t>Draft strategic development plan to be submitted to Minister</w:t>
      </w:r>
      <w:r>
        <w:tab/>
      </w:r>
      <w:r>
        <w:fldChar w:fldCharType="begin"/>
      </w:r>
      <w:r>
        <w:instrText xml:space="preserve"> PAGEREF _Toc388862856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Period to which strategic development plan relates</w:t>
      </w:r>
      <w:r>
        <w:tab/>
      </w:r>
      <w:r>
        <w:fldChar w:fldCharType="begin"/>
      </w:r>
      <w:r>
        <w:instrText xml:space="preserve"> PAGEREF _Toc388862857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Matters to be included in strategic development plan</w:t>
      </w:r>
      <w:r>
        <w:tab/>
      </w:r>
      <w:r>
        <w:fldChar w:fldCharType="begin"/>
      </w:r>
      <w:r>
        <w:instrText xml:space="preserve"> PAGEREF _Toc388862858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Strategic development plan to be agreed if possible</w:t>
      </w:r>
      <w:r>
        <w:tab/>
      </w:r>
      <w:r>
        <w:fldChar w:fldCharType="begin"/>
      </w:r>
      <w:r>
        <w:instrText xml:space="preserve"> PAGEREF _Toc388862859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Minister’s powers in relation to draft strategic development plan</w:t>
      </w:r>
      <w:r>
        <w:tab/>
      </w:r>
      <w:r>
        <w:fldChar w:fldCharType="begin"/>
      </w:r>
      <w:r>
        <w:instrText xml:space="preserve"> PAGEREF _Toc388862860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Strategic development plan pending agreement</w:t>
      </w:r>
      <w:r>
        <w:tab/>
      </w:r>
      <w:r>
        <w:fldChar w:fldCharType="begin"/>
      </w:r>
      <w:r>
        <w:instrText xml:space="preserve"> PAGEREF _Toc388862861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Agreed draft becomes strategic development plan</w:t>
      </w:r>
      <w:r>
        <w:tab/>
      </w:r>
      <w:r>
        <w:fldChar w:fldCharType="begin"/>
      </w:r>
      <w:r>
        <w:instrText xml:space="preserve"> PAGEREF _Toc388862862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Modifying strategic development plan</w:t>
      </w:r>
      <w:r>
        <w:tab/>
      </w:r>
      <w:r>
        <w:fldChar w:fldCharType="begin"/>
      </w:r>
      <w:r>
        <w:instrText xml:space="preserve"> PAGEREF _Toc388862863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Treasurer’s concurrence needed by Minister for s. 55 or 56</w:t>
      </w:r>
      <w:r>
        <w:tab/>
      </w:r>
      <w:r>
        <w:fldChar w:fldCharType="begin"/>
      </w:r>
      <w:r>
        <w:instrText xml:space="preserve"> PAGEREF _Toc388862864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58</w:t>
      </w:r>
      <w:r>
        <w:rPr>
          <w:snapToGrid w:val="0"/>
        </w:rPr>
        <w:t>.</w:t>
      </w:r>
      <w:r>
        <w:rPr>
          <w:snapToGrid w:val="0"/>
        </w:rPr>
        <w:tab/>
        <w:t>Draft statement of corporate intent to be submitted to Minister</w:t>
      </w:r>
      <w:r>
        <w:tab/>
      </w:r>
      <w:r>
        <w:fldChar w:fldCharType="begin"/>
      </w:r>
      <w:r>
        <w:instrText xml:space="preserve"> PAGEREF _Toc388862866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Period to which statement of corporate intent relates</w:t>
      </w:r>
      <w:r>
        <w:tab/>
      </w:r>
      <w:r>
        <w:fldChar w:fldCharType="begin"/>
      </w:r>
      <w:r>
        <w:instrText xml:space="preserve"> PAGEREF _Toc388862867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Matters to be included in statement of corporate intent</w:t>
      </w:r>
      <w:r>
        <w:tab/>
      </w:r>
      <w:r>
        <w:fldChar w:fldCharType="begin"/>
      </w:r>
      <w:r>
        <w:instrText xml:space="preserve"> PAGEREF _Toc388862868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Statement of corporate intent to be agreed if possible</w:t>
      </w:r>
      <w:r>
        <w:tab/>
      </w:r>
      <w:r>
        <w:fldChar w:fldCharType="begin"/>
      </w:r>
      <w:r>
        <w:instrText xml:space="preserve"> PAGEREF _Toc388862869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Minister’s powers in relation to draft statement of corporate intent</w:t>
      </w:r>
      <w:r>
        <w:tab/>
      </w:r>
      <w:r>
        <w:fldChar w:fldCharType="begin"/>
      </w:r>
      <w:r>
        <w:instrText xml:space="preserve"> PAGEREF _Toc388862870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Statement of corporate intent pending agreement</w:t>
      </w:r>
      <w:r>
        <w:tab/>
      </w:r>
      <w:r>
        <w:fldChar w:fldCharType="begin"/>
      </w:r>
      <w:r>
        <w:instrText xml:space="preserve"> PAGEREF _Toc388862871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Agreed draft becomes statement of corporate intent</w:t>
      </w:r>
      <w:r>
        <w:tab/>
      </w:r>
      <w:r>
        <w:fldChar w:fldCharType="begin"/>
      </w:r>
      <w:r>
        <w:instrText xml:space="preserve"> PAGEREF _Toc388862872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Modifying statement of corporate intent</w:t>
      </w:r>
      <w:r>
        <w:tab/>
      </w:r>
      <w:r>
        <w:fldChar w:fldCharType="begin"/>
      </w:r>
      <w:r>
        <w:instrText xml:space="preserve"> PAGEREF _Toc388862873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Treasurer’s concurrence needed by Minister for s. 64 and 65</w:t>
      </w:r>
      <w:r>
        <w:tab/>
      </w:r>
      <w:r>
        <w:fldChar w:fldCharType="begin"/>
      </w:r>
      <w:r>
        <w:instrText xml:space="preserve"> PAGEREF _Toc388862874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67</w:t>
      </w:r>
      <w:r>
        <w:rPr>
          <w:snapToGrid w:val="0"/>
        </w:rPr>
        <w:t>.</w:t>
      </w:r>
      <w:r>
        <w:rPr>
          <w:snapToGrid w:val="0"/>
        </w:rPr>
        <w:tab/>
        <w:t>Half</w:t>
      </w:r>
      <w:r>
        <w:rPr>
          <w:snapToGrid w:val="0"/>
        </w:rPr>
        <w:noBreakHyphen/>
        <w:t>yearly reports</w:t>
      </w:r>
      <w:r>
        <w:tab/>
      </w:r>
      <w:r>
        <w:fldChar w:fldCharType="begin"/>
      </w:r>
      <w:r>
        <w:instrText xml:space="preserve"> PAGEREF _Toc388862876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Annual reports</w:t>
      </w:r>
      <w:r>
        <w:tab/>
      </w:r>
      <w:r>
        <w:fldChar w:fldCharType="begin"/>
      </w:r>
      <w:r>
        <w:instrText xml:space="preserve"> PAGEREF _Toc388862877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Annual reports, contents of</w:t>
      </w:r>
      <w:r>
        <w:tab/>
      </w:r>
      <w:r>
        <w:fldChar w:fldCharType="begin"/>
      </w:r>
      <w:r>
        <w:instrText xml:space="preserve"> PAGEREF _Toc388862878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Commercially sensitive matters, deletion of from reports</w:t>
      </w:r>
      <w:r>
        <w:tab/>
      </w:r>
      <w:r>
        <w:fldChar w:fldCharType="begin"/>
      </w:r>
      <w:r>
        <w:instrText xml:space="preserve"> PAGEREF _Toc388862879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Ministerial directions, general provisions</w:t>
      </w:r>
    </w:p>
    <w:p>
      <w:pPr>
        <w:pStyle w:val="TOC8"/>
        <w:rPr>
          <w:rFonts w:asciiTheme="minorHAnsi" w:eastAsiaTheme="minorEastAsia" w:hAnsiTheme="minorHAnsi" w:cstheme="minorBidi"/>
          <w:szCs w:val="22"/>
        </w:rPr>
      </w:pPr>
      <w:r>
        <w:t>71</w:t>
      </w:r>
      <w:r>
        <w:rPr>
          <w:snapToGrid w:val="0"/>
        </w:rPr>
        <w:t>.</w:t>
      </w:r>
      <w:r>
        <w:rPr>
          <w:snapToGrid w:val="0"/>
        </w:rPr>
        <w:tab/>
        <w:t>Which directions port authority obliged to obey</w:t>
      </w:r>
      <w:r>
        <w:tab/>
      </w:r>
      <w:r>
        <w:fldChar w:fldCharType="begin"/>
      </w:r>
      <w:r>
        <w:instrText xml:space="preserve"> PAGEREF _Toc388862881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Minister may give directions</w:t>
      </w:r>
      <w:r>
        <w:tab/>
      </w:r>
      <w:r>
        <w:fldChar w:fldCharType="begin"/>
      </w:r>
      <w:r>
        <w:instrText xml:space="preserve"> PAGEREF _Toc388862882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When s. 72(1) direction takes effect</w:t>
      </w:r>
      <w:r>
        <w:tab/>
      </w:r>
      <w:r>
        <w:fldChar w:fldCharType="begin"/>
      </w:r>
      <w:r>
        <w:instrText xml:space="preserve"> PAGEREF _Toc388862883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Consultation and provision of information</w:t>
      </w:r>
    </w:p>
    <w:p>
      <w:pPr>
        <w:pStyle w:val="TOC8"/>
        <w:rPr>
          <w:rFonts w:asciiTheme="minorHAnsi" w:eastAsiaTheme="minorEastAsia" w:hAnsiTheme="minorHAnsi" w:cstheme="minorBidi"/>
          <w:szCs w:val="22"/>
        </w:rPr>
      </w:pPr>
      <w:r>
        <w:t>74</w:t>
      </w:r>
      <w:r>
        <w:rPr>
          <w:snapToGrid w:val="0"/>
        </w:rPr>
        <w:t>.</w:t>
      </w:r>
      <w:r>
        <w:rPr>
          <w:snapToGrid w:val="0"/>
        </w:rPr>
        <w:tab/>
        <w:t>Consultation between board and Minister</w:t>
      </w:r>
      <w:r>
        <w:tab/>
      </w:r>
      <w:r>
        <w:fldChar w:fldCharType="begin"/>
      </w:r>
      <w:r>
        <w:instrText xml:space="preserve"> PAGEREF _Toc388862885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Minister to have access to information</w:t>
      </w:r>
      <w:r>
        <w:tab/>
      </w:r>
      <w:r>
        <w:fldChar w:fldCharType="begin"/>
      </w:r>
      <w:r>
        <w:instrText xml:space="preserve"> PAGEREF _Toc388862886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Minister to be kept informed</w:t>
      </w:r>
      <w:r>
        <w:tab/>
      </w:r>
      <w:r>
        <w:fldChar w:fldCharType="begin"/>
      </w:r>
      <w:r>
        <w:instrText xml:space="preserve"> PAGEREF _Toc388862887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Financial difficulty, board to notify Minister of etc.</w:t>
      </w:r>
      <w:r>
        <w:tab/>
      </w:r>
      <w:r>
        <w:fldChar w:fldCharType="begin"/>
      </w:r>
      <w:r>
        <w:instrText xml:space="preserve"> PAGEREF _Toc388862888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xml:space="preserve"> — </w:t>
      </w:r>
      <w:r>
        <w:t>Protection from liability</w:t>
      </w:r>
    </w:p>
    <w:p>
      <w:pPr>
        <w:pStyle w:val="TOC8"/>
        <w:rPr>
          <w:rFonts w:asciiTheme="minorHAnsi" w:eastAsiaTheme="minorEastAsia" w:hAnsiTheme="minorHAnsi" w:cstheme="minorBidi"/>
          <w:szCs w:val="22"/>
        </w:rPr>
      </w:pPr>
      <w:r>
        <w:t>78</w:t>
      </w:r>
      <w:r>
        <w:rPr>
          <w:snapToGrid w:val="0"/>
        </w:rPr>
        <w:t>.</w:t>
      </w:r>
      <w:r>
        <w:rPr>
          <w:snapToGrid w:val="0"/>
        </w:rPr>
        <w:tab/>
        <w:t>No liability for things done under this Part</w:t>
      </w:r>
      <w:r>
        <w:tab/>
      </w:r>
      <w:r>
        <w:fldChar w:fldCharType="begin"/>
      </w:r>
      <w:r>
        <w:instrText xml:space="preserve"> PAGEREF _Toc388862890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Financial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79</w:t>
      </w:r>
      <w:r>
        <w:rPr>
          <w:snapToGrid w:val="0"/>
        </w:rPr>
        <w:t>.</w:t>
      </w:r>
      <w:r>
        <w:rPr>
          <w:snapToGrid w:val="0"/>
        </w:rPr>
        <w:tab/>
        <w:t>Bank account</w:t>
      </w:r>
      <w:r>
        <w:tab/>
      </w:r>
      <w:r>
        <w:fldChar w:fldCharType="begin"/>
      </w:r>
      <w:r>
        <w:instrText xml:space="preserve"> PAGEREF _Toc388862893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Investing funds</w:t>
      </w:r>
      <w:r>
        <w:tab/>
      </w:r>
      <w:r>
        <w:fldChar w:fldCharType="begin"/>
      </w:r>
      <w:r>
        <w:instrText xml:space="preserve"> PAGEREF _Toc388862894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Exemption from rates</w:t>
      </w:r>
      <w:r>
        <w:tab/>
      </w:r>
      <w:r>
        <w:fldChar w:fldCharType="begin"/>
      </w:r>
      <w:r>
        <w:instrText xml:space="preserve"> PAGEREF _Toc388862895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Payments to State</w:t>
      </w:r>
    </w:p>
    <w:p>
      <w:pPr>
        <w:pStyle w:val="TOC8"/>
        <w:rPr>
          <w:rFonts w:asciiTheme="minorHAnsi" w:eastAsiaTheme="minorEastAsia" w:hAnsiTheme="minorHAnsi" w:cstheme="minorBidi"/>
          <w:szCs w:val="22"/>
        </w:rPr>
      </w:pPr>
      <w:r>
        <w:t>82</w:t>
      </w:r>
      <w:r>
        <w:rPr>
          <w:snapToGrid w:val="0"/>
        </w:rPr>
        <w:t>.</w:t>
      </w:r>
      <w:r>
        <w:rPr>
          <w:snapToGrid w:val="0"/>
        </w:rPr>
        <w:tab/>
        <w:t>Payment of amount in lieu of rates</w:t>
      </w:r>
      <w:r>
        <w:tab/>
      </w:r>
      <w:r>
        <w:fldChar w:fldCharType="begin"/>
      </w:r>
      <w:r>
        <w:instrText xml:space="preserve"> PAGEREF _Toc388862897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Determining amounts under s. 82</w:t>
      </w:r>
      <w:r>
        <w:tab/>
      </w:r>
      <w:r>
        <w:fldChar w:fldCharType="begin"/>
      </w:r>
      <w:r>
        <w:instrText xml:space="preserve"> PAGEREF _Toc388862898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Dividends</w:t>
      </w:r>
      <w:r>
        <w:tab/>
      </w:r>
      <w:r>
        <w:fldChar w:fldCharType="begin"/>
      </w:r>
      <w:r>
        <w:instrText xml:space="preserve"> PAGEREF _Toc388862899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Borrowing</w:t>
      </w:r>
    </w:p>
    <w:p>
      <w:pPr>
        <w:pStyle w:val="TOC8"/>
        <w:rPr>
          <w:rFonts w:asciiTheme="minorHAnsi" w:eastAsiaTheme="minorEastAsia" w:hAnsiTheme="minorHAnsi" w:cstheme="minorBidi"/>
          <w:szCs w:val="22"/>
        </w:rPr>
      </w:pPr>
      <w:r>
        <w:t>85</w:t>
      </w:r>
      <w:r>
        <w:rPr>
          <w:snapToGrid w:val="0"/>
        </w:rPr>
        <w:t>.</w:t>
      </w:r>
      <w:r>
        <w:rPr>
          <w:snapToGrid w:val="0"/>
        </w:rPr>
        <w:tab/>
        <w:t>Borrowing powers</w:t>
      </w:r>
      <w:r>
        <w:tab/>
      </w:r>
      <w:r>
        <w:fldChar w:fldCharType="begin"/>
      </w:r>
      <w:r>
        <w:instrText xml:space="preserve"> PAGEREF _Toc388862901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Borrowing limits</w:t>
      </w:r>
      <w:r>
        <w:tab/>
      </w:r>
      <w:r>
        <w:fldChar w:fldCharType="begin"/>
      </w:r>
      <w:r>
        <w:instrText xml:space="preserve"> PAGEREF _Toc388862902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Hedging transactions</w:t>
      </w:r>
      <w:r>
        <w:tab/>
      </w:r>
      <w:r>
        <w:fldChar w:fldCharType="begin"/>
      </w:r>
      <w:r>
        <w:instrText xml:space="preserve"> PAGEREF _Toc388862903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88</w:t>
      </w:r>
      <w:r>
        <w:rPr>
          <w:snapToGrid w:val="0"/>
        </w:rPr>
        <w:t>.</w:t>
      </w:r>
      <w:r>
        <w:rPr>
          <w:snapToGrid w:val="0"/>
        </w:rPr>
        <w:tab/>
        <w:t>Guarantees by Treasurer</w:t>
      </w:r>
      <w:r>
        <w:tab/>
      </w:r>
      <w:r>
        <w:fldChar w:fldCharType="begin"/>
      </w:r>
      <w:r>
        <w:instrText xml:space="preserve"> PAGEREF _Toc388862905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Charges for Treasurer’s guarantee</w:t>
      </w:r>
      <w:r>
        <w:tab/>
      </w:r>
      <w:r>
        <w:fldChar w:fldCharType="begin"/>
      </w:r>
      <w:r>
        <w:instrText xml:space="preserve"> PAGEREF _Toc388862906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Financial administration and audit</w:t>
      </w:r>
    </w:p>
    <w:p>
      <w:pPr>
        <w:pStyle w:val="TOC8"/>
        <w:rPr>
          <w:rFonts w:asciiTheme="minorHAnsi" w:eastAsiaTheme="minorEastAsia" w:hAnsiTheme="minorHAnsi" w:cstheme="minorBidi"/>
          <w:szCs w:val="22"/>
        </w:rPr>
      </w:pPr>
      <w:r>
        <w:t>90</w:t>
      </w:r>
      <w:r>
        <w:rPr>
          <w:snapToGrid w:val="0"/>
        </w:rPr>
        <w:t>.</w:t>
      </w:r>
      <w:r>
        <w:rPr>
          <w:snapToGrid w:val="0"/>
        </w:rPr>
        <w:tab/>
      </w:r>
      <w:r>
        <w:rPr>
          <w:i/>
        </w:rPr>
        <w:t>Financial Management Act 2006</w:t>
      </w:r>
      <w:r>
        <w:t xml:space="preserve"> and </w:t>
      </w:r>
      <w:r>
        <w:rPr>
          <w:i/>
        </w:rPr>
        <w:t>Auditor General Act 2006</w:t>
      </w:r>
      <w:r>
        <w:t>, limited application of</w:t>
      </w:r>
      <w:r>
        <w:tab/>
      </w:r>
      <w:r>
        <w:fldChar w:fldCharType="begin"/>
      </w:r>
      <w:r>
        <w:instrText xml:space="preserve"> PAGEREF _Toc388862908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Financial administration and audit (Sch. 5)</w:t>
      </w:r>
      <w:r>
        <w:tab/>
      </w:r>
      <w:r>
        <w:fldChar w:fldCharType="begin"/>
      </w:r>
      <w:r>
        <w:instrText xml:space="preserve"> PAGEREF _Toc388862909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xml:space="preserve"> — </w:t>
      </w:r>
      <w:r>
        <w:t>Financial targets</w:t>
      </w:r>
    </w:p>
    <w:p>
      <w:pPr>
        <w:pStyle w:val="TOC8"/>
        <w:rPr>
          <w:rFonts w:asciiTheme="minorHAnsi" w:eastAsiaTheme="minorEastAsia" w:hAnsiTheme="minorHAnsi" w:cstheme="minorBidi"/>
          <w:szCs w:val="22"/>
        </w:rPr>
      </w:pPr>
      <w:r>
        <w:t>92</w:t>
      </w:r>
      <w:r>
        <w:rPr>
          <w:snapToGrid w:val="0"/>
        </w:rPr>
        <w:t>.</w:t>
      </w:r>
      <w:r>
        <w:rPr>
          <w:snapToGrid w:val="0"/>
        </w:rPr>
        <w:tab/>
        <w:t>Annual financial targets, Minister may set</w:t>
      </w:r>
      <w:r>
        <w:tab/>
      </w:r>
      <w:r>
        <w:fldChar w:fldCharType="begin"/>
      </w:r>
      <w:r>
        <w:instrText xml:space="preserve"> PAGEREF _Toc388862911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Navigation and port matters</w:t>
      </w:r>
    </w:p>
    <w:p>
      <w:pPr>
        <w:pStyle w:val="TOC4"/>
        <w:tabs>
          <w:tab w:val="right" w:leader="dot" w:pos="7086"/>
        </w:tabs>
        <w:rPr>
          <w:rFonts w:asciiTheme="minorHAnsi" w:eastAsiaTheme="minorEastAsia" w:hAnsiTheme="minorHAnsi" w:cstheme="minorBidi"/>
          <w:b w:val="0"/>
          <w:szCs w:val="22"/>
        </w:rPr>
      </w:pPr>
      <w:r>
        <w:t>Division 1 — Navigational aids</w:t>
      </w:r>
    </w:p>
    <w:p>
      <w:pPr>
        <w:pStyle w:val="TOC8"/>
        <w:rPr>
          <w:rFonts w:asciiTheme="minorHAnsi" w:eastAsiaTheme="minorEastAsia" w:hAnsiTheme="minorHAnsi" w:cstheme="minorBidi"/>
          <w:szCs w:val="22"/>
        </w:rPr>
      </w:pPr>
      <w:r>
        <w:t>93</w:t>
      </w:r>
      <w:r>
        <w:rPr>
          <w:snapToGrid w:val="0"/>
        </w:rPr>
        <w:t>.</w:t>
      </w:r>
      <w:r>
        <w:rPr>
          <w:snapToGrid w:val="0"/>
        </w:rPr>
        <w:tab/>
        <w:t>Port authority may provide etc. navigational aids etc.</w:t>
      </w:r>
      <w:r>
        <w:tab/>
      </w:r>
      <w:r>
        <w:fldChar w:fldCharType="begin"/>
      </w:r>
      <w:r>
        <w:instrText xml:space="preserve"> PAGEREF _Toc388862914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Interference with navigational aids, offence</w:t>
      </w:r>
      <w:r>
        <w:tab/>
      </w:r>
      <w:r>
        <w:fldChar w:fldCharType="begin"/>
      </w:r>
      <w:r>
        <w:instrText xml:space="preserve"> PAGEREF _Toc388862915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Pilotage</w:t>
      </w:r>
    </w:p>
    <w:p>
      <w:pPr>
        <w:pStyle w:val="TOC8"/>
        <w:rPr>
          <w:rFonts w:asciiTheme="minorHAnsi" w:eastAsiaTheme="minorEastAsia" w:hAnsiTheme="minorHAnsi" w:cstheme="minorBidi"/>
          <w:szCs w:val="22"/>
        </w:rPr>
      </w:pPr>
      <w:r>
        <w:t>95</w:t>
      </w:r>
      <w:r>
        <w:rPr>
          <w:snapToGrid w:val="0"/>
        </w:rPr>
        <w:t>.</w:t>
      </w:r>
      <w:r>
        <w:rPr>
          <w:snapToGrid w:val="0"/>
        </w:rPr>
        <w:tab/>
        <w:t>Terms used in, and application of, this Division</w:t>
      </w:r>
      <w:r>
        <w:tab/>
      </w:r>
      <w:r>
        <w:fldChar w:fldCharType="begin"/>
      </w:r>
      <w:r>
        <w:instrText xml:space="preserve"> PAGEREF _Toc388862917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Port authority to approve pilots and ensure pilotage services are provided</w:t>
      </w:r>
      <w:r>
        <w:tab/>
      </w:r>
      <w:r>
        <w:fldChar w:fldCharType="begin"/>
      </w:r>
      <w:r>
        <w:instrText xml:space="preserve"> PAGEREF _Toc388862918 \h </w:instrText>
      </w:r>
      <w:r>
        <w:fldChar w:fldCharType="separate"/>
      </w:r>
      <w:r>
        <w:t>60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Pilotage compulsory in ports</w:t>
      </w:r>
      <w:r>
        <w:tab/>
      </w:r>
      <w:r>
        <w:fldChar w:fldCharType="begin"/>
      </w:r>
      <w:r>
        <w:instrText xml:space="preserve"> PAGEREF _Toc388862919 \h </w:instrText>
      </w:r>
      <w:r>
        <w:fldChar w:fldCharType="separate"/>
      </w:r>
      <w:r>
        <w:t>61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Pilot under authority of master</w:t>
      </w:r>
      <w:r>
        <w:tab/>
      </w:r>
      <w:r>
        <w:fldChar w:fldCharType="begin"/>
      </w:r>
      <w:r>
        <w:instrText xml:space="preserve"> PAGEREF _Toc388862920 \h </w:instrText>
      </w:r>
      <w:r>
        <w:fldChar w:fldCharType="separate"/>
      </w:r>
      <w:r>
        <w:t>62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owner or master of piloted vessel</w:t>
      </w:r>
      <w:r>
        <w:tab/>
      </w:r>
      <w:r>
        <w:fldChar w:fldCharType="begin"/>
      </w:r>
      <w:r>
        <w:instrText xml:space="preserve"> PAGEREF _Toc388862921 \h </w:instrText>
      </w:r>
      <w:r>
        <w:fldChar w:fldCharType="separate"/>
      </w:r>
      <w:r>
        <w:t>62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Immunity from liability for pilot’s negligence</w:t>
      </w:r>
      <w:r>
        <w:tab/>
      </w:r>
      <w:r>
        <w:fldChar w:fldCharType="begin"/>
      </w:r>
      <w:r>
        <w:instrText xml:space="preserve"> PAGEREF _Toc388862922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Harbour masters</w:t>
      </w:r>
    </w:p>
    <w:p>
      <w:pPr>
        <w:pStyle w:val="TOC8"/>
        <w:rPr>
          <w:rFonts w:asciiTheme="minorHAnsi" w:eastAsiaTheme="minorEastAsia" w:hAnsiTheme="minorHAnsi" w:cstheme="minorBidi"/>
          <w:szCs w:val="22"/>
        </w:rPr>
      </w:pPr>
      <w:r>
        <w:t>101</w:t>
      </w:r>
      <w:r>
        <w:rPr>
          <w:snapToGrid w:val="0"/>
        </w:rPr>
        <w:t>.</w:t>
      </w:r>
      <w:r>
        <w:rPr>
          <w:snapToGrid w:val="0"/>
        </w:rPr>
        <w:tab/>
        <w:t>Port includes other declared areas</w:t>
      </w:r>
      <w:r>
        <w:tab/>
      </w:r>
      <w:r>
        <w:fldChar w:fldCharType="begin"/>
      </w:r>
      <w:r>
        <w:instrText xml:space="preserve"> PAGEREF _Toc388862924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Appointment of harbour master and deputy harbour master etc.</w:t>
      </w:r>
      <w:r>
        <w:tab/>
      </w:r>
      <w:r>
        <w:fldChar w:fldCharType="begin"/>
      </w:r>
      <w:r>
        <w:instrText xml:space="preserve"> PAGEREF _Toc388862925 \h </w:instrText>
      </w:r>
      <w:r>
        <w:fldChar w:fldCharType="separate"/>
      </w:r>
      <w:r>
        <w:t>63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Functions of harbour master</w:t>
      </w:r>
      <w:r>
        <w:tab/>
      </w:r>
      <w:r>
        <w:fldChar w:fldCharType="begin"/>
      </w:r>
      <w:r>
        <w:instrText xml:space="preserve"> PAGEREF _Toc388862926 \h </w:instrText>
      </w:r>
      <w:r>
        <w:fldChar w:fldCharType="separate"/>
      </w:r>
      <w:r>
        <w:t>64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Directions to masters etc.</w:t>
      </w:r>
      <w:r>
        <w:tab/>
      </w:r>
      <w:r>
        <w:fldChar w:fldCharType="begin"/>
      </w:r>
      <w:r>
        <w:instrText xml:space="preserve"> PAGEREF _Toc388862927 \h </w:instrText>
      </w:r>
      <w:r>
        <w:fldChar w:fldCharType="separate"/>
      </w:r>
      <w:r>
        <w:t>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Directions as to dangerous things</w:t>
      </w:r>
      <w:r>
        <w:tab/>
      </w:r>
      <w:r>
        <w:fldChar w:fldCharType="begin"/>
      </w:r>
      <w:r>
        <w:instrText xml:space="preserve"> PAGEREF _Toc388862928 \h </w:instrText>
      </w:r>
      <w:r>
        <w:fldChar w:fldCharType="separate"/>
      </w:r>
      <w:r>
        <w:t>65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 on power to order removal of vessels or dangerous things</w:t>
      </w:r>
      <w:r>
        <w:tab/>
      </w:r>
      <w:r>
        <w:fldChar w:fldCharType="begin"/>
      </w:r>
      <w:r>
        <w:instrText xml:space="preserve"> PAGEREF _Toc388862929 \h </w:instrText>
      </w:r>
      <w:r>
        <w:fldChar w:fldCharType="separate"/>
      </w:r>
      <w:r>
        <w:t>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Ownerless vessels and dangerous things, removal of</w:t>
      </w:r>
      <w:r>
        <w:tab/>
      </w:r>
      <w:r>
        <w:fldChar w:fldCharType="begin"/>
      </w:r>
      <w:r>
        <w:instrText xml:space="preserve"> PAGEREF _Toc388862930 \h </w:instrText>
      </w:r>
      <w:r>
        <w:fldChar w:fldCharType="separate"/>
      </w:r>
      <w:r>
        <w:t>66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Not obeying s. 104 or 106 direction, offence</w:t>
      </w:r>
      <w:r>
        <w:tab/>
      </w:r>
      <w:r>
        <w:fldChar w:fldCharType="begin"/>
      </w:r>
      <w:r>
        <w:instrText xml:space="preserve"> PAGEREF _Toc388862931 \h </w:instrText>
      </w:r>
      <w:r>
        <w:fldChar w:fldCharType="separate"/>
      </w:r>
      <w:r>
        <w:t>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Powers if direction not obeyed</w:t>
      </w:r>
      <w:r>
        <w:tab/>
      </w:r>
      <w:r>
        <w:fldChar w:fldCharType="begin"/>
      </w:r>
      <w:r>
        <w:instrText xml:space="preserve"> PAGEREF _Toc388862932 \h </w:instrText>
      </w:r>
      <w:r>
        <w:fldChar w:fldCharType="separate"/>
      </w:r>
      <w:r>
        <w:t>66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Recovering port authority’s s. 107 costs</w:t>
      </w:r>
      <w:r>
        <w:tab/>
      </w:r>
      <w:r>
        <w:fldChar w:fldCharType="begin"/>
      </w:r>
      <w:r>
        <w:instrText xml:space="preserve"> PAGEREF _Toc388862933 \h </w:instrText>
      </w:r>
      <w:r>
        <w:fldChar w:fldCharType="separate"/>
      </w:r>
      <w:r>
        <w:t>66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Immunity from liability for acts under this Division</w:t>
      </w:r>
      <w:r>
        <w:tab/>
      </w:r>
      <w:r>
        <w:fldChar w:fldCharType="begin"/>
      </w:r>
      <w:r>
        <w:instrText xml:space="preserve"> PAGEREF _Toc388862934 \h </w:instrText>
      </w:r>
      <w:r>
        <w:fldChar w:fldCharType="separate"/>
      </w:r>
      <w:r>
        <w:t>67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Hindering harbour master etc., offence</w:t>
      </w:r>
      <w:r>
        <w:tab/>
      </w:r>
      <w:r>
        <w:fldChar w:fldCharType="begin"/>
      </w:r>
      <w:r>
        <w:instrText xml:space="preserve"> PAGEREF _Toc388862935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Damage in a port caused by vessels etc.</w:t>
      </w:r>
    </w:p>
    <w:p>
      <w:pPr>
        <w:pStyle w:val="TOC8"/>
        <w:rPr>
          <w:rFonts w:asciiTheme="minorHAnsi" w:eastAsiaTheme="minorEastAsia" w:hAnsiTheme="minorHAnsi" w:cstheme="minorBidi"/>
          <w:szCs w:val="22"/>
        </w:rPr>
      </w:pPr>
      <w:r>
        <w:t>113</w:t>
      </w:r>
      <w:r>
        <w:rPr>
          <w:snapToGrid w:val="0"/>
        </w:rPr>
        <w:t>.</w:t>
      </w:r>
      <w:r>
        <w:rPr>
          <w:snapToGrid w:val="0"/>
        </w:rPr>
        <w:tab/>
        <w:t>Responsibility for damage to port facilities or property</w:t>
      </w:r>
      <w:r>
        <w:tab/>
      </w:r>
      <w:r>
        <w:fldChar w:fldCharType="begin"/>
      </w:r>
      <w:r>
        <w:instrText xml:space="preserve"> PAGEREF _Toc388862937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Port safety</w:t>
      </w:r>
    </w:p>
    <w:p>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_Toc388862939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 — Powers of police officers and others</w:t>
      </w:r>
    </w:p>
    <w:p>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_Toc388862941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_Toc388862943 \h </w:instrText>
      </w:r>
      <w:r>
        <w:fldChar w:fldCharType="separate"/>
      </w:r>
      <w:r>
        <w:t>70</w:t>
      </w:r>
      <w:r>
        <w:fldChar w:fldCharType="end"/>
      </w:r>
    </w:p>
    <w:p>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_Toc388862944 \h </w:instrText>
      </w:r>
      <w:r>
        <w:fldChar w:fldCharType="separate"/>
      </w:r>
      <w:r>
        <w:t>71</w:t>
      </w:r>
      <w:r>
        <w:fldChar w:fldCharType="end"/>
      </w:r>
    </w:p>
    <w:p>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_Toc388862945 \h </w:instrText>
      </w:r>
      <w:r>
        <w:fldChar w:fldCharType="separate"/>
      </w:r>
      <w:r>
        <w:t>71</w:t>
      </w:r>
      <w:r>
        <w:fldChar w:fldCharType="end"/>
      </w:r>
    </w:p>
    <w:p>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_Toc388862946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8 — Port charges</w:t>
      </w:r>
    </w:p>
    <w:p>
      <w:pPr>
        <w:pStyle w:val="TOC8"/>
        <w:rPr>
          <w:rFonts w:asciiTheme="minorHAnsi" w:eastAsiaTheme="minorEastAsia" w:hAnsiTheme="minorHAnsi" w:cstheme="minorBidi"/>
          <w:szCs w:val="22"/>
        </w:rPr>
      </w:pPr>
      <w:r>
        <w:t>115</w:t>
      </w:r>
      <w:r>
        <w:rPr>
          <w:snapToGrid w:val="0"/>
        </w:rPr>
        <w:t>.</w:t>
      </w:r>
      <w:r>
        <w:rPr>
          <w:snapToGrid w:val="0"/>
        </w:rPr>
        <w:tab/>
        <w:t>Term used: port charges; application of this Part</w:t>
      </w:r>
      <w:r>
        <w:tab/>
      </w:r>
      <w:r>
        <w:fldChar w:fldCharType="begin"/>
      </w:r>
      <w:r>
        <w:instrText xml:space="preserve"> PAGEREF _Toc388862948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Liability to pay port charges in respect of vessels</w:t>
      </w:r>
      <w:r>
        <w:tab/>
      </w:r>
      <w:r>
        <w:fldChar w:fldCharType="begin"/>
      </w:r>
      <w:r>
        <w:instrText xml:space="preserve"> PAGEREF _Toc388862949 \h </w:instrText>
      </w:r>
      <w:r>
        <w:fldChar w:fldCharType="separate"/>
      </w:r>
      <w:r>
        <w:t>73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to pay port charges in respect of goods</w:t>
      </w:r>
      <w:r>
        <w:tab/>
      </w:r>
      <w:r>
        <w:fldChar w:fldCharType="begin"/>
      </w:r>
      <w:r>
        <w:instrText xml:space="preserve"> PAGEREF _Toc388862950 \h </w:instrText>
      </w:r>
      <w:r>
        <w:fldChar w:fldCharType="separate"/>
      </w:r>
      <w:r>
        <w:t>73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Recovery of port charges by port authority</w:t>
      </w:r>
      <w:r>
        <w:tab/>
      </w:r>
      <w:r>
        <w:fldChar w:fldCharType="begin"/>
      </w:r>
      <w:r>
        <w:instrText xml:space="preserve"> PAGEREF _Toc388862951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Collectors of port charges</w:t>
      </w:r>
      <w:r>
        <w:tab/>
      </w:r>
      <w:r>
        <w:fldChar w:fldCharType="begin"/>
      </w:r>
      <w:r>
        <w:instrText xml:space="preserve"> PAGEREF _Toc388862952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 — Proceedings for offences</w:t>
      </w:r>
    </w:p>
    <w:p>
      <w:pPr>
        <w:pStyle w:val="TOC4"/>
        <w:tabs>
          <w:tab w:val="right" w:leader="dot" w:pos="7086"/>
        </w:tabs>
        <w:rPr>
          <w:rFonts w:asciiTheme="minorHAnsi" w:eastAsiaTheme="minorEastAsia" w:hAnsiTheme="minorHAnsi" w:cstheme="minorBidi"/>
          <w:b w:val="0"/>
          <w:szCs w:val="22"/>
        </w:rPr>
      </w:pPr>
      <w:r>
        <w:t xml:space="preserve">Division 1 </w:t>
      </w:r>
      <w:r>
        <w:rPr>
          <w:snapToGrid w:val="0"/>
        </w:rPr>
        <w:t>— </w:t>
      </w:r>
      <w:r>
        <w:t>General</w:t>
      </w:r>
    </w:p>
    <w:p>
      <w:pPr>
        <w:pStyle w:val="TOC8"/>
        <w:rPr>
          <w:rFonts w:asciiTheme="minorHAnsi" w:eastAsiaTheme="minorEastAsia" w:hAnsiTheme="minorHAnsi" w:cstheme="minorBidi"/>
          <w:szCs w:val="22"/>
        </w:rPr>
      </w:pPr>
      <w:r>
        <w:t>120</w:t>
      </w:r>
      <w:r>
        <w:rPr>
          <w:snapToGrid w:val="0"/>
        </w:rPr>
        <w:t>.</w:t>
      </w:r>
      <w:r>
        <w:rPr>
          <w:snapToGrid w:val="0"/>
        </w:rPr>
        <w:tab/>
        <w:t>Who can commence prosecutions</w:t>
      </w:r>
      <w:r>
        <w:tab/>
      </w:r>
      <w:r>
        <w:fldChar w:fldCharType="begin"/>
      </w:r>
      <w:r>
        <w:instrText xml:space="preserve"> PAGEREF _Toc388862955 \h </w:instrText>
      </w:r>
      <w:r>
        <w:fldChar w:fldCharType="separate"/>
      </w:r>
      <w:r>
        <w:t>75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Time limit for prosecutions</w:t>
      </w:r>
      <w:r>
        <w:tab/>
      </w:r>
      <w:r>
        <w:fldChar w:fldCharType="begin"/>
      </w:r>
      <w:r>
        <w:instrText xml:space="preserve"> PAGEREF _Toc388862956 \h </w:instrText>
      </w:r>
      <w:r>
        <w:fldChar w:fldCharType="separate"/>
      </w:r>
      <w:r>
        <w:t>75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Averment as to place of offence</w:t>
      </w:r>
      <w:r>
        <w:tab/>
      </w:r>
      <w:r>
        <w:fldChar w:fldCharType="begin"/>
      </w:r>
      <w:r>
        <w:instrText xml:space="preserve"> PAGEREF _Toc388862957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Infringement notices</w:t>
      </w:r>
    </w:p>
    <w:p>
      <w:pPr>
        <w:pStyle w:val="TOC8"/>
        <w:rPr>
          <w:rFonts w:asciiTheme="minorHAnsi" w:eastAsiaTheme="minorEastAsia" w:hAnsiTheme="minorHAnsi" w:cstheme="minorBidi"/>
          <w:szCs w:val="22"/>
        </w:rPr>
      </w:pPr>
      <w:r>
        <w:t>123</w:t>
      </w:r>
      <w:r>
        <w:rPr>
          <w:snapToGrid w:val="0"/>
        </w:rPr>
        <w:t>.</w:t>
      </w:r>
      <w:r>
        <w:rPr>
          <w:snapToGrid w:val="0"/>
        </w:rPr>
        <w:tab/>
        <w:t>Terms used</w:t>
      </w:r>
      <w:r>
        <w:tab/>
      </w:r>
      <w:r>
        <w:fldChar w:fldCharType="begin"/>
      </w:r>
      <w:r>
        <w:instrText xml:space="preserve"> PAGEREF _Toc388862959 \h </w:instrText>
      </w:r>
      <w:r>
        <w:fldChar w:fldCharType="separate"/>
      </w:r>
      <w:r>
        <w:t>76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Giving of notice</w:t>
      </w:r>
      <w:r>
        <w:tab/>
      </w:r>
      <w:r>
        <w:fldChar w:fldCharType="begin"/>
      </w:r>
      <w:r>
        <w:instrText xml:space="preserve"> PAGEREF _Toc388862960 \h </w:instrText>
      </w:r>
      <w:r>
        <w:fldChar w:fldCharType="separate"/>
      </w:r>
      <w:r>
        <w:t>76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Content of notice</w:t>
      </w:r>
      <w:r>
        <w:tab/>
      </w:r>
      <w:r>
        <w:fldChar w:fldCharType="begin"/>
      </w:r>
      <w:r>
        <w:instrText xml:space="preserve"> PAGEREF _Toc388862961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Extending time for paying modified penalty</w:t>
      </w:r>
      <w:r>
        <w:tab/>
      </w:r>
      <w:r>
        <w:fldChar w:fldCharType="begin"/>
      </w:r>
      <w:r>
        <w:instrText xml:space="preserve"> PAGEREF _Toc388862962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Withdrawing notice</w:t>
      </w:r>
      <w:r>
        <w:tab/>
      </w:r>
      <w:r>
        <w:fldChar w:fldCharType="begin"/>
      </w:r>
      <w:r>
        <w:instrText xml:space="preserve"> PAGEREF _Toc388862963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Benefit of paying modified penalty</w:t>
      </w:r>
      <w:r>
        <w:tab/>
      </w:r>
      <w:r>
        <w:fldChar w:fldCharType="begin"/>
      </w:r>
      <w:r>
        <w:instrText xml:space="preserve"> PAGEREF _Toc388862964 \h </w:instrText>
      </w:r>
      <w:r>
        <w:fldChar w:fldCharType="separate"/>
      </w:r>
      <w:r>
        <w:t>77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Application of penalties collected</w:t>
      </w:r>
      <w:r>
        <w:tab/>
      </w:r>
      <w:r>
        <w:fldChar w:fldCharType="begin"/>
      </w:r>
      <w:r>
        <w:instrText xml:space="preserve"> PAGEREF _Toc388862965 \h </w:instrText>
      </w:r>
      <w:r>
        <w:fldChar w:fldCharType="separate"/>
      </w:r>
      <w:r>
        <w:t>78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Authorised persons, appointment of</w:t>
      </w:r>
      <w:r>
        <w:tab/>
      </w:r>
      <w:r>
        <w:fldChar w:fldCharType="begin"/>
      </w:r>
      <w:r>
        <w:instrText xml:space="preserve"> PAGEREF _Toc388862966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131</w:t>
      </w:r>
      <w:r>
        <w:rPr>
          <w:snapToGrid w:val="0"/>
        </w:rPr>
        <w:t>.</w:t>
      </w:r>
      <w:r>
        <w:rPr>
          <w:snapToGrid w:val="0"/>
        </w:rPr>
        <w:tab/>
        <w:t>Hindering, offence</w:t>
      </w:r>
      <w:r>
        <w:tab/>
      </w:r>
      <w:r>
        <w:fldChar w:fldCharType="begin"/>
      </w:r>
      <w:r>
        <w:instrText xml:space="preserve"> PAGEREF _Toc388862968 \h </w:instrText>
      </w:r>
      <w:r>
        <w:fldChar w:fldCharType="separate"/>
      </w:r>
      <w:r>
        <w:t>79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Individual port authorities, provisions for (Sch. 6)</w:t>
      </w:r>
      <w:r>
        <w:tab/>
      </w:r>
      <w:r>
        <w:fldChar w:fldCharType="begin"/>
      </w:r>
      <w:r>
        <w:instrText xml:space="preserve"> PAGEREF _Toc388862969 \h </w:instrText>
      </w:r>
      <w:r>
        <w:fldChar w:fldCharType="separate"/>
      </w:r>
      <w:r>
        <w:t>79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Supplementary provision about laying documents before Parliament</w:t>
      </w:r>
      <w:r>
        <w:tab/>
      </w:r>
      <w:r>
        <w:fldChar w:fldCharType="begin"/>
      </w:r>
      <w:r>
        <w:instrText xml:space="preserve"> PAGEREF _Toc388862970 \h </w:instrText>
      </w:r>
      <w:r>
        <w:fldChar w:fldCharType="separate"/>
      </w:r>
      <w:r>
        <w:t>80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Execution of documents by port authority</w:t>
      </w:r>
      <w:r>
        <w:tab/>
      </w:r>
      <w:r>
        <w:fldChar w:fldCharType="begin"/>
      </w:r>
      <w:r>
        <w:instrText xml:space="preserve"> PAGEREF _Toc388862971 \h </w:instrText>
      </w:r>
      <w:r>
        <w:fldChar w:fldCharType="separate"/>
      </w:r>
      <w:r>
        <w:t>80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Contracts with port authority, formalities of</w:t>
      </w:r>
      <w:r>
        <w:tab/>
      </w:r>
      <w:r>
        <w:fldChar w:fldCharType="begin"/>
      </w:r>
      <w:r>
        <w:instrText xml:space="preserve"> PAGEREF _Toc388862972 \h </w:instrText>
      </w:r>
      <w:r>
        <w:fldChar w:fldCharType="separate"/>
      </w:r>
      <w:r>
        <w:t>81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Overdue amounts, interest on</w:t>
      </w:r>
      <w:r>
        <w:tab/>
      </w:r>
      <w:r>
        <w:fldChar w:fldCharType="begin"/>
      </w:r>
      <w:r>
        <w:instrText xml:space="preserve"> PAGEREF _Toc388862973 \h </w:instrText>
      </w:r>
      <w:r>
        <w:fldChar w:fldCharType="separate"/>
      </w:r>
      <w:r>
        <w:t>82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Recovery of expenses due to offence</w:t>
      </w:r>
      <w:r>
        <w:tab/>
      </w:r>
      <w:r>
        <w:fldChar w:fldCharType="begin"/>
      </w:r>
      <w:r>
        <w:instrText xml:space="preserve"> PAGEREF _Toc388862974 \h </w:instrText>
      </w:r>
      <w:r>
        <w:fldChar w:fldCharType="separate"/>
      </w:r>
      <w:r>
        <w:t>82</w:t>
      </w:r>
      <w:r>
        <w:fldChar w:fldCharType="end"/>
      </w:r>
    </w:p>
    <w:p>
      <w:pPr>
        <w:pStyle w:val="TOC8"/>
        <w:rPr>
          <w:rFonts w:asciiTheme="minorHAnsi" w:eastAsiaTheme="minorEastAsia" w:hAnsiTheme="minorHAnsi" w:cstheme="minorBidi"/>
          <w:szCs w:val="22"/>
        </w:rPr>
      </w:pPr>
      <w:r>
        <w:t>138.</w:t>
      </w:r>
      <w:r>
        <w:tab/>
      </w:r>
      <w:r>
        <w:rPr>
          <w:i/>
        </w:rPr>
        <w:t>Government Agreements Act 1979</w:t>
      </w:r>
      <w:r>
        <w:t xml:space="preserve"> not affected</w:t>
      </w:r>
      <w:r>
        <w:tab/>
      </w:r>
      <w:r>
        <w:fldChar w:fldCharType="begin"/>
      </w:r>
      <w:r>
        <w:instrText xml:space="preserve"> PAGEREF _Toc388862975 \h </w:instrText>
      </w:r>
      <w:r>
        <w:fldChar w:fldCharType="separate"/>
      </w:r>
      <w:r>
        <w:t>82</w:t>
      </w:r>
      <w:r>
        <w:fldChar w:fldCharType="end"/>
      </w:r>
    </w:p>
    <w:p>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_Toc388862976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11 — Regulations</w:t>
      </w:r>
    </w:p>
    <w:p>
      <w:pPr>
        <w:pStyle w:val="TOC8"/>
        <w:rPr>
          <w:rFonts w:asciiTheme="minorHAnsi" w:eastAsiaTheme="minorEastAsia" w:hAnsiTheme="minorHAnsi" w:cstheme="minorBidi"/>
          <w:szCs w:val="22"/>
        </w:rPr>
      </w:pPr>
      <w:r>
        <w:t>139</w:t>
      </w:r>
      <w:r>
        <w:rPr>
          <w:snapToGrid w:val="0"/>
        </w:rPr>
        <w:t>.</w:t>
      </w:r>
      <w:r>
        <w:rPr>
          <w:snapToGrid w:val="0"/>
        </w:rPr>
        <w:tab/>
        <w:t>General power to make regulations</w:t>
      </w:r>
      <w:r>
        <w:tab/>
      </w:r>
      <w:r>
        <w:fldChar w:fldCharType="begin"/>
      </w:r>
      <w:r>
        <w:instrText xml:space="preserve"> PAGEREF _Toc388862978 \h </w:instrText>
      </w:r>
      <w:r>
        <w:fldChar w:fldCharType="separate"/>
      </w:r>
      <w:r>
        <w:t>84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Offences against regulations</w:t>
      </w:r>
      <w:r>
        <w:tab/>
      </w:r>
      <w:r>
        <w:fldChar w:fldCharType="begin"/>
      </w:r>
      <w:r>
        <w:instrText xml:space="preserve"> PAGEREF _Toc388862979 \h </w:instrText>
      </w:r>
      <w:r>
        <w:fldChar w:fldCharType="separate"/>
      </w:r>
      <w:r>
        <w:t>84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Adoption of other laws, codes etc.</w:t>
      </w:r>
      <w:r>
        <w:tab/>
      </w:r>
      <w:r>
        <w:fldChar w:fldCharType="begin"/>
      </w:r>
      <w:r>
        <w:instrText xml:space="preserve"> PAGEREF _Toc388862980 \h </w:instrText>
      </w:r>
      <w:r>
        <w:fldChar w:fldCharType="separate"/>
      </w:r>
      <w:r>
        <w:t>84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References to other approvals or decisions</w:t>
      </w:r>
      <w:r>
        <w:tab/>
      </w:r>
      <w:r>
        <w:fldChar w:fldCharType="begin"/>
      </w:r>
      <w:r>
        <w:instrText xml:space="preserve"> PAGEREF _Toc388862981 \h </w:instrText>
      </w:r>
      <w:r>
        <w:fldChar w:fldCharType="separate"/>
      </w:r>
      <w:r>
        <w:t>85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Licensing, provisions as to</w:t>
      </w:r>
      <w:r>
        <w:tab/>
      </w:r>
      <w:r>
        <w:fldChar w:fldCharType="begin"/>
      </w:r>
      <w:r>
        <w:instrText xml:space="preserve"> PAGEREF _Toc388862982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12 — Review of Act</w:t>
      </w:r>
    </w:p>
    <w:p>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_Toc388862984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Schedule 1 — Port authorities and ports</w:t>
      </w:r>
    </w:p>
    <w:p>
      <w:pPr>
        <w:pStyle w:val="TOC2"/>
        <w:tabs>
          <w:tab w:val="right" w:leader="dot" w:pos="7086"/>
        </w:tabs>
        <w:rPr>
          <w:rFonts w:asciiTheme="minorHAnsi" w:eastAsiaTheme="minorEastAsia" w:hAnsiTheme="minorHAnsi" w:cstheme="minorBidi"/>
          <w:b w:val="0"/>
          <w:sz w:val="22"/>
          <w:szCs w:val="22"/>
        </w:rPr>
      </w:pPr>
      <w:r>
        <w:t>Schedule 2 — Provisions about the constitution and proceedings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_Toc388862987 \h </w:instrText>
      </w:r>
      <w:r>
        <w:fldChar w:fldCharType="separate"/>
      </w:r>
      <w:r>
        <w:t>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and removal</w:t>
      </w:r>
      <w:r>
        <w:tab/>
      </w:r>
      <w:r>
        <w:fldChar w:fldCharType="begin"/>
      </w:r>
      <w:r>
        <w:instrText xml:space="preserve"> PAGEREF _Toc388862988 \h </w:instrText>
      </w:r>
      <w:r>
        <w:fldChar w:fldCharType="separate"/>
      </w:r>
      <w:r>
        <w:t>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 and deputy chairperson</w:t>
      </w:r>
      <w:r>
        <w:tab/>
      </w:r>
      <w:r>
        <w:fldChar w:fldCharType="begin"/>
      </w:r>
      <w:r>
        <w:instrText xml:space="preserve"> PAGEREF _Toc388862989 \h </w:instrText>
      </w:r>
      <w:r>
        <w:fldChar w:fldCharType="separate"/>
      </w:r>
      <w:r>
        <w:t>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Alternate directors</w:t>
      </w:r>
      <w:r>
        <w:tab/>
      </w:r>
      <w:r>
        <w:fldChar w:fldCharType="begin"/>
      </w:r>
      <w:r>
        <w:instrText xml:space="preserve"> PAGEREF _Toc388862990 \h </w:instrText>
      </w:r>
      <w:r>
        <w:fldChar w:fldCharType="separate"/>
      </w:r>
      <w:r>
        <w:t>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_Toc388862991 \h </w:instrText>
      </w:r>
      <w:r>
        <w:fldChar w:fldCharType="separate"/>
      </w:r>
      <w:r>
        <w:t>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Telephone and video meetings</w:t>
      </w:r>
      <w:r>
        <w:tab/>
      </w:r>
      <w:r>
        <w:fldChar w:fldCharType="begin"/>
      </w:r>
      <w:r>
        <w:instrText xml:space="preserve"> PAGEREF _Toc388862992 \h </w:instrText>
      </w:r>
      <w:r>
        <w:fldChar w:fldCharType="separate"/>
      </w:r>
      <w:r>
        <w:t>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_Toc388862993 \h </w:instrText>
      </w:r>
      <w:r>
        <w:fldChar w:fldCharType="separate"/>
      </w:r>
      <w:r>
        <w:t>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Directors with material personal interests, voting by etc.</w:t>
      </w:r>
      <w:r>
        <w:tab/>
      </w:r>
      <w:r>
        <w:fldChar w:fldCharType="begin"/>
      </w:r>
      <w:r>
        <w:instrText xml:space="preserve"> PAGEREF _Toc388862994 \h </w:instrText>
      </w:r>
      <w:r>
        <w:fldChar w:fldCharType="separate"/>
      </w:r>
      <w:r>
        <w:t>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_Toc388862995 \h </w:instrText>
      </w:r>
      <w:r>
        <w:fldChar w:fldCharType="separate"/>
      </w:r>
      <w:r>
        <w:t>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_Toc388862996 \h </w:instrText>
      </w:r>
      <w:r>
        <w:fldChar w:fldCharType="separate"/>
      </w:r>
      <w:r>
        <w:t>92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_Toc388862997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Schedule 3 — Provisions about duties of CEO and staff</w:t>
      </w:r>
    </w:p>
    <w:p>
      <w:pPr>
        <w:pStyle w:val="TOC4"/>
        <w:tabs>
          <w:tab w:val="right" w:leader="dot" w:pos="7086"/>
        </w:tabs>
        <w:rPr>
          <w:rFonts w:asciiTheme="minorHAnsi" w:eastAsiaTheme="minorEastAsia" w:hAnsiTheme="minorHAnsi" w:cstheme="minorBidi"/>
          <w:b w:val="0"/>
          <w:szCs w:val="22"/>
        </w:rPr>
      </w:pPr>
      <w:r>
        <w:t>Division 1 — General duties of CEO</w:t>
      </w:r>
    </w:p>
    <w:p>
      <w:pPr>
        <w:pStyle w:val="TOC8"/>
        <w:rPr>
          <w:rFonts w:asciiTheme="minorHAnsi" w:eastAsiaTheme="minorEastAsia" w:hAnsiTheme="minorHAnsi" w:cstheme="minorBidi"/>
          <w:szCs w:val="22"/>
        </w:rPr>
      </w:pPr>
      <w:r>
        <w:t>1</w:t>
      </w:r>
      <w:r>
        <w:rPr>
          <w:snapToGrid w:val="0"/>
        </w:rPr>
        <w:t>.</w:t>
      </w:r>
      <w:r>
        <w:rPr>
          <w:snapToGrid w:val="0"/>
        </w:rPr>
        <w:tab/>
        <w:t>Duties of CEO</w:t>
      </w:r>
      <w:r>
        <w:tab/>
      </w:r>
      <w:r>
        <w:fldChar w:fldCharType="begin"/>
      </w:r>
      <w:r>
        <w:instrText xml:space="preserve"> PAGEREF _Toc388863000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Particular duties stated</w:t>
      </w:r>
    </w:p>
    <w:p>
      <w:pPr>
        <w:pStyle w:val="TOC8"/>
        <w:rPr>
          <w:rFonts w:asciiTheme="minorHAnsi" w:eastAsiaTheme="minorEastAsia" w:hAnsiTheme="minorHAnsi" w:cstheme="minorBidi"/>
          <w:szCs w:val="22"/>
        </w:rPr>
      </w:pPr>
      <w:r>
        <w:t>2</w:t>
      </w:r>
      <w:r>
        <w:rPr>
          <w:snapToGrid w:val="0"/>
        </w:rPr>
        <w:t>.</w:t>
      </w:r>
      <w:r>
        <w:rPr>
          <w:snapToGrid w:val="0"/>
        </w:rPr>
        <w:tab/>
        <w:t>Term used: officer and interpretation</w:t>
      </w:r>
      <w:r>
        <w:tab/>
      </w:r>
      <w:r>
        <w:fldChar w:fldCharType="begin"/>
      </w:r>
      <w:r>
        <w:instrText xml:space="preserve"> PAGEREF _Toc388863002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act honestly</w:t>
      </w:r>
      <w:r>
        <w:tab/>
      </w:r>
      <w:r>
        <w:fldChar w:fldCharType="begin"/>
      </w:r>
      <w:r>
        <w:instrText xml:space="preserve"> PAGEREF _Toc388863003 \h </w:instrText>
      </w:r>
      <w:r>
        <w:fldChar w:fldCharType="separate"/>
      </w:r>
      <w:r>
        <w:t>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to exercise reasonable care and diligence</w:t>
      </w:r>
      <w:r>
        <w:tab/>
      </w:r>
      <w:r>
        <w:fldChar w:fldCharType="begin"/>
      </w:r>
      <w:r>
        <w:instrText xml:space="preserve"> PAGEREF _Toc388863004 \h </w:instrText>
      </w:r>
      <w:r>
        <w:fldChar w:fldCharType="separate"/>
      </w:r>
      <w:r>
        <w:t>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information</w:t>
      </w:r>
      <w:r>
        <w:tab/>
      </w:r>
      <w:r>
        <w:fldChar w:fldCharType="begin"/>
      </w:r>
      <w:r>
        <w:instrText xml:space="preserve"> PAGEREF _Toc388863005 \h </w:instrText>
      </w:r>
      <w:r>
        <w:fldChar w:fldCharType="separate"/>
      </w:r>
      <w:r>
        <w:t>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Duty not to make improper use of position</w:t>
      </w:r>
      <w:r>
        <w:tab/>
      </w:r>
      <w:r>
        <w:fldChar w:fldCharType="begin"/>
      </w:r>
      <w:r>
        <w:instrText xml:space="preserve"> PAGEREF _Toc388863006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Compensation</w:t>
      </w:r>
    </w:p>
    <w:p>
      <w:pPr>
        <w:pStyle w:val="TOC8"/>
        <w:rPr>
          <w:rFonts w:asciiTheme="minorHAnsi" w:eastAsiaTheme="minorEastAsia" w:hAnsiTheme="minorHAnsi" w:cstheme="minorBidi"/>
          <w:szCs w:val="22"/>
        </w:rPr>
      </w:pPr>
      <w:r>
        <w:t>7</w:t>
      </w:r>
      <w:r>
        <w:rPr>
          <w:snapToGrid w:val="0"/>
        </w:rPr>
        <w:t>.</w:t>
      </w:r>
      <w:r>
        <w:rPr>
          <w:snapToGrid w:val="0"/>
        </w:rPr>
        <w:tab/>
        <w:t>Compensation may be ordered if cl. 3, 4, 5 or 6 offence</w:t>
      </w:r>
      <w:r>
        <w:tab/>
      </w:r>
      <w:r>
        <w:fldChar w:fldCharType="begin"/>
      </w:r>
      <w:r>
        <w:instrText xml:space="preserve"> PAGEREF _Toc388863008 \h </w:instrText>
      </w:r>
      <w:r>
        <w:fldChar w:fldCharType="separate"/>
      </w:r>
      <w:r>
        <w:t>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recovery if cl. 3, 4, 5 or 6 offence</w:t>
      </w:r>
      <w:r>
        <w:tab/>
      </w:r>
      <w:r>
        <w:fldChar w:fldCharType="begin"/>
      </w:r>
      <w:r>
        <w:instrText xml:space="preserve"> PAGEREF _Toc388863009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rPr>
          <w:snapToGrid w:val="0"/>
        </w:rPr>
        <w:t>.</w:t>
      </w:r>
      <w:r>
        <w:rPr>
          <w:snapToGrid w:val="0"/>
        </w:rPr>
        <w:tab/>
        <w:t>Relief from liability under cl. 1, 7 and 8</w:t>
      </w:r>
      <w:r>
        <w:tab/>
      </w:r>
      <w:r>
        <w:fldChar w:fldCharType="begin"/>
      </w:r>
      <w:r>
        <w:instrText xml:space="preserve"> PAGEREF _Toc388863011 \h </w:instrText>
      </w:r>
      <w:r>
        <w:fldChar w:fldCharType="separate"/>
      </w:r>
      <w:r>
        <w:t>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relief from liability under cl. 1, 7 or 8</w:t>
      </w:r>
      <w:r>
        <w:tab/>
      </w:r>
      <w:r>
        <w:fldChar w:fldCharType="begin"/>
      </w:r>
      <w:r>
        <w:instrText xml:space="preserve"> PAGEREF _Toc388863012 \h </w:instrText>
      </w:r>
      <w:r>
        <w:fldChar w:fldCharType="separate"/>
      </w:r>
      <w:r>
        <w:t>96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as to cl. 9 may be withdrawn from jury</w:t>
      </w:r>
      <w:r>
        <w:tab/>
      </w:r>
      <w:r>
        <w:fldChar w:fldCharType="begin"/>
      </w:r>
      <w:r>
        <w:instrText xml:space="preserve"> PAGEREF _Toc388863013 \h </w:instrText>
      </w:r>
      <w:r>
        <w:fldChar w:fldCharType="separate"/>
      </w:r>
      <w:r>
        <w:t>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Compliance with directions is not contravention of cl. 1, 3 or 4</w:t>
      </w:r>
      <w:r>
        <w:tab/>
      </w:r>
      <w:r>
        <w:fldChar w:fldCharType="begin"/>
      </w:r>
      <w:r>
        <w:instrText xml:space="preserve"> PAGEREF _Toc388863014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indemnities and exemptions</w:t>
      </w:r>
    </w:p>
    <w:p>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_Toc388863016 \h </w:instrText>
      </w:r>
      <w:r>
        <w:fldChar w:fldCharType="separate"/>
      </w:r>
      <w:r>
        <w:t>97</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_Toc388863017 \h </w:instrText>
      </w:r>
      <w:r>
        <w:fldChar w:fldCharType="separate"/>
      </w:r>
      <w:r>
        <w:t>98</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_Toc388863018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_Toc388863020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_Toc388863021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_Toc388863022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_Toc388863023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5 — Financial administration and audit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_Toc388863026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_Toc388863028 \h </w:instrText>
      </w:r>
      <w:r>
        <w:fldChar w:fldCharType="separate"/>
      </w:r>
      <w:r>
        <w:t>101</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_Toc388863029 \h </w:instrText>
      </w:r>
      <w:r>
        <w:fldChar w:fldCharType="separate"/>
      </w:r>
      <w:r>
        <w:t>102</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_Toc388863030 \h </w:instrText>
      </w:r>
      <w:r>
        <w:fldChar w:fldCharType="separate"/>
      </w:r>
      <w:r>
        <w:t>102</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_Toc388863031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 — Financial reporting</w:t>
      </w:r>
    </w:p>
    <w:p>
      <w:pPr>
        <w:pStyle w:val="TOC6"/>
        <w:tabs>
          <w:tab w:val="right" w:leader="dot" w:pos="7086"/>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 and directors’ report </w:t>
      </w:r>
      <w:r>
        <w:rPr>
          <w:i/>
        </w:rPr>
        <w:t>(cf. Corporations Act s. 292)</w:t>
      </w:r>
      <w:r>
        <w:tab/>
      </w:r>
      <w:r>
        <w:fldChar w:fldCharType="begin"/>
      </w:r>
      <w:r>
        <w:instrText xml:space="preserve"> PAGEREF _Toc388863034 \h </w:instrText>
      </w:r>
      <w:r>
        <w:fldChar w:fldCharType="separate"/>
      </w:r>
      <w:r>
        <w:t>103</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_Toc388863035 \h </w:instrText>
      </w:r>
      <w:r>
        <w:fldChar w:fldCharType="separate"/>
      </w:r>
      <w:r>
        <w:t>103</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_Toc388863036 \h </w:instrText>
      </w:r>
      <w:r>
        <w:fldChar w:fldCharType="separate"/>
      </w:r>
      <w:r>
        <w:t>104</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_Toc388863037 \h </w:instrText>
      </w:r>
      <w:r>
        <w:fldChar w:fldCharType="separate"/>
      </w:r>
      <w:r>
        <w:t>105</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_Toc388863038 \h </w:instrText>
      </w:r>
      <w:r>
        <w:fldChar w:fldCharType="separate"/>
      </w:r>
      <w:r>
        <w:t>105</w:t>
      </w:r>
      <w:r>
        <w:fldChar w:fldCharType="end"/>
      </w:r>
    </w:p>
    <w:p>
      <w:pPr>
        <w:pStyle w:val="TOC8"/>
        <w:rPr>
          <w:rFonts w:asciiTheme="minorHAnsi" w:eastAsiaTheme="minorEastAsia" w:hAnsiTheme="minorHAnsi" w:cstheme="minorBidi"/>
          <w:szCs w:val="22"/>
        </w:rPr>
      </w:pPr>
      <w:r>
        <w:t>11.</w:t>
      </w:r>
      <w:r>
        <w:tab/>
        <w:t xml:space="preserve">Annual directors’ report, general information in </w:t>
      </w:r>
      <w:r>
        <w:rPr>
          <w:i/>
        </w:rPr>
        <w:t>(cf. Corporations Act s. 299)</w:t>
      </w:r>
      <w:r>
        <w:tab/>
      </w:r>
      <w:r>
        <w:fldChar w:fldCharType="begin"/>
      </w:r>
      <w:r>
        <w:instrText xml:space="preserve"> PAGEREF _Toc388863039 \h </w:instrText>
      </w:r>
      <w:r>
        <w:fldChar w:fldCharType="separate"/>
      </w:r>
      <w:r>
        <w:t>105</w:t>
      </w:r>
      <w:r>
        <w:fldChar w:fldCharType="end"/>
      </w:r>
    </w:p>
    <w:p>
      <w:pPr>
        <w:pStyle w:val="TOC8"/>
        <w:rPr>
          <w:rFonts w:asciiTheme="minorHAnsi" w:eastAsiaTheme="minorEastAsia" w:hAnsiTheme="minorHAnsi" w:cstheme="minorBidi"/>
          <w:szCs w:val="22"/>
        </w:rPr>
      </w:pPr>
      <w:r>
        <w:t>12.</w:t>
      </w:r>
      <w:r>
        <w:tab/>
        <w:t xml:space="preserve">Annual directors’ report, specific information in </w:t>
      </w:r>
      <w:r>
        <w:rPr>
          <w:i/>
        </w:rPr>
        <w:t>(cf. Corporations Act s. 300)</w:t>
      </w:r>
      <w:r>
        <w:tab/>
      </w:r>
      <w:r>
        <w:fldChar w:fldCharType="begin"/>
      </w:r>
      <w:r>
        <w:instrText xml:space="preserve"> PAGEREF _Toc388863040 \h </w:instrText>
      </w:r>
      <w:r>
        <w:fldChar w:fldCharType="separate"/>
      </w:r>
      <w:r>
        <w:t>107</w:t>
      </w:r>
      <w:r>
        <w:fldChar w:fldCharType="end"/>
      </w:r>
    </w:p>
    <w:p>
      <w:pPr>
        <w:pStyle w:val="TOC8"/>
        <w:rPr>
          <w:rFonts w:asciiTheme="minorHAnsi" w:eastAsiaTheme="minorEastAsia" w:hAnsiTheme="minorHAnsi" w:cstheme="minorBidi"/>
          <w:szCs w:val="22"/>
        </w:rPr>
      </w:pPr>
      <w:r>
        <w:t>13.</w:t>
      </w:r>
      <w:r>
        <w:tab/>
        <w:t xml:space="preserve">Annual directors’ report, other specific information in </w:t>
      </w:r>
      <w:r>
        <w:rPr>
          <w:i/>
        </w:rPr>
        <w:t>(cf. Corporations Act s. 300A)</w:t>
      </w:r>
      <w:r>
        <w:tab/>
      </w:r>
      <w:r>
        <w:fldChar w:fldCharType="begin"/>
      </w:r>
      <w:r>
        <w:instrText xml:space="preserve"> PAGEREF _Toc388863041 \h </w:instrText>
      </w:r>
      <w:r>
        <w:fldChar w:fldCharType="separate"/>
      </w:r>
      <w:r>
        <w:t>107</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_Toc388863042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_Toc388863044 \h </w:instrText>
      </w:r>
      <w:r>
        <w:fldChar w:fldCharType="separate"/>
      </w:r>
      <w:r>
        <w:t>108</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_Toc388863045 \h </w:instrText>
      </w:r>
      <w:r>
        <w:fldChar w:fldCharType="separate"/>
      </w:r>
      <w:r>
        <w:t>108</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_Toc388863046 \h </w:instrText>
      </w:r>
      <w:r>
        <w:fldChar w:fldCharType="separate"/>
      </w:r>
      <w:r>
        <w:t>109</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_Toc388863047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_Toc388863049 \h </w:instrText>
      </w:r>
      <w:r>
        <w:fldChar w:fldCharType="separate"/>
      </w:r>
      <w:r>
        <w:t>110</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_Toc388863050 \h </w:instrText>
      </w:r>
      <w:r>
        <w:fldChar w:fldCharType="separate"/>
      </w:r>
      <w:r>
        <w:t>110</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_Toc388863051 \h </w:instrText>
      </w:r>
      <w:r>
        <w:fldChar w:fldCharType="separate"/>
      </w:r>
      <w:r>
        <w:t>110</w:t>
      </w:r>
      <w:r>
        <w:fldChar w:fldCharType="end"/>
      </w:r>
    </w:p>
    <w:p>
      <w:pPr>
        <w:pStyle w:val="TOC8"/>
        <w:rPr>
          <w:rFonts w:asciiTheme="minorHAnsi" w:eastAsiaTheme="minorEastAsia" w:hAnsiTheme="minorHAnsi" w:cstheme="minorBidi"/>
          <w:szCs w:val="22"/>
        </w:rPr>
      </w:pPr>
      <w:r>
        <w:t>22.</w:t>
      </w:r>
      <w:r>
        <w:tab/>
        <w:t xml:space="preserve">Application of cl. 19 to 21 to entity that has ceased to be controlled </w:t>
      </w:r>
      <w:r>
        <w:rPr>
          <w:i/>
        </w:rPr>
        <w:t>(cf. Corporations Act s. 323C)</w:t>
      </w:r>
      <w:r>
        <w:tab/>
      </w:r>
      <w:r>
        <w:fldChar w:fldCharType="begin"/>
      </w:r>
      <w:r>
        <w:instrText xml:space="preserve"> PAGEREF _Toc388863052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a port authority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_Toc388863054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_Toc388863056 \h </w:instrText>
      </w:r>
      <w:r>
        <w:fldChar w:fldCharType="separate"/>
      </w:r>
      <w:r>
        <w:t>111</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_Toc388863057 \h </w:instrText>
      </w:r>
      <w:r>
        <w:fldChar w:fldCharType="separate"/>
      </w:r>
      <w:r>
        <w:t>112</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_Toc388863058 \h </w:instrText>
      </w:r>
      <w:r>
        <w:fldChar w:fldCharType="separate"/>
      </w:r>
      <w:r>
        <w:t>112</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_Toc388863059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5 — Extension of time</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_Toc388863061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29.</w:t>
      </w:r>
      <w:r>
        <w:tab/>
        <w:t xml:space="preserve">Contravention of Div. 2 and 3 </w:t>
      </w:r>
      <w:r>
        <w:rPr>
          <w:i/>
        </w:rPr>
        <w:t>(cf. Corporations Act s. 344)</w:t>
      </w:r>
      <w:r>
        <w:tab/>
      </w:r>
      <w:r>
        <w:fldChar w:fldCharType="begin"/>
      </w:r>
      <w:r>
        <w:instrText xml:space="preserve"> PAGEREF _Toc388863063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w:t>
      </w:r>
      <w:r>
        <w:tab/>
        <w:t xml:space="preserve">Treasurer’s power to make specific exemption orders </w:t>
      </w:r>
      <w:r>
        <w:rPr>
          <w:i/>
        </w:rPr>
        <w:t>(cf. Corporations Act s. 340)</w:t>
      </w:r>
      <w:r>
        <w:tab/>
      </w:r>
      <w:r>
        <w:fldChar w:fldCharType="begin"/>
      </w:r>
      <w:r>
        <w:instrText xml:space="preserve"> PAGEREF _Toc388863065 \h </w:instrText>
      </w:r>
      <w:r>
        <w:fldChar w:fldCharType="separate"/>
      </w:r>
      <w:r>
        <w:t>114</w:t>
      </w:r>
      <w:r>
        <w:fldChar w:fldCharType="end"/>
      </w:r>
    </w:p>
    <w:p>
      <w:pPr>
        <w:pStyle w:val="TOC8"/>
        <w:rPr>
          <w:rFonts w:asciiTheme="minorHAnsi" w:eastAsiaTheme="minorEastAsia" w:hAnsiTheme="minorHAnsi" w:cstheme="minorBidi"/>
          <w:szCs w:val="22"/>
        </w:rPr>
      </w:pPr>
      <w:r>
        <w:t>33A.</w:t>
      </w:r>
      <w:r>
        <w:tab/>
        <w:t xml:space="preserve">Criteria for specific exemption orders and class orders   </w:t>
      </w:r>
      <w:r>
        <w:rPr>
          <w:i/>
        </w:rPr>
        <w:t>(cf. Corporations Act s. 342)</w:t>
      </w:r>
      <w:r>
        <w:tab/>
      </w:r>
      <w:r>
        <w:fldChar w:fldCharType="begin"/>
      </w:r>
      <w:r>
        <w:instrText xml:space="preserve"> PAGEREF _Toc388863066 \h </w:instrText>
      </w:r>
      <w:r>
        <w:fldChar w:fldCharType="separate"/>
      </w:r>
      <w:r>
        <w:t>115</w:t>
      </w:r>
      <w:r>
        <w:fldChar w:fldCharType="end"/>
      </w:r>
    </w:p>
    <w:p>
      <w:pPr>
        <w:pStyle w:val="TOC8"/>
        <w:rPr>
          <w:rFonts w:asciiTheme="minorHAnsi" w:eastAsiaTheme="minorEastAsia" w:hAnsiTheme="minorHAnsi" w:cstheme="minorBidi"/>
          <w:szCs w:val="22"/>
        </w:rPr>
      </w:pPr>
      <w:r>
        <w:t>34.</w:t>
      </w:r>
      <w:r>
        <w:tab/>
        <w:t xml:space="preserve">Deadline for reporting to Minister </w:t>
      </w:r>
      <w:r>
        <w:rPr>
          <w:i/>
        </w:rPr>
        <w:t>(cf. Corporations Act s. 315)</w:t>
      </w:r>
      <w:r>
        <w:tab/>
      </w:r>
      <w:r>
        <w:fldChar w:fldCharType="begin"/>
      </w:r>
      <w:r>
        <w:instrText xml:space="preserve"> PAGEREF _Toc388863067 \h </w:instrText>
      </w:r>
      <w:r>
        <w:fldChar w:fldCharType="separate"/>
      </w:r>
      <w:r>
        <w:t>115</w:t>
      </w:r>
      <w:r>
        <w:fldChar w:fldCharType="end"/>
      </w:r>
    </w:p>
    <w:p>
      <w:pPr>
        <w:pStyle w:val="TOC8"/>
        <w:rPr>
          <w:rFonts w:asciiTheme="minorHAnsi" w:eastAsiaTheme="minorEastAsia" w:hAnsiTheme="minorHAnsi" w:cstheme="minorBidi"/>
          <w:szCs w:val="22"/>
        </w:rPr>
      </w:pPr>
      <w:r>
        <w:t>35.</w:t>
      </w:r>
      <w:r>
        <w:tab/>
        <w:t xml:space="preserve">Annual report to Minister, content of </w:t>
      </w:r>
      <w:r>
        <w:rPr>
          <w:i/>
        </w:rPr>
        <w:t>(cf. Corporations Act s. 314)</w:t>
      </w:r>
      <w:r>
        <w:tab/>
      </w:r>
      <w:r>
        <w:fldChar w:fldCharType="begin"/>
      </w:r>
      <w:r>
        <w:instrText xml:space="preserve"> PAGEREF _Toc388863068 \h </w:instrText>
      </w:r>
      <w:r>
        <w:fldChar w:fldCharType="separate"/>
      </w:r>
      <w:r>
        <w:t>115</w:t>
      </w:r>
      <w:r>
        <w:fldChar w:fldCharType="end"/>
      </w:r>
    </w:p>
    <w:p>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_Toc388863069 \h </w:instrText>
      </w:r>
      <w:r>
        <w:fldChar w:fldCharType="separate"/>
      </w:r>
      <w:r>
        <w:t>115</w:t>
      </w:r>
      <w:r>
        <w:fldChar w:fldCharType="end"/>
      </w:r>
    </w:p>
    <w:p>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_Toc388863070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rPr>
      </w:pPr>
      <w:r>
        <w:t>Schedule 6 — Provisions for particular port authorities</w:t>
      </w:r>
    </w:p>
    <w:p>
      <w:pPr>
        <w:pStyle w:val="TOC4"/>
        <w:tabs>
          <w:tab w:val="right" w:leader="dot" w:pos="7086"/>
        </w:tabs>
        <w:rPr>
          <w:rFonts w:asciiTheme="minorHAnsi" w:eastAsiaTheme="minorEastAsia" w:hAnsiTheme="minorHAnsi" w:cstheme="minorBidi"/>
          <w:b w:val="0"/>
          <w:szCs w:val="22"/>
        </w:rPr>
      </w:pPr>
      <w:r>
        <w:t>Division 1 — Dampier Port Authority</w:t>
      </w:r>
    </w:p>
    <w:p>
      <w:pPr>
        <w:pStyle w:val="TOC8"/>
        <w:rPr>
          <w:rFonts w:asciiTheme="minorHAnsi" w:eastAsiaTheme="minorEastAsia" w:hAnsiTheme="minorHAnsi" w:cstheme="minorBidi"/>
          <w:szCs w:val="22"/>
        </w:rPr>
      </w:pPr>
      <w:r>
        <w:t>1.1</w:t>
      </w:r>
      <w:r>
        <w:rPr>
          <w:snapToGrid w:val="0"/>
        </w:rPr>
        <w:t>.</w:t>
      </w:r>
      <w:r>
        <w:rPr>
          <w:snapToGrid w:val="0"/>
        </w:rPr>
        <w:tab/>
        <w:t>Application of Division</w:t>
      </w:r>
      <w:r>
        <w:tab/>
      </w:r>
      <w:r>
        <w:fldChar w:fldCharType="begin"/>
      </w:r>
      <w:r>
        <w:instrText xml:space="preserve"> PAGEREF _Toc388863073 \h </w:instrText>
      </w:r>
      <w:r>
        <w:fldChar w:fldCharType="separate"/>
      </w:r>
      <w:r>
        <w:t>117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w:t>
      </w:r>
      <w:r>
        <w:tab/>
      </w:r>
      <w:r>
        <w:fldChar w:fldCharType="begin"/>
      </w:r>
      <w:r>
        <w:instrText xml:space="preserve"> PAGEREF _Toc388863074 \h </w:instrText>
      </w:r>
      <w:r>
        <w:fldChar w:fldCharType="separate"/>
      </w:r>
      <w:r>
        <w:t>117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affect State agreements</w:t>
      </w:r>
      <w:r>
        <w:tab/>
      </w:r>
      <w:r>
        <w:fldChar w:fldCharType="begin"/>
      </w:r>
      <w:r>
        <w:instrText xml:space="preserve"> PAGEREF _Toc388863075 \h </w:instrText>
      </w:r>
      <w:r>
        <w:fldChar w:fldCharType="separate"/>
      </w:r>
      <w:r>
        <w:t>118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Directors of board</w:t>
      </w:r>
      <w:r>
        <w:tab/>
      </w:r>
      <w:r>
        <w:fldChar w:fldCharType="begin"/>
      </w:r>
      <w:r>
        <w:instrText xml:space="preserve"> PAGEREF _Toc388863076 \h </w:instrText>
      </w:r>
      <w:r>
        <w:fldChar w:fldCharType="separate"/>
      </w:r>
      <w:r>
        <w:t>118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Alternate directors</w:t>
      </w:r>
      <w:r>
        <w:tab/>
      </w:r>
      <w:r>
        <w:fldChar w:fldCharType="begin"/>
      </w:r>
      <w:r>
        <w:instrText xml:space="preserve"> PAGEREF _Toc388863077 \h </w:instrText>
      </w:r>
      <w:r>
        <w:fldChar w:fldCharType="separate"/>
      </w:r>
      <w:r>
        <w:t>119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Some material personal interests excluded from s. 2 and Sch. 2 cl. 8</w:t>
      </w:r>
      <w:r>
        <w:tab/>
      </w:r>
      <w:r>
        <w:fldChar w:fldCharType="begin"/>
      </w:r>
      <w:r>
        <w:instrText xml:space="preserve"> PAGEREF _Toc388863078 \h </w:instrText>
      </w:r>
      <w:r>
        <w:fldChar w:fldCharType="separate"/>
      </w:r>
      <w:r>
        <w:t>120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Quorum</w:t>
      </w:r>
      <w:r>
        <w:tab/>
      </w:r>
      <w:r>
        <w:fldChar w:fldCharType="begin"/>
      </w:r>
      <w:r>
        <w:instrText xml:space="preserve"> PAGEREF _Toc388863079 \h </w:instrText>
      </w:r>
      <w:r>
        <w:fldChar w:fldCharType="separate"/>
      </w:r>
      <w:r>
        <w:t>120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Some property excepted from s. 26(1)</w:t>
      </w:r>
      <w:r>
        <w:tab/>
      </w:r>
      <w:r>
        <w:fldChar w:fldCharType="begin"/>
      </w:r>
      <w:r>
        <w:instrText xml:space="preserve"> PAGEREF _Toc388863080 \h </w:instrText>
      </w:r>
      <w:r>
        <w:fldChar w:fldCharType="separate"/>
      </w:r>
      <w:r>
        <w:t>120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Recovery of costs from users, functions include</w:t>
      </w:r>
      <w:r>
        <w:tab/>
      </w:r>
      <w:r>
        <w:fldChar w:fldCharType="begin"/>
      </w:r>
      <w:r>
        <w:instrText xml:space="preserve"> PAGEREF _Toc388863081 \h </w:instrText>
      </w:r>
      <w:r>
        <w:fldChar w:fldCharType="separate"/>
      </w:r>
      <w:r>
        <w:t>120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Companies, Joint Venturers and Salt Company, duties of</w:t>
      </w:r>
      <w:r>
        <w:tab/>
      </w:r>
      <w:r>
        <w:fldChar w:fldCharType="begin"/>
      </w:r>
      <w:r>
        <w:instrText xml:space="preserve"> PAGEREF _Toc388863082 \h </w:instrText>
      </w:r>
      <w:r>
        <w:fldChar w:fldCharType="separate"/>
      </w:r>
      <w:r>
        <w:t>121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Pilotage services, agreements with Companies etc. as to</w:t>
      </w:r>
      <w:r>
        <w:tab/>
      </w:r>
      <w:r>
        <w:fldChar w:fldCharType="begin"/>
      </w:r>
      <w:r>
        <w:instrText xml:space="preserve"> PAGEREF _Toc388863083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2 — Port Hedland Port Authority</w:t>
      </w:r>
    </w:p>
    <w:p>
      <w:pPr>
        <w:pStyle w:val="TOC8"/>
        <w:rPr>
          <w:rFonts w:asciiTheme="minorHAnsi" w:eastAsiaTheme="minorEastAsia" w:hAnsiTheme="minorHAnsi" w:cstheme="minorBidi"/>
          <w:szCs w:val="22"/>
        </w:rPr>
      </w:pPr>
      <w:r>
        <w:t>2.1</w:t>
      </w:r>
      <w:r>
        <w:rPr>
          <w:snapToGrid w:val="0"/>
        </w:rPr>
        <w:t>.</w:t>
      </w:r>
      <w:r>
        <w:rPr>
          <w:snapToGrid w:val="0"/>
        </w:rPr>
        <w:tab/>
        <w:t>Application of Division</w:t>
      </w:r>
      <w:r>
        <w:tab/>
      </w:r>
      <w:r>
        <w:fldChar w:fldCharType="begin"/>
      </w:r>
      <w:r>
        <w:instrText xml:space="preserve"> PAGEREF _Toc388863085 \h </w:instrText>
      </w:r>
      <w:r>
        <w:fldChar w:fldCharType="separate"/>
      </w:r>
      <w:r>
        <w:t>122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_Toc388863086 \h </w:instrText>
      </w:r>
      <w:r>
        <w:fldChar w:fldCharType="separate"/>
      </w:r>
      <w:r>
        <w:t>122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Act does not affect State agreements</w:t>
      </w:r>
      <w:r>
        <w:tab/>
      </w:r>
      <w:r>
        <w:fldChar w:fldCharType="begin"/>
      </w:r>
      <w:r>
        <w:instrText xml:space="preserve"> PAGEREF _Toc388863087 \h </w:instrText>
      </w:r>
      <w:r>
        <w:fldChar w:fldCharType="separate"/>
      </w:r>
      <w:r>
        <w:t>123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Directors of board</w:t>
      </w:r>
      <w:r>
        <w:tab/>
      </w:r>
      <w:r>
        <w:fldChar w:fldCharType="begin"/>
      </w:r>
      <w:r>
        <w:instrText xml:space="preserve"> PAGEREF _Toc388863088 \h </w:instrText>
      </w:r>
      <w:r>
        <w:fldChar w:fldCharType="separate"/>
      </w:r>
      <w:r>
        <w:t>123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Alternate directors</w:t>
      </w:r>
      <w:r>
        <w:tab/>
      </w:r>
      <w:r>
        <w:fldChar w:fldCharType="begin"/>
      </w:r>
      <w:r>
        <w:instrText xml:space="preserve"> PAGEREF _Toc388863089 \h </w:instrText>
      </w:r>
      <w:r>
        <w:fldChar w:fldCharType="separate"/>
      </w:r>
      <w:r>
        <w:t>125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Some material personal interests excluded from s. 12 and Sch. 2 cl. 8</w:t>
      </w:r>
      <w:r>
        <w:tab/>
      </w:r>
      <w:r>
        <w:fldChar w:fldCharType="begin"/>
      </w:r>
      <w:r>
        <w:instrText xml:space="preserve"> PAGEREF _Toc388863090 \h </w:instrText>
      </w:r>
      <w:r>
        <w:fldChar w:fldCharType="separate"/>
      </w:r>
      <w:r>
        <w:t>125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Quorum</w:t>
      </w:r>
      <w:r>
        <w:tab/>
      </w:r>
      <w:r>
        <w:fldChar w:fldCharType="begin"/>
      </w:r>
      <w:r>
        <w:instrText xml:space="preserve"> PAGEREF _Toc388863091 \h </w:instrText>
      </w:r>
      <w:r>
        <w:fldChar w:fldCharType="separate"/>
      </w:r>
      <w:r>
        <w:t>125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Port includes pilotage area for some purposes</w:t>
      </w:r>
      <w:r>
        <w:tab/>
      </w:r>
      <w:r>
        <w:fldChar w:fldCharType="begin"/>
      </w:r>
      <w:r>
        <w:instrText xml:space="preserve"> PAGEREF _Toc388863092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Schedule 7 — Purposes for which, or matters about which, regulations may be made</w:t>
      </w:r>
    </w:p>
    <w:p>
      <w:pPr>
        <w:pStyle w:val="TOC2"/>
        <w:tabs>
          <w:tab w:val="right" w:leader="dot" w:pos="7086"/>
        </w:tabs>
        <w:rPr>
          <w:rFonts w:asciiTheme="minorHAnsi" w:eastAsiaTheme="minorEastAsia" w:hAnsiTheme="minorHAnsi" w:cstheme="minorBidi"/>
          <w:b w:val="0"/>
          <w:sz w:val="22"/>
          <w:szCs w:val="22"/>
        </w:rPr>
      </w:pPr>
      <w:r>
        <w:t>Schedule 8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w:t>
      </w:r>
      <w:r>
        <w:rPr>
          <w:i/>
        </w:rPr>
        <w:t>Ports Legislation Amendment Act 2014</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_Toc388863097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Provisions for the Southern Ports Authority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_Toc388863099 \h </w:instrText>
      </w:r>
      <w:r>
        <w:fldChar w:fldCharType="separate"/>
      </w:r>
      <w:r>
        <w:t>131</w:t>
      </w:r>
      <w:r>
        <w:fldChar w:fldCharType="end"/>
      </w:r>
    </w:p>
    <w:p>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_Toc388863100 \h </w:instrText>
      </w:r>
      <w:r>
        <w:fldChar w:fldCharType="separate"/>
      </w:r>
      <w:r>
        <w:t>132</w:t>
      </w:r>
      <w:r>
        <w:fldChar w:fldCharType="end"/>
      </w:r>
    </w:p>
    <w:p>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_Toc388863101 \h </w:instrText>
      </w:r>
      <w:r>
        <w:fldChar w:fldCharType="separate"/>
      </w:r>
      <w:r>
        <w:t>132</w:t>
      </w:r>
      <w:r>
        <w:fldChar w:fldCharType="end"/>
      </w:r>
    </w:p>
    <w:p>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_Toc388863102 \h </w:instrText>
      </w:r>
      <w:r>
        <w:fldChar w:fldCharType="separate"/>
      </w:r>
      <w:r>
        <w:t>133</w:t>
      </w:r>
      <w:r>
        <w:fldChar w:fldCharType="end"/>
      </w:r>
    </w:p>
    <w:p>
      <w:pPr>
        <w:pStyle w:val="TOC8"/>
        <w:rPr>
          <w:rFonts w:asciiTheme="minorHAnsi" w:eastAsiaTheme="minorEastAsia" w:hAnsiTheme="minorHAnsi" w:cstheme="minorBidi"/>
          <w:szCs w:val="22"/>
        </w:rPr>
      </w:pPr>
      <w:r>
        <w:t>6.</w:t>
      </w:r>
      <w:r>
        <w:tab/>
        <w:t>CEOs and members of staff</w:t>
      </w:r>
      <w:r>
        <w:tab/>
      </w:r>
      <w:r>
        <w:fldChar w:fldCharType="begin"/>
      </w:r>
      <w:r>
        <w:instrText xml:space="preserve"> PAGEREF _Toc388863103 \h </w:instrText>
      </w:r>
      <w:r>
        <w:fldChar w:fldCharType="separate"/>
      </w:r>
      <w:r>
        <w:t>133</w:t>
      </w:r>
      <w:r>
        <w:fldChar w:fldCharType="end"/>
      </w:r>
    </w:p>
    <w:p>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_Toc388863104 \h </w:instrText>
      </w:r>
      <w:r>
        <w:fldChar w:fldCharType="separate"/>
      </w:r>
      <w:r>
        <w:t>134</w:t>
      </w:r>
      <w:r>
        <w:fldChar w:fldCharType="end"/>
      </w:r>
    </w:p>
    <w:p>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_Toc388863105 \h </w:instrText>
      </w:r>
      <w:r>
        <w:fldChar w:fldCharType="separate"/>
      </w:r>
      <w:r>
        <w:t>135</w:t>
      </w:r>
      <w:r>
        <w:fldChar w:fldCharType="end"/>
      </w:r>
    </w:p>
    <w:p>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_Toc388863106 \h </w:instrText>
      </w:r>
      <w:r>
        <w:fldChar w:fldCharType="separate"/>
      </w:r>
      <w:r>
        <w:t>136</w:t>
      </w:r>
      <w:r>
        <w:fldChar w:fldCharType="end"/>
      </w:r>
    </w:p>
    <w:p>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_Toc388863107 \h </w:instrText>
      </w:r>
      <w:r>
        <w:fldChar w:fldCharType="separate"/>
      </w:r>
      <w:r>
        <w:t>136</w:t>
      </w:r>
      <w:r>
        <w:fldChar w:fldCharType="end"/>
      </w:r>
    </w:p>
    <w:p>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_Toc388863108 \h </w:instrText>
      </w:r>
      <w:r>
        <w:fldChar w:fldCharType="separate"/>
      </w:r>
      <w:r>
        <w:t>136</w:t>
      </w:r>
      <w:r>
        <w:fldChar w:fldCharType="end"/>
      </w:r>
    </w:p>
    <w:p>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_Toc388863109 \h </w:instrText>
      </w:r>
      <w:r>
        <w:fldChar w:fldCharType="separate"/>
      </w:r>
      <w:r>
        <w:t>137</w:t>
      </w:r>
      <w:r>
        <w:fldChar w:fldCharType="end"/>
      </w:r>
    </w:p>
    <w:p>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_Toc388863110 \h </w:instrText>
      </w:r>
      <w:r>
        <w:fldChar w:fldCharType="separate"/>
      </w:r>
      <w:r>
        <w:t>138</w:t>
      </w:r>
      <w:r>
        <w:fldChar w:fldCharType="end"/>
      </w:r>
    </w:p>
    <w:p>
      <w:pPr>
        <w:pStyle w:val="TOC8"/>
        <w:rPr>
          <w:rFonts w:asciiTheme="minorHAnsi" w:eastAsiaTheme="minorEastAsia" w:hAnsiTheme="minorHAnsi" w:cstheme="minorBidi"/>
          <w:szCs w:val="22"/>
        </w:rPr>
      </w:pPr>
      <w:r>
        <w:t>14.</w:t>
      </w:r>
      <w:r>
        <w:tab/>
        <w:t>Dividends</w:t>
      </w:r>
      <w:r>
        <w:tab/>
      </w:r>
      <w:r>
        <w:fldChar w:fldCharType="begin"/>
      </w:r>
      <w:r>
        <w:instrText xml:space="preserve"> PAGEREF _Toc388863111 \h </w:instrText>
      </w:r>
      <w:r>
        <w:fldChar w:fldCharType="separate"/>
      </w:r>
      <w:r>
        <w:t>140</w:t>
      </w:r>
      <w:r>
        <w:fldChar w:fldCharType="end"/>
      </w:r>
    </w:p>
    <w:p>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_Toc388863112 \h </w:instrText>
      </w:r>
      <w:r>
        <w:fldChar w:fldCharType="separate"/>
      </w:r>
      <w:r>
        <w:t>141</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Provisions for the Mid West Ports Authority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_Toc388863114 \h </w:instrText>
      </w:r>
      <w:r>
        <w:fldChar w:fldCharType="separate"/>
      </w:r>
      <w:r>
        <w:t>142</w:t>
      </w:r>
      <w:r>
        <w:fldChar w:fldCharType="end"/>
      </w:r>
    </w:p>
    <w:p>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_Toc388863115 \h </w:instrText>
      </w:r>
      <w:r>
        <w:fldChar w:fldCharType="separate"/>
      </w:r>
      <w:r>
        <w:t>142</w:t>
      </w:r>
      <w:r>
        <w:fldChar w:fldCharType="end"/>
      </w:r>
    </w:p>
    <w:p>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_Toc388863116 \h </w:instrText>
      </w:r>
      <w:r>
        <w:fldChar w:fldCharType="separate"/>
      </w:r>
      <w:r>
        <w:t>143</w:t>
      </w:r>
      <w:r>
        <w:fldChar w:fldCharType="end"/>
      </w:r>
    </w:p>
    <w:p>
      <w:pPr>
        <w:pStyle w:val="TOC8"/>
        <w:rPr>
          <w:rFonts w:asciiTheme="minorHAnsi" w:eastAsiaTheme="minorEastAsia" w:hAnsiTheme="minorHAnsi" w:cstheme="minorBidi"/>
          <w:szCs w:val="22"/>
        </w:rPr>
      </w:pPr>
      <w:r>
        <w:t>19.</w:t>
      </w:r>
      <w:r>
        <w:tab/>
        <w:t>CEO and staff</w:t>
      </w:r>
      <w:r>
        <w:tab/>
      </w:r>
      <w:r>
        <w:fldChar w:fldCharType="begin"/>
      </w:r>
      <w:r>
        <w:instrText xml:space="preserve"> PAGEREF _Toc388863117 \h </w:instrText>
      </w:r>
      <w:r>
        <w:fldChar w:fldCharType="separate"/>
      </w:r>
      <w:r>
        <w:t>143</w:t>
      </w:r>
      <w:r>
        <w:fldChar w:fldCharType="end"/>
      </w:r>
    </w:p>
    <w:p>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_Toc388863118 \h </w:instrText>
      </w:r>
      <w:r>
        <w:fldChar w:fldCharType="separate"/>
      </w:r>
      <w:r>
        <w:t>144</w:t>
      </w:r>
      <w:r>
        <w:fldChar w:fldCharType="end"/>
      </w:r>
    </w:p>
    <w:p>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_Toc388863119 \h </w:instrText>
      </w:r>
      <w:r>
        <w:fldChar w:fldCharType="separate"/>
      </w:r>
      <w:r>
        <w:t>145</w:t>
      </w:r>
      <w:r>
        <w:fldChar w:fldCharType="end"/>
      </w:r>
    </w:p>
    <w:p>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_Toc388863120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Provisions for the Pilbara Ports Authority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_Toc388863122 \h </w:instrText>
      </w:r>
      <w:r>
        <w:fldChar w:fldCharType="separate"/>
      </w:r>
      <w:r>
        <w:t>146</w:t>
      </w:r>
      <w:r>
        <w:fldChar w:fldCharType="end"/>
      </w:r>
    </w:p>
    <w:p>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_Toc388863123 \h </w:instrText>
      </w:r>
      <w:r>
        <w:fldChar w:fldCharType="separate"/>
      </w:r>
      <w:r>
        <w:t>146</w:t>
      </w:r>
      <w:r>
        <w:fldChar w:fldCharType="end"/>
      </w:r>
    </w:p>
    <w:p>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_Toc388863124 \h </w:instrText>
      </w:r>
      <w:r>
        <w:fldChar w:fldCharType="separate"/>
      </w:r>
      <w:r>
        <w:t>147</w:t>
      </w:r>
      <w:r>
        <w:fldChar w:fldCharType="end"/>
      </w:r>
    </w:p>
    <w:p>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_Toc388863125 \h </w:instrText>
      </w:r>
      <w:r>
        <w:fldChar w:fldCharType="separate"/>
      </w:r>
      <w:r>
        <w:t>147</w:t>
      </w:r>
      <w:r>
        <w:fldChar w:fldCharType="end"/>
      </w:r>
    </w:p>
    <w:p>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_Toc388863126 \h </w:instrText>
      </w:r>
      <w:r>
        <w:fldChar w:fldCharType="separate"/>
      </w:r>
      <w:r>
        <w:t>148</w:t>
      </w:r>
      <w:r>
        <w:fldChar w:fldCharType="end"/>
      </w:r>
    </w:p>
    <w:p>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_Toc388863127 \h </w:instrText>
      </w:r>
      <w:r>
        <w:fldChar w:fldCharType="separate"/>
      </w:r>
      <w:r>
        <w:t>148</w:t>
      </w:r>
      <w:r>
        <w:fldChar w:fldCharType="end"/>
      </w:r>
    </w:p>
    <w:p>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_Toc388863128 \h </w:instrText>
      </w:r>
      <w:r>
        <w:fldChar w:fldCharType="separate"/>
      </w:r>
      <w:r>
        <w:t>149</w:t>
      </w:r>
      <w:r>
        <w:fldChar w:fldCharType="end"/>
      </w:r>
    </w:p>
    <w:p>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_Toc388863129 \h </w:instrText>
      </w:r>
      <w:r>
        <w:fldChar w:fldCharType="separate"/>
      </w:r>
      <w:r>
        <w:t>150</w:t>
      </w:r>
      <w:r>
        <w:fldChar w:fldCharType="end"/>
      </w:r>
    </w:p>
    <w:p>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_Toc388863130 \h </w:instrText>
      </w:r>
      <w:r>
        <w:fldChar w:fldCharType="separate"/>
      </w:r>
      <w:r>
        <w:t>150</w:t>
      </w:r>
      <w:r>
        <w:fldChar w:fldCharType="end"/>
      </w:r>
    </w:p>
    <w:p>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_Toc388863131 \h </w:instrText>
      </w:r>
      <w:r>
        <w:fldChar w:fldCharType="separate"/>
      </w:r>
      <w:r>
        <w:t>151</w:t>
      </w:r>
      <w:r>
        <w:fldChar w:fldCharType="end"/>
      </w:r>
    </w:p>
    <w:p>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_Toc388863132 \h </w:instrText>
      </w:r>
      <w:r>
        <w:fldChar w:fldCharType="separate"/>
      </w:r>
      <w:r>
        <w:t>152</w:t>
      </w:r>
      <w:r>
        <w:fldChar w:fldCharType="end"/>
      </w:r>
    </w:p>
    <w:p>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_Toc388863133 \h </w:instrText>
      </w:r>
      <w:r>
        <w:fldChar w:fldCharType="separate"/>
      </w:r>
      <w:r>
        <w:t>153</w:t>
      </w:r>
      <w:r>
        <w:fldChar w:fldCharType="end"/>
      </w:r>
    </w:p>
    <w:p>
      <w:pPr>
        <w:pStyle w:val="TOC8"/>
        <w:rPr>
          <w:rFonts w:asciiTheme="minorHAnsi" w:eastAsiaTheme="minorEastAsia" w:hAnsiTheme="minorHAnsi" w:cstheme="minorBidi"/>
          <w:szCs w:val="22"/>
        </w:rPr>
      </w:pPr>
      <w:r>
        <w:t>35.</w:t>
      </w:r>
      <w:r>
        <w:tab/>
        <w:t>Dividends</w:t>
      </w:r>
      <w:r>
        <w:tab/>
      </w:r>
      <w:r>
        <w:fldChar w:fldCharType="begin"/>
      </w:r>
      <w:r>
        <w:instrText xml:space="preserve"> PAGEREF _Toc388863134 \h </w:instrText>
      </w:r>
      <w:r>
        <w:fldChar w:fldCharType="separate"/>
      </w:r>
      <w:r>
        <w:t>155</w:t>
      </w:r>
      <w:r>
        <w:fldChar w:fldCharType="end"/>
      </w:r>
    </w:p>
    <w:p>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_Toc388863135 \h </w:instrText>
      </w:r>
      <w:r>
        <w:fldChar w:fldCharType="separate"/>
      </w:r>
      <w:r>
        <w:t>155</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Provisions for the Kimberley Ports Authority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_Toc388863137 \h </w:instrText>
      </w:r>
      <w:r>
        <w:fldChar w:fldCharType="separate"/>
      </w:r>
      <w:r>
        <w:t>156</w:t>
      </w:r>
      <w:r>
        <w:fldChar w:fldCharType="end"/>
      </w:r>
    </w:p>
    <w:p>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_Toc388863138 \h </w:instrText>
      </w:r>
      <w:r>
        <w:fldChar w:fldCharType="separate"/>
      </w:r>
      <w:r>
        <w:t>156</w:t>
      </w:r>
      <w:r>
        <w:fldChar w:fldCharType="end"/>
      </w:r>
    </w:p>
    <w:p>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_Toc388863139 \h </w:instrText>
      </w:r>
      <w:r>
        <w:fldChar w:fldCharType="separate"/>
      </w:r>
      <w:r>
        <w:t>157</w:t>
      </w:r>
      <w:r>
        <w:fldChar w:fldCharType="end"/>
      </w:r>
    </w:p>
    <w:p>
      <w:pPr>
        <w:pStyle w:val="TOC8"/>
        <w:rPr>
          <w:rFonts w:asciiTheme="minorHAnsi" w:eastAsiaTheme="minorEastAsia" w:hAnsiTheme="minorHAnsi" w:cstheme="minorBidi"/>
          <w:szCs w:val="22"/>
        </w:rPr>
      </w:pPr>
      <w:r>
        <w:t>40.</w:t>
      </w:r>
      <w:r>
        <w:tab/>
        <w:t>CEO and staff</w:t>
      </w:r>
      <w:r>
        <w:tab/>
      </w:r>
      <w:r>
        <w:fldChar w:fldCharType="begin"/>
      </w:r>
      <w:r>
        <w:instrText xml:space="preserve"> PAGEREF _Toc388863140 \h </w:instrText>
      </w:r>
      <w:r>
        <w:fldChar w:fldCharType="separate"/>
      </w:r>
      <w:r>
        <w:t>157</w:t>
      </w:r>
      <w:r>
        <w:fldChar w:fldCharType="end"/>
      </w:r>
    </w:p>
    <w:p>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_Toc388863141 \h </w:instrText>
      </w:r>
      <w:r>
        <w:fldChar w:fldCharType="separate"/>
      </w:r>
      <w:r>
        <w:t>158</w:t>
      </w:r>
      <w:r>
        <w:fldChar w:fldCharType="end"/>
      </w:r>
    </w:p>
    <w:p>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_Toc388863142 \h </w:instrText>
      </w:r>
      <w:r>
        <w:fldChar w:fldCharType="separate"/>
      </w:r>
      <w:r>
        <w:t>159</w:t>
      </w:r>
      <w:r>
        <w:fldChar w:fldCharType="end"/>
      </w:r>
    </w:p>
    <w:p>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_Toc388863143 \h </w:instrText>
      </w:r>
      <w:r>
        <w:fldChar w:fldCharType="separate"/>
      </w:r>
      <w:r>
        <w:t>159</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rPr>
        <w:t> — </w:t>
      </w:r>
      <w:r>
        <w:t>Provisions for certain directors</w:t>
      </w:r>
    </w:p>
    <w:p>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_Toc388863145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rPr>
        <w:t> — </w:t>
      </w:r>
      <w:r>
        <w:t>General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_Toc388863147 \h </w:instrText>
      </w:r>
      <w:r>
        <w:fldChar w:fldCharType="separate"/>
      </w:r>
      <w:r>
        <w:t>161</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_Toc388863148 \h </w:instrText>
      </w:r>
      <w:r>
        <w:fldChar w:fldCharType="separate"/>
      </w:r>
      <w:r>
        <w:t>161</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_Toc388863149 \h </w:instrText>
      </w:r>
      <w:r>
        <w:fldChar w:fldCharType="separate"/>
      </w:r>
      <w:r>
        <w:t>162</w:t>
      </w:r>
      <w:r>
        <w:fldChar w:fldCharType="end"/>
      </w:r>
    </w:p>
    <w:p>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_Toc388863150 \h </w:instrText>
      </w:r>
      <w:r>
        <w:fldChar w:fldCharType="separate"/>
      </w:r>
      <w:r>
        <w:t>162</w:t>
      </w:r>
      <w:r>
        <w:fldChar w:fldCharType="end"/>
      </w:r>
    </w:p>
    <w:p>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_Toc388863151 \h </w:instrText>
      </w:r>
      <w:r>
        <w:fldChar w:fldCharType="separate"/>
      </w:r>
      <w:r>
        <w:t>163</w:t>
      </w:r>
      <w:r>
        <w:fldChar w:fldCharType="end"/>
      </w:r>
    </w:p>
    <w:p>
      <w:pPr>
        <w:pStyle w:val="TOC8"/>
        <w:rPr>
          <w:rFonts w:asciiTheme="minorHAnsi" w:eastAsiaTheme="minorEastAsia" w:hAnsiTheme="minorHAnsi" w:cstheme="minorBidi"/>
          <w:szCs w:val="22"/>
        </w:rPr>
      </w:pPr>
      <w:r>
        <w:t>50.</w:t>
      </w:r>
      <w:r>
        <w:tab/>
        <w:t>Saving</w:t>
      </w:r>
      <w:r>
        <w:tab/>
      </w:r>
      <w:r>
        <w:fldChar w:fldCharType="begin"/>
      </w:r>
      <w:r>
        <w:instrText xml:space="preserve"> PAGEREF _Toc388863152 \h </w:instrText>
      </w:r>
      <w:r>
        <w:fldChar w:fldCharType="separate"/>
      </w:r>
      <w:r>
        <w:t>164</w:t>
      </w:r>
      <w:r>
        <w:fldChar w:fldCharType="end"/>
      </w:r>
    </w:p>
    <w:p>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_Toc388863153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_Toc388863155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_Toc388863156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388519180"/>
      <w:bookmarkStart w:id="2" w:name="_Toc38886279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388862796"/>
      <w:r>
        <w:rPr>
          <w:rStyle w:val="CharSectno"/>
        </w:rPr>
        <w:t>1</w:t>
      </w:r>
      <w:r>
        <w:rPr>
          <w:snapToGrid w:val="0"/>
        </w:rPr>
        <w:t>.</w:t>
      </w:r>
      <w:r>
        <w:rPr>
          <w:snapToGrid w:val="0"/>
        </w:rPr>
        <w:tab/>
        <w:t>Short title</w:t>
      </w:r>
      <w:bookmarkEnd w:id="3"/>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4" w:name="_Toc38886279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5" w:name="_Toc38886279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 or</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 No. 9 of 2014 s. 4(3).]</w:t>
      </w:r>
    </w:p>
    <w:p>
      <w:pPr>
        <w:pStyle w:val="Heading2"/>
      </w:pPr>
      <w:bookmarkStart w:id="6" w:name="_Toc388519184"/>
      <w:bookmarkStart w:id="7" w:name="_Toc388862799"/>
      <w:r>
        <w:rPr>
          <w:rStyle w:val="CharPartNo"/>
        </w:rPr>
        <w:t>Part 2</w:t>
      </w:r>
      <w:r>
        <w:t xml:space="preserve"> — </w:t>
      </w:r>
      <w:r>
        <w:rPr>
          <w:rStyle w:val="CharPartText"/>
        </w:rPr>
        <w:t>Port authorities: establishment and administration</w:t>
      </w:r>
      <w:bookmarkEnd w:id="6"/>
      <w:bookmarkEnd w:id="7"/>
      <w:r>
        <w:rPr>
          <w:rStyle w:val="CharPartText"/>
        </w:rPr>
        <w:t xml:space="preserve"> </w:t>
      </w:r>
    </w:p>
    <w:p>
      <w:pPr>
        <w:pStyle w:val="Heading3"/>
      </w:pPr>
      <w:bookmarkStart w:id="8" w:name="_Toc388519185"/>
      <w:bookmarkStart w:id="9" w:name="_Toc388862800"/>
      <w:r>
        <w:rPr>
          <w:rStyle w:val="CharDivNo"/>
        </w:rPr>
        <w:t>Division 1</w:t>
      </w:r>
      <w:r>
        <w:t xml:space="preserve"> — </w:t>
      </w:r>
      <w:r>
        <w:rPr>
          <w:rStyle w:val="CharDivText"/>
        </w:rPr>
        <w:t>Establishment of port authorities</w:t>
      </w:r>
      <w:bookmarkEnd w:id="8"/>
      <w:bookmarkEnd w:id="9"/>
      <w:r>
        <w:rPr>
          <w:rStyle w:val="CharDivText"/>
        </w:rPr>
        <w:t xml:space="preserve"> </w:t>
      </w:r>
    </w:p>
    <w:p>
      <w:pPr>
        <w:pStyle w:val="Heading5"/>
        <w:rPr>
          <w:snapToGrid w:val="0"/>
        </w:rPr>
      </w:pPr>
      <w:bookmarkStart w:id="10" w:name="_Toc388862801"/>
      <w:r>
        <w:rPr>
          <w:rStyle w:val="CharSectno"/>
        </w:rPr>
        <w:t>4</w:t>
      </w:r>
      <w:r>
        <w:rPr>
          <w:snapToGrid w:val="0"/>
        </w:rPr>
        <w:t>.</w:t>
      </w:r>
      <w:r>
        <w:rPr>
          <w:snapToGrid w:val="0"/>
        </w:rPr>
        <w:tab/>
        <w:t>Port authorities, establishment, nature and trading names of</w:t>
      </w:r>
      <w:bookmarkEnd w:id="10"/>
    </w:p>
    <w:p>
      <w:pPr>
        <w:pStyle w:val="Subsection"/>
      </w:pPr>
      <w:r>
        <w:tab/>
        <w:t>(1)</w:t>
      </w:r>
      <w:r>
        <w:tab/>
        <w:t>There are to be the port authorities named in column 2 of Schedule 1.</w:t>
      </w:r>
    </w:p>
    <w:p>
      <w:pPr>
        <w:pStyle w:val="Subsection"/>
      </w:pPr>
      <w:r>
        <w:tab/>
        <w:t>(2A)</w:t>
      </w:r>
      <w:r>
        <w:tab/>
        <w:t>A port authority named in column 2 of an item in Schedule 1 is to control and manage any port named in column 3 of that item.</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by No. 9 of 2014 s. 5(1).]</w:t>
      </w:r>
    </w:p>
    <w:p>
      <w:pPr>
        <w:pStyle w:val="Heading5"/>
        <w:rPr>
          <w:snapToGrid w:val="0"/>
        </w:rPr>
      </w:pPr>
      <w:bookmarkStart w:id="11" w:name="_Toc388862802"/>
      <w:r>
        <w:rPr>
          <w:rStyle w:val="CharSectno"/>
        </w:rPr>
        <w:t>5</w:t>
      </w:r>
      <w:r>
        <w:rPr>
          <w:snapToGrid w:val="0"/>
        </w:rPr>
        <w:t>.</w:t>
      </w:r>
      <w:r>
        <w:rPr>
          <w:snapToGrid w:val="0"/>
        </w:rPr>
        <w:tab/>
        <w:t>Port authorities not agents of Crown</w:t>
      </w:r>
      <w:bookmarkEnd w:id="11"/>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12" w:name="_Toc388862803"/>
      <w:r>
        <w:rPr>
          <w:rStyle w:val="CharSectno"/>
        </w:rPr>
        <w:t>6</w:t>
      </w:r>
      <w:r>
        <w:rPr>
          <w:snapToGrid w:val="0"/>
        </w:rPr>
        <w:t>.</w:t>
      </w:r>
      <w:r>
        <w:rPr>
          <w:snapToGrid w:val="0"/>
        </w:rPr>
        <w:tab/>
        <w:t>Port authorities and officers not part of public sector</w:t>
      </w:r>
      <w:bookmarkEnd w:id="12"/>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13" w:name="_Toc388519189"/>
      <w:bookmarkStart w:id="14" w:name="_Toc388862804"/>
      <w:r>
        <w:rPr>
          <w:rStyle w:val="CharDivNo"/>
        </w:rPr>
        <w:t>Division 2</w:t>
      </w:r>
      <w:r>
        <w:t xml:space="preserve"> — </w:t>
      </w:r>
      <w:r>
        <w:rPr>
          <w:rStyle w:val="CharDivText"/>
        </w:rPr>
        <w:t>Boards of directors</w:t>
      </w:r>
      <w:bookmarkEnd w:id="13"/>
      <w:bookmarkEnd w:id="14"/>
      <w:r>
        <w:rPr>
          <w:rStyle w:val="CharDivText"/>
        </w:rPr>
        <w:t xml:space="preserve"> </w:t>
      </w:r>
    </w:p>
    <w:p>
      <w:pPr>
        <w:pStyle w:val="Heading5"/>
        <w:rPr>
          <w:snapToGrid w:val="0"/>
        </w:rPr>
      </w:pPr>
      <w:bookmarkStart w:id="15" w:name="_Toc388862805"/>
      <w:r>
        <w:rPr>
          <w:rStyle w:val="CharSectno"/>
        </w:rPr>
        <w:t>7</w:t>
      </w:r>
      <w:r>
        <w:rPr>
          <w:snapToGrid w:val="0"/>
        </w:rPr>
        <w:t>.</w:t>
      </w:r>
      <w:r>
        <w:rPr>
          <w:snapToGrid w:val="0"/>
        </w:rPr>
        <w:tab/>
        <w:t>Port authorities to have board of directors</w:t>
      </w:r>
      <w:bookmarkEnd w:id="15"/>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 No. 9 of 2014 s. 7(1).]</w:t>
      </w:r>
    </w:p>
    <w:p>
      <w:pPr>
        <w:pStyle w:val="Heading5"/>
        <w:rPr>
          <w:snapToGrid w:val="0"/>
        </w:rPr>
      </w:pPr>
      <w:bookmarkStart w:id="16" w:name="_Toc388862806"/>
      <w:r>
        <w:rPr>
          <w:rStyle w:val="CharSectno"/>
        </w:rPr>
        <w:t>8</w:t>
      </w:r>
      <w:r>
        <w:rPr>
          <w:snapToGrid w:val="0"/>
        </w:rPr>
        <w:t>.</w:t>
      </w:r>
      <w:r>
        <w:rPr>
          <w:snapToGrid w:val="0"/>
        </w:rPr>
        <w:tab/>
        <w:t>Boards, role of</w:t>
      </w:r>
      <w:bookmarkEnd w:id="1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17" w:name="_Toc388862807"/>
      <w:r>
        <w:rPr>
          <w:rStyle w:val="CharSectno"/>
        </w:rPr>
        <w:t>9</w:t>
      </w:r>
      <w:r>
        <w:rPr>
          <w:snapToGrid w:val="0"/>
        </w:rPr>
        <w:t>.</w:t>
      </w:r>
      <w:r>
        <w:rPr>
          <w:snapToGrid w:val="0"/>
        </w:rPr>
        <w:tab/>
        <w:t>Boards, constitution and proceedings of (Sch. 2)</w:t>
      </w:r>
      <w:bookmarkEnd w:id="17"/>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18" w:name="_Toc388862808"/>
      <w:r>
        <w:rPr>
          <w:rStyle w:val="CharSectno"/>
        </w:rPr>
        <w:t>10</w:t>
      </w:r>
      <w:r>
        <w:rPr>
          <w:snapToGrid w:val="0"/>
        </w:rPr>
        <w:t>.</w:t>
      </w:r>
      <w:r>
        <w:rPr>
          <w:snapToGrid w:val="0"/>
        </w:rPr>
        <w:tab/>
        <w:t>Directors, remuneration of</w:t>
      </w:r>
      <w:bookmarkEnd w:id="18"/>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9" w:name="_Toc388862809"/>
      <w:r>
        <w:rPr>
          <w:rStyle w:val="CharSectno"/>
        </w:rPr>
        <w:t>11</w:t>
      </w:r>
      <w:r>
        <w:rPr>
          <w:snapToGrid w:val="0"/>
        </w:rPr>
        <w:t>.</w:t>
      </w:r>
      <w:r>
        <w:rPr>
          <w:snapToGrid w:val="0"/>
        </w:rPr>
        <w:tab/>
        <w:t>Conflict of duties</w:t>
      </w:r>
      <w:bookmarkEnd w:id="19"/>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20" w:name="_Toc388862810"/>
      <w:r>
        <w:rPr>
          <w:rStyle w:val="CharSectno"/>
        </w:rPr>
        <w:t>12</w:t>
      </w:r>
      <w:r>
        <w:rPr>
          <w:snapToGrid w:val="0"/>
        </w:rPr>
        <w:t>.</w:t>
      </w:r>
      <w:r>
        <w:rPr>
          <w:snapToGrid w:val="0"/>
        </w:rPr>
        <w:tab/>
        <w:t>Notifiable interests, disclosing</w:t>
      </w:r>
      <w:bookmarkEnd w:id="20"/>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21" w:name="_Toc388862811"/>
      <w:r>
        <w:rPr>
          <w:rStyle w:val="CharSectno"/>
        </w:rPr>
        <w:t>13</w:t>
      </w:r>
      <w:r>
        <w:rPr>
          <w:snapToGrid w:val="0"/>
        </w:rPr>
        <w:t>.</w:t>
      </w:r>
      <w:r>
        <w:rPr>
          <w:snapToGrid w:val="0"/>
        </w:rPr>
        <w:tab/>
        <w:t>Committees</w:t>
      </w:r>
      <w:bookmarkEnd w:id="21"/>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2" w:name="_Toc388519197"/>
      <w:bookmarkStart w:id="23" w:name="_Toc388862812"/>
      <w:r>
        <w:rPr>
          <w:rStyle w:val="CharDivNo"/>
        </w:rPr>
        <w:t>Division 3</w:t>
      </w:r>
      <w:r>
        <w:rPr>
          <w:snapToGrid w:val="0"/>
        </w:rPr>
        <w:t xml:space="preserve"> — </w:t>
      </w:r>
      <w:r>
        <w:rPr>
          <w:rStyle w:val="CharDivText"/>
        </w:rPr>
        <w:t>Staff</w:t>
      </w:r>
      <w:bookmarkEnd w:id="22"/>
      <w:bookmarkEnd w:id="23"/>
      <w:r>
        <w:rPr>
          <w:rStyle w:val="CharDivText"/>
        </w:rPr>
        <w:t xml:space="preserve"> </w:t>
      </w:r>
    </w:p>
    <w:p>
      <w:pPr>
        <w:pStyle w:val="Heading5"/>
        <w:rPr>
          <w:snapToGrid w:val="0"/>
        </w:rPr>
      </w:pPr>
      <w:bookmarkStart w:id="24" w:name="_Toc388862813"/>
      <w:r>
        <w:rPr>
          <w:rStyle w:val="CharSectno"/>
        </w:rPr>
        <w:t>14</w:t>
      </w:r>
      <w:r>
        <w:rPr>
          <w:snapToGrid w:val="0"/>
        </w:rPr>
        <w:t>.</w:t>
      </w:r>
      <w:r>
        <w:rPr>
          <w:snapToGrid w:val="0"/>
        </w:rPr>
        <w:tab/>
        <w:t>Chief executive officer</w:t>
      </w:r>
      <w:bookmarkEnd w:id="24"/>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25" w:name="_Toc388862814"/>
      <w:r>
        <w:rPr>
          <w:rStyle w:val="CharSectno"/>
        </w:rPr>
        <w:t>15</w:t>
      </w:r>
      <w:r>
        <w:rPr>
          <w:snapToGrid w:val="0"/>
        </w:rPr>
        <w:t>.</w:t>
      </w:r>
      <w:r>
        <w:rPr>
          <w:snapToGrid w:val="0"/>
        </w:rPr>
        <w:tab/>
        <w:t>CEO’s functions</w:t>
      </w:r>
      <w:bookmarkEnd w:id="25"/>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26" w:name="_Toc388862815"/>
      <w:r>
        <w:rPr>
          <w:rStyle w:val="CharSectno"/>
        </w:rPr>
        <w:t>16</w:t>
      </w:r>
      <w:r>
        <w:rPr>
          <w:snapToGrid w:val="0"/>
        </w:rPr>
        <w:t>.</w:t>
      </w:r>
      <w:r>
        <w:rPr>
          <w:snapToGrid w:val="0"/>
        </w:rPr>
        <w:tab/>
        <w:t>Staff</w:t>
      </w:r>
      <w:bookmarkEnd w:id="2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spacing w:before="240"/>
        <w:rPr>
          <w:snapToGrid w:val="0"/>
        </w:rPr>
      </w:pPr>
      <w:bookmarkStart w:id="27" w:name="_Toc388862816"/>
      <w:r>
        <w:rPr>
          <w:rStyle w:val="CharSectno"/>
        </w:rPr>
        <w:t>17</w:t>
      </w:r>
      <w:r>
        <w:rPr>
          <w:snapToGrid w:val="0"/>
        </w:rPr>
        <w:t>.</w:t>
      </w:r>
      <w:r>
        <w:rPr>
          <w:snapToGrid w:val="0"/>
        </w:rPr>
        <w:tab/>
        <w:t>Minimum standards for staff management</w:t>
      </w:r>
      <w:bookmarkEnd w:id="27"/>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28" w:name="_Toc388862817"/>
      <w:r>
        <w:rPr>
          <w:rStyle w:val="CharSectno"/>
        </w:rPr>
        <w:t>18</w:t>
      </w:r>
      <w:r>
        <w:rPr>
          <w:snapToGrid w:val="0"/>
        </w:rPr>
        <w:t>.</w:t>
      </w:r>
      <w:r>
        <w:rPr>
          <w:snapToGrid w:val="0"/>
        </w:rPr>
        <w:tab/>
        <w:t>Reports to Public Sector Commissioner as to s. 17 standards</w:t>
      </w:r>
      <w:bookmarkEnd w:id="2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29" w:name="_Toc388862818"/>
      <w:r>
        <w:rPr>
          <w:rStyle w:val="CharSectno"/>
        </w:rPr>
        <w:t>19</w:t>
      </w:r>
      <w:r>
        <w:rPr>
          <w:snapToGrid w:val="0"/>
        </w:rPr>
        <w:t>.</w:t>
      </w:r>
      <w:r>
        <w:rPr>
          <w:snapToGrid w:val="0"/>
        </w:rPr>
        <w:tab/>
        <w:t>Superannuation</w:t>
      </w:r>
      <w:bookmarkEnd w:id="2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30" w:name="_Toc388519204"/>
      <w:bookmarkStart w:id="31" w:name="_Toc388862819"/>
      <w:r>
        <w:rPr>
          <w:rStyle w:val="CharDivNo"/>
        </w:rPr>
        <w:t>Division 4</w:t>
      </w:r>
      <w:r>
        <w:rPr>
          <w:snapToGrid w:val="0"/>
        </w:rPr>
        <w:t xml:space="preserve"> — </w:t>
      </w:r>
      <w:r>
        <w:rPr>
          <w:rStyle w:val="CharDivText"/>
        </w:rPr>
        <w:t>Conduct and integrity of staff</w:t>
      </w:r>
      <w:bookmarkEnd w:id="30"/>
      <w:bookmarkEnd w:id="31"/>
    </w:p>
    <w:p>
      <w:pPr>
        <w:pStyle w:val="Heading5"/>
        <w:rPr>
          <w:snapToGrid w:val="0"/>
        </w:rPr>
      </w:pPr>
      <w:bookmarkStart w:id="32" w:name="_Toc388862820"/>
      <w:r>
        <w:rPr>
          <w:rStyle w:val="CharSectno"/>
        </w:rPr>
        <w:t>20</w:t>
      </w:r>
      <w:r>
        <w:rPr>
          <w:snapToGrid w:val="0"/>
        </w:rPr>
        <w:t>.</w:t>
      </w:r>
      <w:r>
        <w:rPr>
          <w:snapToGrid w:val="0"/>
        </w:rPr>
        <w:tab/>
        <w:t>CEO and staff, duties of (Sch. 3) etc.</w:t>
      </w:r>
      <w:bookmarkEnd w:id="32"/>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33" w:name="_Toc388862821"/>
      <w:r>
        <w:rPr>
          <w:rStyle w:val="CharSectno"/>
        </w:rPr>
        <w:t>21</w:t>
      </w:r>
      <w:r>
        <w:rPr>
          <w:snapToGrid w:val="0"/>
        </w:rPr>
        <w:t>.</w:t>
      </w:r>
      <w:r>
        <w:rPr>
          <w:snapToGrid w:val="0"/>
        </w:rPr>
        <w:tab/>
        <w:t>Codes of conduct</w:t>
      </w:r>
      <w:bookmarkEnd w:id="33"/>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spacing w:before="180"/>
        <w:rPr>
          <w:snapToGrid w:val="0"/>
        </w:rPr>
      </w:pPr>
      <w:bookmarkStart w:id="34" w:name="_Toc388862822"/>
      <w:r>
        <w:rPr>
          <w:rStyle w:val="CharSectno"/>
        </w:rPr>
        <w:t>22</w:t>
      </w:r>
      <w:r>
        <w:rPr>
          <w:snapToGrid w:val="0"/>
        </w:rPr>
        <w:t>.</w:t>
      </w:r>
      <w:r>
        <w:rPr>
          <w:snapToGrid w:val="0"/>
        </w:rPr>
        <w:tab/>
        <w:t>Reports to Public Sector Commissioner as to s. 21 codes</w:t>
      </w:r>
      <w:bookmarkEnd w:id="34"/>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by No. 39 of 2010 s. 81(3).]</w:t>
      </w:r>
    </w:p>
    <w:p>
      <w:pPr>
        <w:pStyle w:val="Heading5"/>
        <w:rPr>
          <w:snapToGrid w:val="0"/>
        </w:rPr>
      </w:pPr>
      <w:bookmarkStart w:id="35" w:name="_Toc388862823"/>
      <w:r>
        <w:rPr>
          <w:rStyle w:val="CharSectno"/>
        </w:rPr>
        <w:t>23</w:t>
      </w:r>
      <w:r>
        <w:rPr>
          <w:snapToGrid w:val="0"/>
        </w:rPr>
        <w:t>.</w:t>
      </w:r>
      <w:r>
        <w:rPr>
          <w:snapToGrid w:val="0"/>
        </w:rPr>
        <w:tab/>
        <w:t>Reports to Minister as to s. 21 codes</w:t>
      </w:r>
      <w:bookmarkEnd w:id="35"/>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36" w:name="_Toc388519209"/>
      <w:bookmarkStart w:id="37" w:name="_Toc38886282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36"/>
      <w:bookmarkEnd w:id="37"/>
      <w:r>
        <w:rPr>
          <w:rStyle w:val="CharPartText"/>
        </w:rPr>
        <w:t xml:space="preserve"> </w:t>
      </w:r>
    </w:p>
    <w:p>
      <w:pPr>
        <w:pStyle w:val="Heading5"/>
        <w:rPr>
          <w:snapToGrid w:val="0"/>
        </w:rPr>
      </w:pPr>
      <w:bookmarkStart w:id="38" w:name="_Toc388862825"/>
      <w:r>
        <w:rPr>
          <w:rStyle w:val="CharSectno"/>
        </w:rPr>
        <w:t>24</w:t>
      </w:r>
      <w:r>
        <w:rPr>
          <w:snapToGrid w:val="0"/>
        </w:rPr>
        <w:t>.</w:t>
      </w:r>
      <w:r>
        <w:rPr>
          <w:snapToGrid w:val="0"/>
        </w:rPr>
        <w:tab/>
        <w:t>Port areas defined</w:t>
      </w:r>
      <w:bookmarkEnd w:id="38"/>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39" w:name="_Toc388862826"/>
      <w:r>
        <w:rPr>
          <w:rStyle w:val="CharSectno"/>
        </w:rPr>
        <w:t>25</w:t>
      </w:r>
      <w:r>
        <w:rPr>
          <w:snapToGrid w:val="0"/>
        </w:rPr>
        <w:t>.</w:t>
      </w:r>
      <w:r>
        <w:rPr>
          <w:snapToGrid w:val="0"/>
        </w:rPr>
        <w:tab/>
        <w:t>Port authority, property vested in</w:t>
      </w:r>
      <w:bookmarkEnd w:id="39"/>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40" w:name="_Toc388862827"/>
      <w:r>
        <w:rPr>
          <w:rStyle w:val="CharSectno"/>
        </w:rPr>
        <w:t>26</w:t>
      </w:r>
      <w:r>
        <w:rPr>
          <w:snapToGrid w:val="0"/>
        </w:rPr>
        <w:t>.</w:t>
      </w:r>
      <w:r>
        <w:rPr>
          <w:snapToGrid w:val="0"/>
        </w:rPr>
        <w:tab/>
        <w:t>Port property may be taken back by Crown</w:t>
      </w:r>
      <w:bookmarkEnd w:id="40"/>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41" w:name="_Toc388862828"/>
      <w:r>
        <w:rPr>
          <w:rStyle w:val="CharSectno"/>
        </w:rPr>
        <w:t>27</w:t>
      </w:r>
      <w:r>
        <w:rPr>
          <w:snapToGrid w:val="0"/>
        </w:rPr>
        <w:t>.</w:t>
      </w:r>
      <w:r>
        <w:rPr>
          <w:snapToGrid w:val="0"/>
        </w:rPr>
        <w:tab/>
        <w:t>Power to sell land, restrictions on</w:t>
      </w:r>
      <w:bookmarkEnd w:id="41"/>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by No. 9 of 2014 s. 10.]</w:t>
      </w:r>
    </w:p>
    <w:p>
      <w:pPr>
        <w:pStyle w:val="Heading5"/>
      </w:pPr>
      <w:bookmarkStart w:id="42" w:name="_Toc388862829"/>
      <w:r>
        <w:rPr>
          <w:rStyle w:val="CharSectno"/>
        </w:rPr>
        <w:t>27A</w:t>
      </w:r>
      <w:r>
        <w:t>.</w:t>
      </w:r>
      <w:r>
        <w:tab/>
        <w:t>Land, creating interests in</w:t>
      </w:r>
      <w:bookmarkEnd w:id="42"/>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43" w:name="_Toc388862830"/>
      <w:r>
        <w:rPr>
          <w:rStyle w:val="CharSectno"/>
        </w:rPr>
        <w:t>28</w:t>
      </w:r>
      <w:r>
        <w:rPr>
          <w:snapToGrid w:val="0"/>
        </w:rPr>
        <w:t>.</w:t>
      </w:r>
      <w:r>
        <w:rPr>
          <w:snapToGrid w:val="0"/>
        </w:rPr>
        <w:tab/>
        <w:t>Vested land, creating and dealing with interests in</w:t>
      </w:r>
      <w:bookmarkEnd w:id="43"/>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44" w:name="_Toc388862831"/>
      <w:r>
        <w:rPr>
          <w:rStyle w:val="CharSectno"/>
        </w:rPr>
        <w:t>29</w:t>
      </w:r>
      <w:r>
        <w:rPr>
          <w:snapToGrid w:val="0"/>
        </w:rPr>
        <w:t>.</w:t>
      </w:r>
      <w:r>
        <w:rPr>
          <w:snapToGrid w:val="0"/>
        </w:rPr>
        <w:tab/>
        <w:t>Disputes between port authority and Crown</w:t>
      </w:r>
      <w:bookmarkEnd w:id="44"/>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45" w:name="_Toc388519217"/>
      <w:bookmarkStart w:id="46" w:name="_Toc388862832"/>
      <w:r>
        <w:rPr>
          <w:rStyle w:val="CharPartNo"/>
        </w:rPr>
        <w:t>Part 4</w:t>
      </w:r>
      <w:r>
        <w:t xml:space="preserve"> — </w:t>
      </w:r>
      <w:r>
        <w:rPr>
          <w:rStyle w:val="CharPartText"/>
        </w:rPr>
        <w:t>Functions and powers</w:t>
      </w:r>
      <w:bookmarkEnd w:id="45"/>
      <w:bookmarkEnd w:id="46"/>
      <w:r>
        <w:t xml:space="preserve"> </w:t>
      </w:r>
    </w:p>
    <w:p>
      <w:pPr>
        <w:pStyle w:val="Heading3"/>
      </w:pPr>
      <w:bookmarkStart w:id="47" w:name="_Toc388519218"/>
      <w:bookmarkStart w:id="48" w:name="_Toc388862833"/>
      <w:r>
        <w:rPr>
          <w:rStyle w:val="CharDivNo"/>
        </w:rPr>
        <w:t>Division 1</w:t>
      </w:r>
      <w:r>
        <w:t xml:space="preserve"> — </w:t>
      </w:r>
      <w:r>
        <w:rPr>
          <w:rStyle w:val="CharDivText"/>
        </w:rPr>
        <w:t>Functions, powers and related provisions</w:t>
      </w:r>
      <w:bookmarkEnd w:id="47"/>
      <w:bookmarkEnd w:id="48"/>
      <w:r>
        <w:rPr>
          <w:rStyle w:val="CharDivText"/>
        </w:rPr>
        <w:t xml:space="preserve"> </w:t>
      </w:r>
    </w:p>
    <w:p>
      <w:pPr>
        <w:pStyle w:val="Heading5"/>
        <w:rPr>
          <w:snapToGrid w:val="0"/>
        </w:rPr>
      </w:pPr>
      <w:bookmarkStart w:id="49" w:name="_Toc388862834"/>
      <w:r>
        <w:rPr>
          <w:rStyle w:val="CharSectno"/>
        </w:rPr>
        <w:t>30</w:t>
      </w:r>
      <w:r>
        <w:rPr>
          <w:snapToGrid w:val="0"/>
        </w:rPr>
        <w:t>.</w:t>
      </w:r>
      <w:r>
        <w:rPr>
          <w:snapToGrid w:val="0"/>
        </w:rPr>
        <w:tab/>
        <w:t>Functions</w:t>
      </w:r>
      <w:bookmarkEnd w:id="49"/>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50" w:name="_Toc388862835"/>
      <w:r>
        <w:rPr>
          <w:rStyle w:val="CharSectno"/>
        </w:rPr>
        <w:t>31</w:t>
      </w:r>
      <w:r>
        <w:rPr>
          <w:snapToGrid w:val="0"/>
        </w:rPr>
        <w:t>.</w:t>
      </w:r>
      <w:r>
        <w:rPr>
          <w:snapToGrid w:val="0"/>
        </w:rPr>
        <w:tab/>
        <w:t>Port authorities can act at their discretion</w:t>
      </w:r>
      <w:bookmarkEnd w:id="50"/>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51" w:name="_Toc388862836"/>
      <w:r>
        <w:rPr>
          <w:rStyle w:val="CharSectno"/>
        </w:rPr>
        <w:t>32</w:t>
      </w:r>
      <w:r>
        <w:rPr>
          <w:snapToGrid w:val="0"/>
        </w:rPr>
        <w:t>.</w:t>
      </w:r>
      <w:r>
        <w:rPr>
          <w:snapToGrid w:val="0"/>
        </w:rPr>
        <w:tab/>
        <w:t>Control of port, port authority has</w:t>
      </w:r>
      <w:bookmarkEnd w:id="51"/>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52" w:name="_Toc388862837"/>
      <w:r>
        <w:rPr>
          <w:rStyle w:val="CharSectno"/>
        </w:rPr>
        <w:t>33</w:t>
      </w:r>
      <w:r>
        <w:rPr>
          <w:snapToGrid w:val="0"/>
        </w:rPr>
        <w:t>.</w:t>
      </w:r>
      <w:r>
        <w:rPr>
          <w:snapToGrid w:val="0"/>
        </w:rPr>
        <w:tab/>
        <w:t>Duty to act in accordance with policy instruments</w:t>
      </w:r>
      <w:bookmarkEnd w:id="52"/>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53" w:name="_Toc388862838"/>
      <w:r>
        <w:rPr>
          <w:rStyle w:val="CharSectno"/>
        </w:rPr>
        <w:t>34</w:t>
      </w:r>
      <w:r>
        <w:rPr>
          <w:snapToGrid w:val="0"/>
        </w:rPr>
        <w:t>.</w:t>
      </w:r>
      <w:r>
        <w:rPr>
          <w:snapToGrid w:val="0"/>
        </w:rPr>
        <w:tab/>
        <w:t>Duty to act on commercial principles</w:t>
      </w:r>
      <w:bookmarkEnd w:id="53"/>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54" w:name="_Toc388862839"/>
      <w:r>
        <w:rPr>
          <w:rStyle w:val="CharSectno"/>
        </w:rPr>
        <w:t>35</w:t>
      </w:r>
      <w:r>
        <w:rPr>
          <w:snapToGrid w:val="0"/>
        </w:rPr>
        <w:t>.</w:t>
      </w:r>
      <w:r>
        <w:rPr>
          <w:snapToGrid w:val="0"/>
        </w:rPr>
        <w:tab/>
        <w:t>Powers generally</w:t>
      </w:r>
      <w:bookmarkEnd w:id="54"/>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55" w:name="_Toc388862840"/>
      <w:r>
        <w:rPr>
          <w:rStyle w:val="CharSectno"/>
        </w:rPr>
        <w:t>36</w:t>
      </w:r>
      <w:r>
        <w:rPr>
          <w:snapToGrid w:val="0"/>
        </w:rPr>
        <w:t>.</w:t>
      </w:r>
      <w:r>
        <w:rPr>
          <w:snapToGrid w:val="0"/>
        </w:rPr>
        <w:tab/>
        <w:t>Port facilities and services, extended powers as to</w:t>
      </w:r>
      <w:bookmarkEnd w:id="55"/>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56" w:name="_Toc388862841"/>
      <w:r>
        <w:rPr>
          <w:rStyle w:val="CharSectno"/>
        </w:rPr>
        <w:t>37</w:t>
      </w:r>
      <w:r>
        <w:rPr>
          <w:snapToGrid w:val="0"/>
        </w:rPr>
        <w:t>.</w:t>
      </w:r>
      <w:r>
        <w:rPr>
          <w:snapToGrid w:val="0"/>
        </w:rPr>
        <w:tab/>
        <w:t>Fees and charges, power to levy</w:t>
      </w:r>
      <w:bookmarkEnd w:id="56"/>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57" w:name="_Toc388862842"/>
      <w:r>
        <w:rPr>
          <w:rStyle w:val="CharSectno"/>
        </w:rPr>
        <w:t>38</w:t>
      </w:r>
      <w:r>
        <w:rPr>
          <w:snapToGrid w:val="0"/>
        </w:rPr>
        <w:t>.</w:t>
      </w:r>
      <w:r>
        <w:rPr>
          <w:snapToGrid w:val="0"/>
        </w:rPr>
        <w:tab/>
        <w:t>Planning laws, application of to port authorities</w:t>
      </w:r>
      <w:bookmarkEnd w:id="5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by No. 74 of 2003 s. 93(3); No. 38 of 2005 s. 15; No. 24 of 2011 s. 169.]</w:t>
      </w:r>
    </w:p>
    <w:p>
      <w:pPr>
        <w:pStyle w:val="Heading5"/>
        <w:rPr>
          <w:snapToGrid w:val="0"/>
        </w:rPr>
      </w:pPr>
      <w:bookmarkStart w:id="58" w:name="_Toc388862843"/>
      <w:r>
        <w:rPr>
          <w:rStyle w:val="CharSectno"/>
        </w:rPr>
        <w:t>39</w:t>
      </w:r>
      <w:r>
        <w:rPr>
          <w:snapToGrid w:val="0"/>
        </w:rPr>
        <w:t>.</w:t>
      </w:r>
      <w:r>
        <w:rPr>
          <w:snapToGrid w:val="0"/>
        </w:rPr>
        <w:tab/>
        <w:t>Subsidiaries of port authorities, acquisition of etc.</w:t>
      </w:r>
      <w:bookmarkEnd w:id="58"/>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59" w:name="_Toc388862844"/>
      <w:r>
        <w:rPr>
          <w:rStyle w:val="CharSectno"/>
        </w:rPr>
        <w:t>40</w:t>
      </w:r>
      <w:r>
        <w:rPr>
          <w:snapToGrid w:val="0"/>
        </w:rPr>
        <w:t>.</w:t>
      </w:r>
      <w:r>
        <w:rPr>
          <w:snapToGrid w:val="0"/>
        </w:rPr>
        <w:tab/>
        <w:t>Ministerial approval, transactions requiring</w:t>
      </w:r>
      <w:bookmarkEnd w:id="59"/>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60" w:name="_Toc388862845"/>
      <w:r>
        <w:rPr>
          <w:rStyle w:val="CharSectno"/>
        </w:rPr>
        <w:t>41</w:t>
      </w:r>
      <w:r>
        <w:rPr>
          <w:snapToGrid w:val="0"/>
        </w:rPr>
        <w:t>.</w:t>
      </w:r>
      <w:r>
        <w:rPr>
          <w:snapToGrid w:val="0"/>
        </w:rPr>
        <w:tab/>
        <w:t>Exemptions from s. 40</w:t>
      </w:r>
      <w:bookmarkEnd w:id="60"/>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61" w:name="_Toc388862846"/>
      <w:r>
        <w:rPr>
          <w:rStyle w:val="CharSectno"/>
        </w:rPr>
        <w:t>42</w:t>
      </w:r>
      <w:r>
        <w:rPr>
          <w:snapToGrid w:val="0"/>
        </w:rPr>
        <w:t>.</w:t>
      </w:r>
      <w:r>
        <w:rPr>
          <w:snapToGrid w:val="0"/>
        </w:rPr>
        <w:tab/>
        <w:t>Term used: transaction</w:t>
      </w:r>
      <w:bookmarkEnd w:id="61"/>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62" w:name="_Toc388862847"/>
      <w:r>
        <w:rPr>
          <w:rStyle w:val="CharSectno"/>
        </w:rPr>
        <w:t>43</w:t>
      </w:r>
      <w:r>
        <w:rPr>
          <w:snapToGrid w:val="0"/>
        </w:rPr>
        <w:t>.</w:t>
      </w:r>
      <w:r>
        <w:rPr>
          <w:snapToGrid w:val="0"/>
        </w:rPr>
        <w:tab/>
        <w:t>Major initiatives etc., Minister to be consulted on</w:t>
      </w:r>
      <w:bookmarkEnd w:id="62"/>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63" w:name="_Toc388862848"/>
      <w:r>
        <w:rPr>
          <w:rStyle w:val="CharSectno"/>
        </w:rPr>
        <w:t>44</w:t>
      </w:r>
      <w:r>
        <w:rPr>
          <w:snapToGrid w:val="0"/>
        </w:rPr>
        <w:t>.</w:t>
      </w:r>
      <w:r>
        <w:rPr>
          <w:snapToGrid w:val="0"/>
        </w:rPr>
        <w:tab/>
        <w:t>Delegation by port authority</w:t>
      </w:r>
      <w:bookmarkEnd w:id="63"/>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64" w:name="_Toc388519234"/>
      <w:bookmarkStart w:id="65" w:name="_Toc388862849"/>
      <w:r>
        <w:rPr>
          <w:rStyle w:val="CharDivNo"/>
        </w:rPr>
        <w:t>Division 2</w:t>
      </w:r>
      <w:r>
        <w:rPr>
          <w:snapToGrid w:val="0"/>
        </w:rPr>
        <w:t xml:space="preserve"> — </w:t>
      </w:r>
      <w:r>
        <w:rPr>
          <w:rStyle w:val="CharDivText"/>
        </w:rPr>
        <w:t>Protection of people dealing with port authorities</w:t>
      </w:r>
      <w:bookmarkEnd w:id="64"/>
      <w:bookmarkEnd w:id="65"/>
    </w:p>
    <w:p>
      <w:pPr>
        <w:pStyle w:val="Heading5"/>
        <w:rPr>
          <w:snapToGrid w:val="0"/>
        </w:rPr>
      </w:pPr>
      <w:bookmarkStart w:id="66" w:name="_Toc388862850"/>
      <w:r>
        <w:rPr>
          <w:rStyle w:val="CharSectno"/>
        </w:rPr>
        <w:t>45</w:t>
      </w:r>
      <w:r>
        <w:rPr>
          <w:snapToGrid w:val="0"/>
        </w:rPr>
        <w:t>.</w:t>
      </w:r>
      <w:r>
        <w:rPr>
          <w:snapToGrid w:val="0"/>
        </w:rPr>
        <w:tab/>
        <w:t>People dealing with port authorities may make assumptions</w:t>
      </w:r>
      <w:bookmarkEnd w:id="6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67" w:name="_Toc388862851"/>
      <w:r>
        <w:rPr>
          <w:rStyle w:val="CharSectno"/>
        </w:rPr>
        <w:t>46</w:t>
      </w:r>
      <w:r>
        <w:rPr>
          <w:snapToGrid w:val="0"/>
        </w:rPr>
        <w:t>.</w:t>
      </w:r>
      <w:r>
        <w:rPr>
          <w:snapToGrid w:val="0"/>
        </w:rPr>
        <w:tab/>
        <w:t>Third parties may make assumptions</w:t>
      </w:r>
      <w:bookmarkEnd w:id="67"/>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68" w:name="_Toc388862852"/>
      <w:r>
        <w:rPr>
          <w:rStyle w:val="CharSectno"/>
        </w:rPr>
        <w:t>47</w:t>
      </w:r>
      <w:r>
        <w:rPr>
          <w:snapToGrid w:val="0"/>
        </w:rPr>
        <w:t>.</w:t>
      </w:r>
      <w:r>
        <w:rPr>
          <w:snapToGrid w:val="0"/>
        </w:rPr>
        <w:tab/>
        <w:t>Assumptions that may be made under s. 45 and 46</w:t>
      </w:r>
      <w:bookmarkEnd w:id="68"/>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69" w:name="_Toc388862853"/>
      <w:r>
        <w:rPr>
          <w:rStyle w:val="CharSectno"/>
        </w:rPr>
        <w:t>48</w:t>
      </w:r>
      <w:r>
        <w:rPr>
          <w:snapToGrid w:val="0"/>
        </w:rPr>
        <w:t>.</w:t>
      </w:r>
      <w:r>
        <w:rPr>
          <w:snapToGrid w:val="0"/>
        </w:rPr>
        <w:tab/>
        <w:t>Exception to s. 45 and 46</w:t>
      </w:r>
      <w:bookmarkEnd w:id="6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70" w:name="_Toc388519239"/>
      <w:bookmarkStart w:id="71" w:name="_Toc388862854"/>
      <w:r>
        <w:rPr>
          <w:rStyle w:val="CharPartNo"/>
        </w:rPr>
        <w:t>Part 5</w:t>
      </w:r>
      <w:r>
        <w:t xml:space="preserve"> — </w:t>
      </w:r>
      <w:r>
        <w:rPr>
          <w:rStyle w:val="CharPartText"/>
        </w:rPr>
        <w:t>Provisions about accountability</w:t>
      </w:r>
      <w:bookmarkEnd w:id="70"/>
      <w:bookmarkEnd w:id="71"/>
      <w:r>
        <w:rPr>
          <w:rStyle w:val="CharPartText"/>
        </w:rPr>
        <w:t xml:space="preserve"> </w:t>
      </w:r>
    </w:p>
    <w:p>
      <w:pPr>
        <w:pStyle w:val="Heading3"/>
      </w:pPr>
      <w:bookmarkStart w:id="72" w:name="_Toc388519240"/>
      <w:bookmarkStart w:id="73" w:name="_Toc388862855"/>
      <w:r>
        <w:rPr>
          <w:rStyle w:val="CharDivNo"/>
        </w:rPr>
        <w:t>Division 1</w:t>
      </w:r>
      <w:r>
        <w:t xml:space="preserve"> — </w:t>
      </w:r>
      <w:r>
        <w:rPr>
          <w:rStyle w:val="CharDivText"/>
        </w:rPr>
        <w:t>Strategic development plans</w:t>
      </w:r>
      <w:bookmarkEnd w:id="72"/>
      <w:bookmarkEnd w:id="73"/>
      <w:r>
        <w:rPr>
          <w:rStyle w:val="CharDivText"/>
        </w:rPr>
        <w:t xml:space="preserve"> </w:t>
      </w:r>
    </w:p>
    <w:p>
      <w:pPr>
        <w:pStyle w:val="Heading5"/>
        <w:rPr>
          <w:snapToGrid w:val="0"/>
        </w:rPr>
      </w:pPr>
      <w:bookmarkStart w:id="74" w:name="_Toc388862856"/>
      <w:r>
        <w:rPr>
          <w:rStyle w:val="CharSectno"/>
        </w:rPr>
        <w:t>49</w:t>
      </w:r>
      <w:r>
        <w:rPr>
          <w:snapToGrid w:val="0"/>
        </w:rPr>
        <w:t>.</w:t>
      </w:r>
      <w:r>
        <w:rPr>
          <w:snapToGrid w:val="0"/>
        </w:rPr>
        <w:tab/>
        <w:t>Draft strategic development plan to be submitted to Minister</w:t>
      </w:r>
      <w:bookmarkEnd w:id="7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spacing w:before="240"/>
        <w:rPr>
          <w:snapToGrid w:val="0"/>
        </w:rPr>
      </w:pPr>
      <w:bookmarkStart w:id="75" w:name="_Toc388862857"/>
      <w:r>
        <w:rPr>
          <w:rStyle w:val="CharSectno"/>
        </w:rPr>
        <w:t>50</w:t>
      </w:r>
      <w:r>
        <w:rPr>
          <w:snapToGrid w:val="0"/>
        </w:rPr>
        <w:t>.</w:t>
      </w:r>
      <w:r>
        <w:rPr>
          <w:snapToGrid w:val="0"/>
        </w:rPr>
        <w:tab/>
        <w:t>Period to which strategic development plan relates</w:t>
      </w:r>
      <w:bookmarkEnd w:id="75"/>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76" w:name="_Toc388862858"/>
      <w:r>
        <w:rPr>
          <w:rStyle w:val="CharSectno"/>
        </w:rPr>
        <w:t>51</w:t>
      </w:r>
      <w:r>
        <w:rPr>
          <w:snapToGrid w:val="0"/>
        </w:rPr>
        <w:t>.</w:t>
      </w:r>
      <w:r>
        <w:rPr>
          <w:snapToGrid w:val="0"/>
        </w:rPr>
        <w:tab/>
        <w:t>Matters to be included in strategic development plan</w:t>
      </w:r>
      <w:bookmarkEnd w:id="76"/>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77" w:name="_Toc388862859"/>
      <w:r>
        <w:rPr>
          <w:rStyle w:val="CharSectno"/>
        </w:rPr>
        <w:t>52</w:t>
      </w:r>
      <w:r>
        <w:rPr>
          <w:snapToGrid w:val="0"/>
        </w:rPr>
        <w:t>.</w:t>
      </w:r>
      <w:r>
        <w:rPr>
          <w:snapToGrid w:val="0"/>
        </w:rPr>
        <w:tab/>
        <w:t>Strategic development plan to be agreed if possible</w:t>
      </w:r>
      <w:bookmarkEnd w:id="7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78" w:name="_Toc388862860"/>
      <w:r>
        <w:rPr>
          <w:rStyle w:val="CharSectno"/>
        </w:rPr>
        <w:t>53</w:t>
      </w:r>
      <w:r>
        <w:rPr>
          <w:snapToGrid w:val="0"/>
        </w:rPr>
        <w:t>.</w:t>
      </w:r>
      <w:r>
        <w:rPr>
          <w:snapToGrid w:val="0"/>
        </w:rPr>
        <w:tab/>
        <w:t>Minister’s powers in relation to draft strategic development plan</w:t>
      </w:r>
      <w:bookmarkEnd w:id="78"/>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9" w:name="_Toc388862861"/>
      <w:r>
        <w:rPr>
          <w:rStyle w:val="CharSectno"/>
        </w:rPr>
        <w:t>54</w:t>
      </w:r>
      <w:r>
        <w:rPr>
          <w:snapToGrid w:val="0"/>
        </w:rPr>
        <w:t>.</w:t>
      </w:r>
      <w:r>
        <w:rPr>
          <w:snapToGrid w:val="0"/>
        </w:rPr>
        <w:tab/>
        <w:t>Strategic development plan pending agreement</w:t>
      </w:r>
      <w:bookmarkEnd w:id="7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80" w:name="_Toc388862862"/>
      <w:r>
        <w:rPr>
          <w:rStyle w:val="CharSectno"/>
        </w:rPr>
        <w:t>55</w:t>
      </w:r>
      <w:r>
        <w:rPr>
          <w:snapToGrid w:val="0"/>
        </w:rPr>
        <w:t>.</w:t>
      </w:r>
      <w:r>
        <w:rPr>
          <w:snapToGrid w:val="0"/>
        </w:rPr>
        <w:tab/>
        <w:t>Agreed draft becomes strategic development plan</w:t>
      </w:r>
      <w:bookmarkEnd w:id="80"/>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81" w:name="_Toc388862863"/>
      <w:r>
        <w:rPr>
          <w:rStyle w:val="CharSectno"/>
        </w:rPr>
        <w:t>56</w:t>
      </w:r>
      <w:r>
        <w:rPr>
          <w:snapToGrid w:val="0"/>
        </w:rPr>
        <w:t>.</w:t>
      </w:r>
      <w:r>
        <w:rPr>
          <w:snapToGrid w:val="0"/>
        </w:rPr>
        <w:tab/>
        <w:t>Modifying strategic development plan</w:t>
      </w:r>
      <w:bookmarkEnd w:id="81"/>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82" w:name="_Toc388862864"/>
      <w:r>
        <w:rPr>
          <w:rStyle w:val="CharSectno"/>
        </w:rPr>
        <w:t>57</w:t>
      </w:r>
      <w:r>
        <w:rPr>
          <w:snapToGrid w:val="0"/>
        </w:rPr>
        <w:t>.</w:t>
      </w:r>
      <w:r>
        <w:rPr>
          <w:snapToGrid w:val="0"/>
        </w:rPr>
        <w:tab/>
        <w:t>Treasurer’s concurrence needed by Minister for s. 55 or 56</w:t>
      </w:r>
      <w:bookmarkEnd w:id="82"/>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83" w:name="_Toc388519250"/>
      <w:bookmarkStart w:id="84" w:name="_Toc388862865"/>
      <w:r>
        <w:rPr>
          <w:rStyle w:val="CharDivNo"/>
        </w:rPr>
        <w:t>Division 2</w:t>
      </w:r>
      <w:r>
        <w:t xml:space="preserve"> — </w:t>
      </w:r>
      <w:r>
        <w:rPr>
          <w:rStyle w:val="CharDivText"/>
        </w:rPr>
        <w:t>Statement of corporate intent</w:t>
      </w:r>
      <w:bookmarkEnd w:id="83"/>
      <w:bookmarkEnd w:id="84"/>
      <w:r>
        <w:rPr>
          <w:rStyle w:val="CharDivText"/>
        </w:rPr>
        <w:t xml:space="preserve"> </w:t>
      </w:r>
    </w:p>
    <w:p>
      <w:pPr>
        <w:pStyle w:val="Heading5"/>
        <w:rPr>
          <w:snapToGrid w:val="0"/>
        </w:rPr>
      </w:pPr>
      <w:bookmarkStart w:id="85" w:name="_Toc388862866"/>
      <w:r>
        <w:rPr>
          <w:rStyle w:val="CharSectno"/>
        </w:rPr>
        <w:t>58</w:t>
      </w:r>
      <w:r>
        <w:rPr>
          <w:snapToGrid w:val="0"/>
        </w:rPr>
        <w:t>.</w:t>
      </w:r>
      <w:r>
        <w:rPr>
          <w:snapToGrid w:val="0"/>
        </w:rPr>
        <w:tab/>
        <w:t>Draft statement of corporate intent to be submitted to Minister</w:t>
      </w:r>
      <w:bookmarkEnd w:id="85"/>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spacing w:before="240"/>
        <w:rPr>
          <w:snapToGrid w:val="0"/>
        </w:rPr>
      </w:pPr>
      <w:bookmarkStart w:id="86" w:name="_Toc388862867"/>
      <w:r>
        <w:rPr>
          <w:rStyle w:val="CharSectno"/>
        </w:rPr>
        <w:t>59</w:t>
      </w:r>
      <w:r>
        <w:rPr>
          <w:snapToGrid w:val="0"/>
        </w:rPr>
        <w:t>.</w:t>
      </w:r>
      <w:r>
        <w:rPr>
          <w:snapToGrid w:val="0"/>
        </w:rPr>
        <w:tab/>
        <w:t>Period to which statement of corporate intent relates</w:t>
      </w:r>
      <w:bookmarkEnd w:id="86"/>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87" w:name="_Toc388862868"/>
      <w:r>
        <w:rPr>
          <w:rStyle w:val="CharSectno"/>
        </w:rPr>
        <w:t>60</w:t>
      </w:r>
      <w:r>
        <w:rPr>
          <w:snapToGrid w:val="0"/>
        </w:rPr>
        <w:t>.</w:t>
      </w:r>
      <w:r>
        <w:rPr>
          <w:snapToGrid w:val="0"/>
        </w:rPr>
        <w:tab/>
        <w:t>Matters to be included in statement of corporate intent</w:t>
      </w:r>
      <w:bookmarkEnd w:id="87"/>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88" w:name="_Toc388862869"/>
      <w:r>
        <w:rPr>
          <w:rStyle w:val="CharSectno"/>
        </w:rPr>
        <w:t>61</w:t>
      </w:r>
      <w:r>
        <w:rPr>
          <w:snapToGrid w:val="0"/>
        </w:rPr>
        <w:t>.</w:t>
      </w:r>
      <w:r>
        <w:rPr>
          <w:snapToGrid w:val="0"/>
        </w:rPr>
        <w:tab/>
        <w:t>Statement of corporate intent to be agreed if possible</w:t>
      </w:r>
      <w:bookmarkEnd w:id="88"/>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89" w:name="_Toc388862870"/>
      <w:r>
        <w:rPr>
          <w:rStyle w:val="CharSectno"/>
        </w:rPr>
        <w:t>62</w:t>
      </w:r>
      <w:r>
        <w:rPr>
          <w:snapToGrid w:val="0"/>
        </w:rPr>
        <w:t>.</w:t>
      </w:r>
      <w:r>
        <w:rPr>
          <w:snapToGrid w:val="0"/>
        </w:rPr>
        <w:tab/>
        <w:t>Minister’s powers in relation to draft statement of corporate intent</w:t>
      </w:r>
      <w:bookmarkEnd w:id="89"/>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90" w:name="_Toc388862871"/>
      <w:r>
        <w:rPr>
          <w:rStyle w:val="CharSectno"/>
        </w:rPr>
        <w:t>63</w:t>
      </w:r>
      <w:r>
        <w:rPr>
          <w:snapToGrid w:val="0"/>
        </w:rPr>
        <w:t>.</w:t>
      </w:r>
      <w:r>
        <w:rPr>
          <w:snapToGrid w:val="0"/>
        </w:rPr>
        <w:tab/>
        <w:t>Statement of corporate intent pending agreement</w:t>
      </w:r>
      <w:bookmarkEnd w:id="90"/>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91" w:name="_Toc388862872"/>
      <w:r>
        <w:rPr>
          <w:rStyle w:val="CharSectno"/>
        </w:rPr>
        <w:t>64</w:t>
      </w:r>
      <w:r>
        <w:rPr>
          <w:snapToGrid w:val="0"/>
        </w:rPr>
        <w:t>.</w:t>
      </w:r>
      <w:r>
        <w:rPr>
          <w:snapToGrid w:val="0"/>
        </w:rPr>
        <w:tab/>
        <w:t>Agreed draft becomes statement of corporate intent</w:t>
      </w:r>
      <w:bookmarkEnd w:id="91"/>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92" w:name="_Toc388862873"/>
      <w:r>
        <w:rPr>
          <w:rStyle w:val="CharSectno"/>
        </w:rPr>
        <w:t>65</w:t>
      </w:r>
      <w:r>
        <w:rPr>
          <w:snapToGrid w:val="0"/>
        </w:rPr>
        <w:t>.</w:t>
      </w:r>
      <w:r>
        <w:rPr>
          <w:snapToGrid w:val="0"/>
        </w:rPr>
        <w:tab/>
        <w:t>Modifying statement of corporate intent</w:t>
      </w:r>
      <w:bookmarkEnd w:id="9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93" w:name="_Toc388862874"/>
      <w:r>
        <w:rPr>
          <w:rStyle w:val="CharSectno"/>
        </w:rPr>
        <w:t>66</w:t>
      </w:r>
      <w:r>
        <w:rPr>
          <w:snapToGrid w:val="0"/>
        </w:rPr>
        <w:t>.</w:t>
      </w:r>
      <w:r>
        <w:rPr>
          <w:snapToGrid w:val="0"/>
        </w:rPr>
        <w:tab/>
        <w:t>Treasurer’s concurrence needed by Minister for s. 64 and 65</w:t>
      </w:r>
      <w:bookmarkEnd w:id="93"/>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94" w:name="_Toc388519260"/>
      <w:bookmarkStart w:id="95" w:name="_Toc388862875"/>
      <w:r>
        <w:rPr>
          <w:rStyle w:val="CharDivNo"/>
        </w:rPr>
        <w:t>Division 3</w:t>
      </w:r>
      <w:r>
        <w:t xml:space="preserve"> — </w:t>
      </w:r>
      <w:r>
        <w:rPr>
          <w:rStyle w:val="CharDivText"/>
        </w:rPr>
        <w:t>Reporting requirements</w:t>
      </w:r>
      <w:bookmarkEnd w:id="94"/>
      <w:bookmarkEnd w:id="95"/>
      <w:r>
        <w:rPr>
          <w:rStyle w:val="CharDivText"/>
        </w:rPr>
        <w:t xml:space="preserve"> </w:t>
      </w:r>
    </w:p>
    <w:p>
      <w:pPr>
        <w:pStyle w:val="Heading5"/>
        <w:rPr>
          <w:snapToGrid w:val="0"/>
        </w:rPr>
      </w:pPr>
      <w:bookmarkStart w:id="96" w:name="_Toc388862876"/>
      <w:r>
        <w:rPr>
          <w:rStyle w:val="CharSectno"/>
        </w:rPr>
        <w:t>67</w:t>
      </w:r>
      <w:r>
        <w:rPr>
          <w:snapToGrid w:val="0"/>
        </w:rPr>
        <w:t>.</w:t>
      </w:r>
      <w:r>
        <w:rPr>
          <w:snapToGrid w:val="0"/>
        </w:rPr>
        <w:tab/>
        <w:t>Half</w:t>
      </w:r>
      <w:r>
        <w:rPr>
          <w:snapToGrid w:val="0"/>
        </w:rPr>
        <w:noBreakHyphen/>
        <w:t>yearly reports</w:t>
      </w:r>
      <w:bookmarkEnd w:id="96"/>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97" w:name="_Toc388862877"/>
      <w:r>
        <w:rPr>
          <w:rStyle w:val="CharSectno"/>
        </w:rPr>
        <w:t>68</w:t>
      </w:r>
      <w:r>
        <w:rPr>
          <w:snapToGrid w:val="0"/>
        </w:rPr>
        <w:t>.</w:t>
      </w:r>
      <w:r>
        <w:rPr>
          <w:snapToGrid w:val="0"/>
        </w:rPr>
        <w:tab/>
        <w:t>Annual reports</w:t>
      </w:r>
      <w:bookmarkEnd w:id="97"/>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98" w:name="_Toc388862878"/>
      <w:r>
        <w:rPr>
          <w:rStyle w:val="CharSectno"/>
        </w:rPr>
        <w:t>69</w:t>
      </w:r>
      <w:r>
        <w:rPr>
          <w:snapToGrid w:val="0"/>
        </w:rPr>
        <w:t>.</w:t>
      </w:r>
      <w:r>
        <w:rPr>
          <w:snapToGrid w:val="0"/>
        </w:rPr>
        <w:tab/>
        <w:t>Annual reports, contents of</w:t>
      </w:r>
      <w:bookmarkEnd w:id="98"/>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99" w:name="_Toc388862879"/>
      <w:r>
        <w:rPr>
          <w:rStyle w:val="CharSectno"/>
        </w:rPr>
        <w:t>70</w:t>
      </w:r>
      <w:r>
        <w:rPr>
          <w:snapToGrid w:val="0"/>
        </w:rPr>
        <w:t>.</w:t>
      </w:r>
      <w:r>
        <w:rPr>
          <w:snapToGrid w:val="0"/>
        </w:rPr>
        <w:tab/>
        <w:t>Commercially sensitive matters, deletion of from reports</w:t>
      </w:r>
      <w:bookmarkEnd w:id="99"/>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100" w:name="_Toc388519265"/>
      <w:bookmarkStart w:id="101" w:name="_Toc388862880"/>
      <w:r>
        <w:rPr>
          <w:rStyle w:val="CharDivNo"/>
        </w:rPr>
        <w:t>Division 4</w:t>
      </w:r>
      <w:r>
        <w:rPr>
          <w:snapToGrid w:val="0"/>
        </w:rPr>
        <w:t xml:space="preserve"> — </w:t>
      </w:r>
      <w:r>
        <w:rPr>
          <w:rStyle w:val="CharDivText"/>
        </w:rPr>
        <w:t>Ministerial directions, general provisions</w:t>
      </w:r>
      <w:bookmarkEnd w:id="100"/>
      <w:bookmarkEnd w:id="101"/>
      <w:r>
        <w:rPr>
          <w:rStyle w:val="CharDivText"/>
        </w:rPr>
        <w:t xml:space="preserve"> </w:t>
      </w:r>
    </w:p>
    <w:p>
      <w:pPr>
        <w:pStyle w:val="Heading5"/>
        <w:rPr>
          <w:snapToGrid w:val="0"/>
        </w:rPr>
      </w:pPr>
      <w:bookmarkStart w:id="102" w:name="_Toc388862881"/>
      <w:r>
        <w:rPr>
          <w:rStyle w:val="CharSectno"/>
        </w:rPr>
        <w:t>71</w:t>
      </w:r>
      <w:r>
        <w:rPr>
          <w:snapToGrid w:val="0"/>
        </w:rPr>
        <w:t>.</w:t>
      </w:r>
      <w:r>
        <w:rPr>
          <w:snapToGrid w:val="0"/>
        </w:rPr>
        <w:tab/>
        <w:t>Which directions port authority obliged to obey</w:t>
      </w:r>
      <w:bookmarkEnd w:id="102"/>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103" w:name="_Toc388862882"/>
      <w:r>
        <w:rPr>
          <w:rStyle w:val="CharSectno"/>
        </w:rPr>
        <w:t>72</w:t>
      </w:r>
      <w:r>
        <w:rPr>
          <w:snapToGrid w:val="0"/>
        </w:rPr>
        <w:t>.</w:t>
      </w:r>
      <w:r>
        <w:rPr>
          <w:snapToGrid w:val="0"/>
        </w:rPr>
        <w:tab/>
        <w:t>Minister may give directions</w:t>
      </w:r>
      <w:bookmarkEnd w:id="10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04" w:name="_Toc388862883"/>
      <w:r>
        <w:rPr>
          <w:rStyle w:val="CharSectno"/>
        </w:rPr>
        <w:t>73</w:t>
      </w:r>
      <w:r>
        <w:rPr>
          <w:snapToGrid w:val="0"/>
        </w:rPr>
        <w:t>.</w:t>
      </w:r>
      <w:r>
        <w:rPr>
          <w:snapToGrid w:val="0"/>
        </w:rPr>
        <w:tab/>
        <w:t>When s. 72(1) direction takes effect</w:t>
      </w:r>
      <w:bookmarkEnd w:id="104"/>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105" w:name="_Toc388519269"/>
      <w:bookmarkStart w:id="106" w:name="_Toc388862884"/>
      <w:r>
        <w:rPr>
          <w:rStyle w:val="CharDivNo"/>
        </w:rPr>
        <w:t>Division 5</w:t>
      </w:r>
      <w:r>
        <w:rPr>
          <w:snapToGrid w:val="0"/>
        </w:rPr>
        <w:t xml:space="preserve"> — </w:t>
      </w:r>
      <w:r>
        <w:rPr>
          <w:rStyle w:val="CharDivText"/>
        </w:rPr>
        <w:t>Consultation and provision of information</w:t>
      </w:r>
      <w:bookmarkEnd w:id="105"/>
      <w:bookmarkEnd w:id="106"/>
      <w:r>
        <w:rPr>
          <w:rStyle w:val="CharDivText"/>
        </w:rPr>
        <w:t xml:space="preserve"> </w:t>
      </w:r>
    </w:p>
    <w:p>
      <w:pPr>
        <w:pStyle w:val="Heading5"/>
        <w:keepNext w:val="0"/>
        <w:rPr>
          <w:snapToGrid w:val="0"/>
        </w:rPr>
      </w:pPr>
      <w:bookmarkStart w:id="107" w:name="_Toc388862885"/>
      <w:r>
        <w:rPr>
          <w:rStyle w:val="CharSectno"/>
        </w:rPr>
        <w:t>74</w:t>
      </w:r>
      <w:r>
        <w:rPr>
          <w:snapToGrid w:val="0"/>
        </w:rPr>
        <w:t>.</w:t>
      </w:r>
      <w:r>
        <w:rPr>
          <w:snapToGrid w:val="0"/>
        </w:rPr>
        <w:tab/>
        <w:t>Consultation between board and Minister</w:t>
      </w:r>
      <w:bookmarkEnd w:id="107"/>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108" w:name="_Toc388862886"/>
      <w:r>
        <w:rPr>
          <w:rStyle w:val="CharSectno"/>
        </w:rPr>
        <w:t>75</w:t>
      </w:r>
      <w:r>
        <w:rPr>
          <w:snapToGrid w:val="0"/>
        </w:rPr>
        <w:t>.</w:t>
      </w:r>
      <w:r>
        <w:rPr>
          <w:snapToGrid w:val="0"/>
        </w:rPr>
        <w:tab/>
        <w:t>Minister to have access to information</w:t>
      </w:r>
      <w:bookmarkEnd w:id="10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109" w:name="_Toc388862887"/>
      <w:r>
        <w:rPr>
          <w:rStyle w:val="CharSectno"/>
        </w:rPr>
        <w:t>76</w:t>
      </w:r>
      <w:r>
        <w:rPr>
          <w:snapToGrid w:val="0"/>
        </w:rPr>
        <w:t>.</w:t>
      </w:r>
      <w:r>
        <w:rPr>
          <w:snapToGrid w:val="0"/>
        </w:rPr>
        <w:tab/>
        <w:t>Minister to be kept informed</w:t>
      </w:r>
      <w:bookmarkEnd w:id="109"/>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10" w:name="_Toc388862888"/>
      <w:r>
        <w:rPr>
          <w:rStyle w:val="CharSectno"/>
        </w:rPr>
        <w:t>77</w:t>
      </w:r>
      <w:r>
        <w:rPr>
          <w:snapToGrid w:val="0"/>
        </w:rPr>
        <w:t>.</w:t>
      </w:r>
      <w:r>
        <w:rPr>
          <w:snapToGrid w:val="0"/>
        </w:rPr>
        <w:tab/>
        <w:t>Financial difficulty, board to notify Minister of etc.</w:t>
      </w:r>
      <w:bookmarkEnd w:id="110"/>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111" w:name="_Toc388519274"/>
      <w:bookmarkStart w:id="112" w:name="_Toc388862889"/>
      <w:r>
        <w:rPr>
          <w:rStyle w:val="CharDivNo"/>
        </w:rPr>
        <w:t>Division 6</w:t>
      </w:r>
      <w:r>
        <w:rPr>
          <w:snapToGrid w:val="0"/>
        </w:rPr>
        <w:t xml:space="preserve"> — </w:t>
      </w:r>
      <w:r>
        <w:rPr>
          <w:rStyle w:val="CharDivText"/>
        </w:rPr>
        <w:t>Protection from liability</w:t>
      </w:r>
      <w:bookmarkEnd w:id="111"/>
      <w:bookmarkEnd w:id="112"/>
      <w:r>
        <w:rPr>
          <w:rStyle w:val="CharDivText"/>
        </w:rPr>
        <w:t xml:space="preserve"> </w:t>
      </w:r>
    </w:p>
    <w:p>
      <w:pPr>
        <w:pStyle w:val="Heading5"/>
        <w:rPr>
          <w:snapToGrid w:val="0"/>
        </w:rPr>
      </w:pPr>
      <w:bookmarkStart w:id="113" w:name="_Toc388862890"/>
      <w:r>
        <w:rPr>
          <w:rStyle w:val="CharSectno"/>
        </w:rPr>
        <w:t>78</w:t>
      </w:r>
      <w:r>
        <w:rPr>
          <w:snapToGrid w:val="0"/>
        </w:rPr>
        <w:t>.</w:t>
      </w:r>
      <w:r>
        <w:rPr>
          <w:snapToGrid w:val="0"/>
        </w:rPr>
        <w:tab/>
        <w:t>No liability for things done under this Part</w:t>
      </w:r>
      <w:bookmarkEnd w:id="113"/>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114" w:name="_Toc388519276"/>
      <w:bookmarkStart w:id="115" w:name="_Toc388862891"/>
      <w:r>
        <w:rPr>
          <w:rStyle w:val="CharPartNo"/>
        </w:rPr>
        <w:t>Part 6</w:t>
      </w:r>
      <w:r>
        <w:t xml:space="preserve"> — </w:t>
      </w:r>
      <w:r>
        <w:rPr>
          <w:rStyle w:val="CharPartText"/>
        </w:rPr>
        <w:t>Financial provisions</w:t>
      </w:r>
      <w:bookmarkEnd w:id="114"/>
      <w:bookmarkEnd w:id="115"/>
      <w:r>
        <w:rPr>
          <w:rStyle w:val="CharPartText"/>
        </w:rPr>
        <w:t xml:space="preserve"> </w:t>
      </w:r>
    </w:p>
    <w:p>
      <w:pPr>
        <w:pStyle w:val="Heading3"/>
      </w:pPr>
      <w:bookmarkStart w:id="116" w:name="_Toc388519277"/>
      <w:bookmarkStart w:id="117" w:name="_Toc388862892"/>
      <w:r>
        <w:rPr>
          <w:rStyle w:val="CharDivNo"/>
        </w:rPr>
        <w:t>Division 1</w:t>
      </w:r>
      <w:r>
        <w:t xml:space="preserve"> — </w:t>
      </w:r>
      <w:r>
        <w:rPr>
          <w:rStyle w:val="CharDivText"/>
        </w:rPr>
        <w:t>General</w:t>
      </w:r>
      <w:bookmarkEnd w:id="116"/>
      <w:bookmarkEnd w:id="117"/>
      <w:r>
        <w:rPr>
          <w:rStyle w:val="CharDivText"/>
        </w:rPr>
        <w:t xml:space="preserve"> </w:t>
      </w:r>
    </w:p>
    <w:p>
      <w:pPr>
        <w:pStyle w:val="Heading5"/>
        <w:rPr>
          <w:snapToGrid w:val="0"/>
        </w:rPr>
      </w:pPr>
      <w:bookmarkStart w:id="118" w:name="_Toc388862893"/>
      <w:r>
        <w:rPr>
          <w:rStyle w:val="CharSectno"/>
        </w:rPr>
        <w:t>79</w:t>
      </w:r>
      <w:r>
        <w:rPr>
          <w:snapToGrid w:val="0"/>
        </w:rPr>
        <w:t>.</w:t>
      </w:r>
      <w:r>
        <w:rPr>
          <w:snapToGrid w:val="0"/>
        </w:rPr>
        <w:tab/>
        <w:t>Bank account</w:t>
      </w:r>
      <w:bookmarkEnd w:id="118"/>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Sch. 1 cl. 131(1) and (2).]</w:t>
      </w:r>
    </w:p>
    <w:p>
      <w:pPr>
        <w:pStyle w:val="Heading5"/>
        <w:rPr>
          <w:snapToGrid w:val="0"/>
        </w:rPr>
      </w:pPr>
      <w:bookmarkStart w:id="119" w:name="_Toc388862894"/>
      <w:r>
        <w:rPr>
          <w:rStyle w:val="CharSectno"/>
        </w:rPr>
        <w:t>80</w:t>
      </w:r>
      <w:r>
        <w:rPr>
          <w:snapToGrid w:val="0"/>
        </w:rPr>
        <w:t>.</w:t>
      </w:r>
      <w:r>
        <w:rPr>
          <w:snapToGrid w:val="0"/>
        </w:rPr>
        <w:tab/>
        <w:t>Investing funds</w:t>
      </w:r>
      <w:bookmarkEnd w:id="119"/>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120" w:name="_Toc388862895"/>
      <w:r>
        <w:rPr>
          <w:rStyle w:val="CharSectno"/>
        </w:rPr>
        <w:t>81</w:t>
      </w:r>
      <w:r>
        <w:rPr>
          <w:snapToGrid w:val="0"/>
        </w:rPr>
        <w:t>.</w:t>
      </w:r>
      <w:r>
        <w:rPr>
          <w:snapToGrid w:val="0"/>
        </w:rPr>
        <w:tab/>
        <w:t>Exemption from rates</w:t>
      </w:r>
      <w:bookmarkEnd w:id="120"/>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121" w:name="_Toc388519281"/>
      <w:bookmarkStart w:id="122" w:name="_Toc388862896"/>
      <w:r>
        <w:rPr>
          <w:rStyle w:val="CharDivNo"/>
        </w:rPr>
        <w:t>Division 2</w:t>
      </w:r>
      <w:r>
        <w:rPr>
          <w:snapToGrid w:val="0"/>
        </w:rPr>
        <w:t xml:space="preserve"> — </w:t>
      </w:r>
      <w:r>
        <w:rPr>
          <w:rStyle w:val="CharDivText"/>
        </w:rPr>
        <w:t>Payments to State</w:t>
      </w:r>
      <w:bookmarkEnd w:id="121"/>
      <w:bookmarkEnd w:id="122"/>
      <w:r>
        <w:rPr>
          <w:rStyle w:val="CharDivText"/>
        </w:rPr>
        <w:t xml:space="preserve"> </w:t>
      </w:r>
    </w:p>
    <w:p>
      <w:pPr>
        <w:pStyle w:val="Heading5"/>
        <w:rPr>
          <w:snapToGrid w:val="0"/>
        </w:rPr>
      </w:pPr>
      <w:bookmarkStart w:id="123" w:name="_Toc388862897"/>
      <w:r>
        <w:rPr>
          <w:rStyle w:val="CharSectno"/>
        </w:rPr>
        <w:t>82</w:t>
      </w:r>
      <w:r>
        <w:rPr>
          <w:snapToGrid w:val="0"/>
        </w:rPr>
        <w:t>.</w:t>
      </w:r>
      <w:r>
        <w:rPr>
          <w:snapToGrid w:val="0"/>
        </w:rPr>
        <w:tab/>
        <w:t>Payment of amount in lieu of rates</w:t>
      </w:r>
      <w:bookmarkEnd w:id="12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124" w:name="_Toc388862898"/>
      <w:r>
        <w:rPr>
          <w:rStyle w:val="CharSectno"/>
        </w:rPr>
        <w:t>83</w:t>
      </w:r>
      <w:r>
        <w:rPr>
          <w:snapToGrid w:val="0"/>
        </w:rPr>
        <w:t>.</w:t>
      </w:r>
      <w:r>
        <w:rPr>
          <w:snapToGrid w:val="0"/>
        </w:rPr>
        <w:tab/>
        <w:t>Determining amounts under s. 82</w:t>
      </w:r>
      <w:bookmarkEnd w:id="12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125" w:name="_Toc388862899"/>
      <w:r>
        <w:rPr>
          <w:rStyle w:val="CharSectno"/>
        </w:rPr>
        <w:t>84</w:t>
      </w:r>
      <w:r>
        <w:rPr>
          <w:snapToGrid w:val="0"/>
        </w:rPr>
        <w:t>.</w:t>
      </w:r>
      <w:r>
        <w:rPr>
          <w:snapToGrid w:val="0"/>
        </w:rPr>
        <w:tab/>
        <w:t>Dividends</w:t>
      </w:r>
      <w:bookmarkEnd w:id="12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126" w:name="_Toc388519285"/>
      <w:bookmarkStart w:id="127" w:name="_Toc388862900"/>
      <w:r>
        <w:rPr>
          <w:rStyle w:val="CharDivNo"/>
        </w:rPr>
        <w:t>Division 3</w:t>
      </w:r>
      <w:r>
        <w:rPr>
          <w:snapToGrid w:val="0"/>
        </w:rPr>
        <w:t xml:space="preserve"> — </w:t>
      </w:r>
      <w:r>
        <w:rPr>
          <w:rStyle w:val="CharDivText"/>
        </w:rPr>
        <w:t>Borrowing</w:t>
      </w:r>
      <w:bookmarkEnd w:id="126"/>
      <w:bookmarkEnd w:id="127"/>
      <w:r>
        <w:rPr>
          <w:rStyle w:val="CharDivText"/>
        </w:rPr>
        <w:t xml:space="preserve"> </w:t>
      </w:r>
    </w:p>
    <w:p>
      <w:pPr>
        <w:pStyle w:val="Heading5"/>
        <w:rPr>
          <w:snapToGrid w:val="0"/>
        </w:rPr>
      </w:pPr>
      <w:bookmarkStart w:id="128" w:name="_Toc388862901"/>
      <w:r>
        <w:rPr>
          <w:rStyle w:val="CharSectno"/>
        </w:rPr>
        <w:t>85</w:t>
      </w:r>
      <w:r>
        <w:rPr>
          <w:snapToGrid w:val="0"/>
        </w:rPr>
        <w:t>.</w:t>
      </w:r>
      <w:r>
        <w:rPr>
          <w:snapToGrid w:val="0"/>
        </w:rPr>
        <w:tab/>
        <w:t>Borrowing powers</w:t>
      </w:r>
      <w:bookmarkEnd w:id="128"/>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29" w:name="_Toc388862902"/>
      <w:r>
        <w:rPr>
          <w:rStyle w:val="CharSectno"/>
        </w:rPr>
        <w:t>86</w:t>
      </w:r>
      <w:r>
        <w:rPr>
          <w:snapToGrid w:val="0"/>
        </w:rPr>
        <w:t>.</w:t>
      </w:r>
      <w:r>
        <w:rPr>
          <w:snapToGrid w:val="0"/>
        </w:rPr>
        <w:tab/>
        <w:t>Borrowing limits</w:t>
      </w:r>
      <w:bookmarkEnd w:id="129"/>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30" w:name="_Toc388862903"/>
      <w:r>
        <w:rPr>
          <w:rStyle w:val="CharSectno"/>
        </w:rPr>
        <w:t>87</w:t>
      </w:r>
      <w:r>
        <w:rPr>
          <w:snapToGrid w:val="0"/>
        </w:rPr>
        <w:t>.</w:t>
      </w:r>
      <w:r>
        <w:rPr>
          <w:snapToGrid w:val="0"/>
        </w:rPr>
        <w:tab/>
        <w:t>Hedging transactions</w:t>
      </w:r>
      <w:bookmarkEnd w:id="130"/>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131" w:name="_Toc388519289"/>
      <w:bookmarkStart w:id="132" w:name="_Toc388862904"/>
      <w:r>
        <w:rPr>
          <w:rStyle w:val="CharDivNo"/>
        </w:rPr>
        <w:t>Division 4</w:t>
      </w:r>
      <w:r>
        <w:t xml:space="preserve"> — </w:t>
      </w:r>
      <w:r>
        <w:rPr>
          <w:rStyle w:val="CharDivText"/>
        </w:rPr>
        <w:t>Guarantees</w:t>
      </w:r>
      <w:bookmarkEnd w:id="131"/>
      <w:bookmarkEnd w:id="132"/>
      <w:r>
        <w:rPr>
          <w:rStyle w:val="CharDivText"/>
        </w:rPr>
        <w:t xml:space="preserve"> </w:t>
      </w:r>
    </w:p>
    <w:p>
      <w:pPr>
        <w:pStyle w:val="Heading5"/>
        <w:rPr>
          <w:snapToGrid w:val="0"/>
        </w:rPr>
      </w:pPr>
      <w:bookmarkStart w:id="133" w:name="_Toc388862905"/>
      <w:r>
        <w:rPr>
          <w:rStyle w:val="CharSectno"/>
        </w:rPr>
        <w:t>88</w:t>
      </w:r>
      <w:r>
        <w:rPr>
          <w:snapToGrid w:val="0"/>
        </w:rPr>
        <w:t>.</w:t>
      </w:r>
      <w:r>
        <w:rPr>
          <w:snapToGrid w:val="0"/>
        </w:rPr>
        <w:tab/>
        <w:t>Guarantees by Treasurer</w:t>
      </w:r>
      <w:bookmarkEnd w:id="133"/>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134" w:name="_Toc388862906"/>
      <w:r>
        <w:rPr>
          <w:rStyle w:val="CharSectno"/>
        </w:rPr>
        <w:t>89</w:t>
      </w:r>
      <w:r>
        <w:rPr>
          <w:snapToGrid w:val="0"/>
        </w:rPr>
        <w:t>.</w:t>
      </w:r>
      <w:r>
        <w:rPr>
          <w:snapToGrid w:val="0"/>
        </w:rPr>
        <w:tab/>
        <w:t>Charges for Treasurer’s guarantee</w:t>
      </w:r>
      <w:bookmarkEnd w:id="134"/>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135" w:name="_Toc388519292"/>
      <w:bookmarkStart w:id="136" w:name="_Toc388862907"/>
      <w:r>
        <w:rPr>
          <w:rStyle w:val="CharDivNo"/>
        </w:rPr>
        <w:t>Division 5</w:t>
      </w:r>
      <w:r>
        <w:rPr>
          <w:snapToGrid w:val="0"/>
        </w:rPr>
        <w:t xml:space="preserve"> — </w:t>
      </w:r>
      <w:r>
        <w:rPr>
          <w:rStyle w:val="CharDivText"/>
        </w:rPr>
        <w:t>Financial administration and audit</w:t>
      </w:r>
      <w:bookmarkEnd w:id="135"/>
      <w:bookmarkEnd w:id="136"/>
      <w:r>
        <w:rPr>
          <w:rStyle w:val="CharDivText"/>
        </w:rPr>
        <w:t xml:space="preserve"> </w:t>
      </w:r>
    </w:p>
    <w:p>
      <w:pPr>
        <w:pStyle w:val="Heading5"/>
        <w:rPr>
          <w:snapToGrid w:val="0"/>
        </w:rPr>
      </w:pPr>
      <w:bookmarkStart w:id="137" w:name="_Toc388862908"/>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137"/>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Sch. 1 cl. 131(3) and (4).]</w:t>
      </w:r>
    </w:p>
    <w:p>
      <w:pPr>
        <w:pStyle w:val="Heading5"/>
        <w:rPr>
          <w:snapToGrid w:val="0"/>
        </w:rPr>
      </w:pPr>
      <w:bookmarkStart w:id="138" w:name="_Toc388862909"/>
      <w:r>
        <w:rPr>
          <w:rStyle w:val="CharSectno"/>
        </w:rPr>
        <w:t>91</w:t>
      </w:r>
      <w:r>
        <w:rPr>
          <w:snapToGrid w:val="0"/>
        </w:rPr>
        <w:t>.</w:t>
      </w:r>
      <w:r>
        <w:rPr>
          <w:snapToGrid w:val="0"/>
        </w:rPr>
        <w:tab/>
        <w:t>Financial administration and audit (Sch. 5)</w:t>
      </w:r>
      <w:bookmarkEnd w:id="138"/>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 by No. 10 of 2001 s. 159.]</w:t>
      </w:r>
    </w:p>
    <w:p>
      <w:pPr>
        <w:pStyle w:val="Heading3"/>
        <w:spacing w:before="260"/>
      </w:pPr>
      <w:bookmarkStart w:id="139" w:name="_Toc388519295"/>
      <w:bookmarkStart w:id="140" w:name="_Toc388862910"/>
      <w:r>
        <w:rPr>
          <w:rStyle w:val="CharDivNo"/>
        </w:rPr>
        <w:t>Division 6</w:t>
      </w:r>
      <w:r>
        <w:rPr>
          <w:snapToGrid w:val="0"/>
        </w:rPr>
        <w:t xml:space="preserve"> — </w:t>
      </w:r>
      <w:r>
        <w:rPr>
          <w:rStyle w:val="CharDivText"/>
        </w:rPr>
        <w:t>Financial targets</w:t>
      </w:r>
      <w:bookmarkEnd w:id="139"/>
      <w:bookmarkEnd w:id="140"/>
    </w:p>
    <w:p>
      <w:pPr>
        <w:pStyle w:val="Heading5"/>
        <w:spacing w:before="240"/>
        <w:rPr>
          <w:snapToGrid w:val="0"/>
        </w:rPr>
      </w:pPr>
      <w:bookmarkStart w:id="141" w:name="_Toc388862911"/>
      <w:r>
        <w:rPr>
          <w:rStyle w:val="CharSectno"/>
        </w:rPr>
        <w:t>92</w:t>
      </w:r>
      <w:r>
        <w:rPr>
          <w:snapToGrid w:val="0"/>
        </w:rPr>
        <w:t>.</w:t>
      </w:r>
      <w:r>
        <w:rPr>
          <w:snapToGrid w:val="0"/>
        </w:rPr>
        <w:tab/>
        <w:t>Annual financial targets, Minister may set</w:t>
      </w:r>
      <w:bookmarkEnd w:id="141"/>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42" w:name="_Toc388519297"/>
      <w:bookmarkStart w:id="143" w:name="_Toc388862912"/>
      <w:r>
        <w:rPr>
          <w:rStyle w:val="CharPartNo"/>
        </w:rPr>
        <w:t>Part 7</w:t>
      </w:r>
      <w:r>
        <w:t xml:space="preserve"> — </w:t>
      </w:r>
      <w:r>
        <w:rPr>
          <w:rStyle w:val="CharPartText"/>
        </w:rPr>
        <w:t>Navigation and port matters</w:t>
      </w:r>
      <w:bookmarkEnd w:id="142"/>
      <w:bookmarkEnd w:id="143"/>
      <w:r>
        <w:rPr>
          <w:rStyle w:val="CharPartText"/>
        </w:rPr>
        <w:t xml:space="preserve"> </w:t>
      </w:r>
    </w:p>
    <w:p>
      <w:pPr>
        <w:pStyle w:val="Heading3"/>
        <w:spacing w:before="180"/>
      </w:pPr>
      <w:bookmarkStart w:id="144" w:name="_Toc388519298"/>
      <w:bookmarkStart w:id="145" w:name="_Toc388862913"/>
      <w:r>
        <w:rPr>
          <w:rStyle w:val="CharDivNo"/>
        </w:rPr>
        <w:t>Division 1</w:t>
      </w:r>
      <w:r>
        <w:t xml:space="preserve"> — </w:t>
      </w:r>
      <w:r>
        <w:rPr>
          <w:rStyle w:val="CharDivText"/>
        </w:rPr>
        <w:t>Navigational aids</w:t>
      </w:r>
      <w:bookmarkEnd w:id="144"/>
      <w:bookmarkEnd w:id="145"/>
    </w:p>
    <w:p>
      <w:pPr>
        <w:pStyle w:val="Heading5"/>
        <w:rPr>
          <w:snapToGrid w:val="0"/>
        </w:rPr>
      </w:pPr>
      <w:bookmarkStart w:id="146" w:name="_Toc388862914"/>
      <w:r>
        <w:rPr>
          <w:rStyle w:val="CharSectno"/>
        </w:rPr>
        <w:t>93</w:t>
      </w:r>
      <w:r>
        <w:rPr>
          <w:snapToGrid w:val="0"/>
        </w:rPr>
        <w:t>.</w:t>
      </w:r>
      <w:r>
        <w:rPr>
          <w:snapToGrid w:val="0"/>
        </w:rPr>
        <w:tab/>
        <w:t>Port authority may provide etc. navigational aids etc.</w:t>
      </w:r>
      <w:bookmarkEnd w:id="146"/>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47" w:name="_Toc388862915"/>
      <w:r>
        <w:rPr>
          <w:rStyle w:val="CharSectno"/>
        </w:rPr>
        <w:t>94</w:t>
      </w:r>
      <w:r>
        <w:rPr>
          <w:snapToGrid w:val="0"/>
        </w:rPr>
        <w:t>.</w:t>
      </w:r>
      <w:r>
        <w:rPr>
          <w:snapToGrid w:val="0"/>
        </w:rPr>
        <w:tab/>
        <w:t>Interference with navigational aids, offence</w:t>
      </w:r>
      <w:bookmarkEnd w:id="147"/>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48" w:name="_Toc388519301"/>
      <w:bookmarkStart w:id="149" w:name="_Toc388862916"/>
      <w:r>
        <w:rPr>
          <w:rStyle w:val="CharDivNo"/>
        </w:rPr>
        <w:t>Division 2</w:t>
      </w:r>
      <w:r>
        <w:rPr>
          <w:snapToGrid w:val="0"/>
        </w:rPr>
        <w:t xml:space="preserve"> — </w:t>
      </w:r>
      <w:r>
        <w:rPr>
          <w:rStyle w:val="CharDivText"/>
        </w:rPr>
        <w:t>Pilotage</w:t>
      </w:r>
      <w:bookmarkEnd w:id="148"/>
      <w:bookmarkEnd w:id="149"/>
      <w:r>
        <w:rPr>
          <w:rStyle w:val="CharDivText"/>
        </w:rPr>
        <w:t xml:space="preserve"> </w:t>
      </w:r>
    </w:p>
    <w:p>
      <w:pPr>
        <w:pStyle w:val="Heading5"/>
        <w:rPr>
          <w:snapToGrid w:val="0"/>
        </w:rPr>
      </w:pPr>
      <w:bookmarkStart w:id="150" w:name="_Toc388862917"/>
      <w:r>
        <w:rPr>
          <w:rStyle w:val="CharSectno"/>
        </w:rPr>
        <w:t>95</w:t>
      </w:r>
      <w:r>
        <w:rPr>
          <w:snapToGrid w:val="0"/>
        </w:rPr>
        <w:t>.</w:t>
      </w:r>
      <w:r>
        <w:rPr>
          <w:snapToGrid w:val="0"/>
        </w:rPr>
        <w:tab/>
        <w:t>Terms used in, and application of, this Division</w:t>
      </w:r>
      <w:bookmarkEnd w:id="150"/>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51" w:name="_Toc388862918"/>
      <w:r>
        <w:rPr>
          <w:rStyle w:val="CharSectno"/>
        </w:rPr>
        <w:t>96</w:t>
      </w:r>
      <w:r>
        <w:rPr>
          <w:snapToGrid w:val="0"/>
        </w:rPr>
        <w:t>.</w:t>
      </w:r>
      <w:r>
        <w:rPr>
          <w:snapToGrid w:val="0"/>
        </w:rPr>
        <w:tab/>
        <w:t>Port authority to approve pilots and ensure pilotage services are provided</w:t>
      </w:r>
      <w:bookmarkEnd w:id="151"/>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52" w:name="_Toc388862919"/>
      <w:r>
        <w:rPr>
          <w:rStyle w:val="CharSectno"/>
        </w:rPr>
        <w:t>97</w:t>
      </w:r>
      <w:r>
        <w:rPr>
          <w:snapToGrid w:val="0"/>
        </w:rPr>
        <w:t>.</w:t>
      </w:r>
      <w:r>
        <w:rPr>
          <w:snapToGrid w:val="0"/>
        </w:rPr>
        <w:tab/>
        <w:t>Pilotage compulsory in ports</w:t>
      </w:r>
      <w:bookmarkEnd w:id="152"/>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53" w:name="_Toc388862920"/>
      <w:r>
        <w:rPr>
          <w:rStyle w:val="CharSectno"/>
        </w:rPr>
        <w:t>98</w:t>
      </w:r>
      <w:r>
        <w:rPr>
          <w:snapToGrid w:val="0"/>
        </w:rPr>
        <w:t>.</w:t>
      </w:r>
      <w:r>
        <w:rPr>
          <w:snapToGrid w:val="0"/>
        </w:rPr>
        <w:tab/>
        <w:t>Pilot under authority of master</w:t>
      </w:r>
      <w:bookmarkEnd w:id="153"/>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54" w:name="_Toc388862921"/>
      <w:r>
        <w:rPr>
          <w:rStyle w:val="CharSectno"/>
        </w:rPr>
        <w:t>99</w:t>
      </w:r>
      <w:r>
        <w:rPr>
          <w:snapToGrid w:val="0"/>
        </w:rPr>
        <w:t>.</w:t>
      </w:r>
      <w:r>
        <w:rPr>
          <w:snapToGrid w:val="0"/>
        </w:rPr>
        <w:tab/>
        <w:t>Liability of owner or master of piloted vessel</w:t>
      </w:r>
      <w:bookmarkEnd w:id="154"/>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55" w:name="_Toc388862922"/>
      <w:r>
        <w:rPr>
          <w:rStyle w:val="CharSectno"/>
        </w:rPr>
        <w:t>100</w:t>
      </w:r>
      <w:r>
        <w:rPr>
          <w:snapToGrid w:val="0"/>
        </w:rPr>
        <w:t>.</w:t>
      </w:r>
      <w:r>
        <w:rPr>
          <w:snapToGrid w:val="0"/>
        </w:rPr>
        <w:tab/>
        <w:t>Immunity from liability for pilot’s negligence</w:t>
      </w:r>
      <w:bookmarkEnd w:id="155"/>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56" w:name="_Toc388519308"/>
      <w:bookmarkStart w:id="157" w:name="_Toc388862923"/>
      <w:r>
        <w:rPr>
          <w:rStyle w:val="CharDivNo"/>
        </w:rPr>
        <w:t>Division 3</w:t>
      </w:r>
      <w:r>
        <w:rPr>
          <w:snapToGrid w:val="0"/>
        </w:rPr>
        <w:t> — </w:t>
      </w:r>
      <w:r>
        <w:rPr>
          <w:rStyle w:val="CharDivText"/>
        </w:rPr>
        <w:t>Harbour masters</w:t>
      </w:r>
      <w:bookmarkEnd w:id="156"/>
      <w:bookmarkEnd w:id="157"/>
      <w:r>
        <w:rPr>
          <w:rStyle w:val="CharDivText"/>
        </w:rPr>
        <w:t xml:space="preserve"> </w:t>
      </w:r>
    </w:p>
    <w:p>
      <w:pPr>
        <w:pStyle w:val="Heading5"/>
        <w:rPr>
          <w:snapToGrid w:val="0"/>
        </w:rPr>
      </w:pPr>
      <w:bookmarkStart w:id="158" w:name="_Toc388862924"/>
      <w:r>
        <w:rPr>
          <w:rStyle w:val="CharSectno"/>
        </w:rPr>
        <w:t>101</w:t>
      </w:r>
      <w:r>
        <w:rPr>
          <w:snapToGrid w:val="0"/>
        </w:rPr>
        <w:t>.</w:t>
      </w:r>
      <w:r>
        <w:rPr>
          <w:snapToGrid w:val="0"/>
        </w:rPr>
        <w:tab/>
        <w:t>Port includes other declared areas</w:t>
      </w:r>
      <w:bookmarkEnd w:id="158"/>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59" w:name="_Toc388862925"/>
      <w:r>
        <w:rPr>
          <w:rStyle w:val="CharSectno"/>
        </w:rPr>
        <w:t>102</w:t>
      </w:r>
      <w:r>
        <w:rPr>
          <w:snapToGrid w:val="0"/>
        </w:rPr>
        <w:t>.</w:t>
      </w:r>
      <w:r>
        <w:rPr>
          <w:snapToGrid w:val="0"/>
        </w:rPr>
        <w:tab/>
        <w:t>Appointment of harbour master and deputy harbour master etc.</w:t>
      </w:r>
      <w:bookmarkEnd w:id="159"/>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60" w:name="_Toc388862926"/>
      <w:r>
        <w:rPr>
          <w:rStyle w:val="CharSectno"/>
        </w:rPr>
        <w:t>103</w:t>
      </w:r>
      <w:r>
        <w:rPr>
          <w:snapToGrid w:val="0"/>
        </w:rPr>
        <w:t>.</w:t>
      </w:r>
      <w:r>
        <w:rPr>
          <w:snapToGrid w:val="0"/>
        </w:rPr>
        <w:tab/>
        <w:t>Functions of harbour master</w:t>
      </w:r>
      <w:bookmarkEnd w:id="160"/>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61" w:name="_Toc388862927"/>
      <w:r>
        <w:rPr>
          <w:rStyle w:val="CharSectno"/>
        </w:rPr>
        <w:t>104</w:t>
      </w:r>
      <w:r>
        <w:rPr>
          <w:snapToGrid w:val="0"/>
        </w:rPr>
        <w:t>.</w:t>
      </w:r>
      <w:r>
        <w:rPr>
          <w:snapToGrid w:val="0"/>
        </w:rPr>
        <w:tab/>
        <w:t>Directions to masters etc.</w:t>
      </w:r>
      <w:bookmarkEnd w:id="161"/>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62" w:name="_Toc388862928"/>
      <w:r>
        <w:rPr>
          <w:rStyle w:val="CharSectno"/>
        </w:rPr>
        <w:t>105</w:t>
      </w:r>
      <w:r>
        <w:rPr>
          <w:snapToGrid w:val="0"/>
        </w:rPr>
        <w:t>.</w:t>
      </w:r>
      <w:r>
        <w:rPr>
          <w:snapToGrid w:val="0"/>
        </w:rPr>
        <w:tab/>
        <w:t>Directions as to dangerous things</w:t>
      </w:r>
      <w:bookmarkEnd w:id="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63" w:name="_Toc388862929"/>
      <w:r>
        <w:rPr>
          <w:rStyle w:val="CharSectno"/>
        </w:rPr>
        <w:t>106</w:t>
      </w:r>
      <w:r>
        <w:rPr>
          <w:snapToGrid w:val="0"/>
        </w:rPr>
        <w:t>.</w:t>
      </w:r>
      <w:r>
        <w:rPr>
          <w:snapToGrid w:val="0"/>
        </w:rPr>
        <w:tab/>
        <w:t>Limit on power to order removal of vessels or dangerous things</w:t>
      </w:r>
      <w:bookmarkEnd w:id="163"/>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64" w:name="_Toc388862930"/>
      <w:r>
        <w:rPr>
          <w:rStyle w:val="CharSectno"/>
        </w:rPr>
        <w:t>107</w:t>
      </w:r>
      <w:r>
        <w:rPr>
          <w:snapToGrid w:val="0"/>
        </w:rPr>
        <w:t>.</w:t>
      </w:r>
      <w:r>
        <w:rPr>
          <w:snapToGrid w:val="0"/>
        </w:rPr>
        <w:tab/>
        <w:t>Ownerless vessels and dangerous things, removal of</w:t>
      </w:r>
      <w:bookmarkEnd w:id="164"/>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65" w:name="_Toc388862931"/>
      <w:r>
        <w:rPr>
          <w:rStyle w:val="CharSectno"/>
        </w:rPr>
        <w:t>108</w:t>
      </w:r>
      <w:r>
        <w:rPr>
          <w:snapToGrid w:val="0"/>
        </w:rPr>
        <w:t>.</w:t>
      </w:r>
      <w:r>
        <w:rPr>
          <w:snapToGrid w:val="0"/>
        </w:rPr>
        <w:tab/>
        <w:t>Not obeying s. 104 or 106 direction, offence</w:t>
      </w:r>
      <w:bookmarkEnd w:id="165"/>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66" w:name="_Toc388862932"/>
      <w:r>
        <w:rPr>
          <w:rStyle w:val="CharSectno"/>
        </w:rPr>
        <w:t>109</w:t>
      </w:r>
      <w:r>
        <w:rPr>
          <w:snapToGrid w:val="0"/>
        </w:rPr>
        <w:t>.</w:t>
      </w:r>
      <w:r>
        <w:rPr>
          <w:snapToGrid w:val="0"/>
        </w:rPr>
        <w:tab/>
        <w:t>Powers if direction not obeyed</w:t>
      </w:r>
      <w:bookmarkEnd w:id="166"/>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67" w:name="_Toc388862933"/>
      <w:r>
        <w:rPr>
          <w:rStyle w:val="CharSectno"/>
        </w:rPr>
        <w:t>110</w:t>
      </w:r>
      <w:r>
        <w:rPr>
          <w:snapToGrid w:val="0"/>
        </w:rPr>
        <w:t>.</w:t>
      </w:r>
      <w:r>
        <w:rPr>
          <w:snapToGrid w:val="0"/>
        </w:rPr>
        <w:tab/>
        <w:t>Recovering port authority’s s. 107 costs</w:t>
      </w:r>
      <w:bookmarkEnd w:id="167"/>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68" w:name="_Toc388862934"/>
      <w:r>
        <w:rPr>
          <w:rStyle w:val="CharSectno"/>
        </w:rPr>
        <w:t>111</w:t>
      </w:r>
      <w:r>
        <w:rPr>
          <w:snapToGrid w:val="0"/>
        </w:rPr>
        <w:t>.</w:t>
      </w:r>
      <w:r>
        <w:rPr>
          <w:snapToGrid w:val="0"/>
        </w:rPr>
        <w:tab/>
        <w:t>Immunity from liability for acts under this Division</w:t>
      </w:r>
      <w:bookmarkEnd w:id="168"/>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69" w:name="_Toc388862935"/>
      <w:r>
        <w:rPr>
          <w:rStyle w:val="CharSectno"/>
        </w:rPr>
        <w:t>112</w:t>
      </w:r>
      <w:r>
        <w:rPr>
          <w:snapToGrid w:val="0"/>
        </w:rPr>
        <w:t>.</w:t>
      </w:r>
      <w:r>
        <w:rPr>
          <w:snapToGrid w:val="0"/>
        </w:rPr>
        <w:tab/>
        <w:t>Hindering harbour master etc., offence</w:t>
      </w:r>
      <w:bookmarkEnd w:id="169"/>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70" w:name="_Toc388519321"/>
      <w:bookmarkStart w:id="171" w:name="_Toc388862936"/>
      <w:r>
        <w:rPr>
          <w:rStyle w:val="CharDivNo"/>
        </w:rPr>
        <w:t>Division 4</w:t>
      </w:r>
      <w:r>
        <w:rPr>
          <w:snapToGrid w:val="0"/>
        </w:rPr>
        <w:t> — </w:t>
      </w:r>
      <w:r>
        <w:rPr>
          <w:rStyle w:val="CharDivText"/>
        </w:rPr>
        <w:t>Damage in a port caused by vessels etc.</w:t>
      </w:r>
      <w:bookmarkEnd w:id="170"/>
      <w:bookmarkEnd w:id="171"/>
      <w:r>
        <w:rPr>
          <w:rStyle w:val="CharDivText"/>
        </w:rPr>
        <w:t xml:space="preserve"> </w:t>
      </w:r>
    </w:p>
    <w:p>
      <w:pPr>
        <w:pStyle w:val="Heading5"/>
        <w:rPr>
          <w:snapToGrid w:val="0"/>
        </w:rPr>
      </w:pPr>
      <w:bookmarkStart w:id="172" w:name="_Toc388862937"/>
      <w:r>
        <w:rPr>
          <w:rStyle w:val="CharSectno"/>
        </w:rPr>
        <w:t>113</w:t>
      </w:r>
      <w:r>
        <w:rPr>
          <w:snapToGrid w:val="0"/>
        </w:rPr>
        <w:t>.</w:t>
      </w:r>
      <w:r>
        <w:rPr>
          <w:snapToGrid w:val="0"/>
        </w:rPr>
        <w:tab/>
        <w:t>Responsibility for damage to port facilities or property</w:t>
      </w:r>
      <w:bookmarkEnd w:id="172"/>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rPr>
          <w:snapToGrid w:val="0"/>
        </w:rPr>
      </w:pPr>
      <w:r>
        <w:rPr>
          <w:snapToGrid w:val="0"/>
        </w:rPr>
        <w:tab/>
        <w:t>(b)</w:t>
      </w:r>
      <w:r>
        <w:rPr>
          <w:snapToGrid w:val="0"/>
        </w:rPr>
        <w:tab/>
        <w:t>any floating object; or</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73" w:name="_Toc388519323"/>
      <w:bookmarkStart w:id="174" w:name="_Toc388862938"/>
      <w:r>
        <w:rPr>
          <w:rStyle w:val="CharDivNo"/>
        </w:rPr>
        <w:t>Division 5</w:t>
      </w:r>
      <w:r>
        <w:rPr>
          <w:snapToGrid w:val="0"/>
        </w:rPr>
        <w:t xml:space="preserve"> — </w:t>
      </w:r>
      <w:r>
        <w:rPr>
          <w:rStyle w:val="CharDivText"/>
        </w:rPr>
        <w:t>Port safety</w:t>
      </w:r>
      <w:bookmarkEnd w:id="173"/>
      <w:bookmarkEnd w:id="174"/>
    </w:p>
    <w:p>
      <w:pPr>
        <w:pStyle w:val="Heading5"/>
      </w:pPr>
      <w:bookmarkStart w:id="175" w:name="_Toc388862939"/>
      <w:r>
        <w:rPr>
          <w:rStyle w:val="CharSectno"/>
        </w:rPr>
        <w:t>114</w:t>
      </w:r>
      <w:r>
        <w:t>.</w:t>
      </w:r>
      <w:r>
        <w:tab/>
        <w:t>Marine safety plan, port authority to have</w:t>
      </w:r>
      <w:bookmarkEnd w:id="17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176" w:name="_Toc388519325"/>
      <w:bookmarkStart w:id="177" w:name="_Toc388862940"/>
      <w:r>
        <w:rPr>
          <w:rStyle w:val="CharDivNo"/>
        </w:rPr>
        <w:t>Division 6</w:t>
      </w:r>
      <w:r>
        <w:t xml:space="preserve"> — </w:t>
      </w:r>
      <w:r>
        <w:rPr>
          <w:rStyle w:val="CharDivText"/>
        </w:rPr>
        <w:t>Powers of police officers and others</w:t>
      </w:r>
      <w:bookmarkEnd w:id="176"/>
      <w:bookmarkEnd w:id="177"/>
      <w:r>
        <w:t xml:space="preserve"> </w:t>
      </w:r>
    </w:p>
    <w:p>
      <w:pPr>
        <w:pStyle w:val="Footnoteheading"/>
        <w:keepNext/>
        <w:keepLines/>
        <w:tabs>
          <w:tab w:val="left" w:pos="851"/>
        </w:tabs>
      </w:pPr>
      <w:r>
        <w:tab/>
        <w:t>[Heading inserted by No. 71 of 2003 s. 7.]</w:t>
      </w:r>
    </w:p>
    <w:p>
      <w:pPr>
        <w:pStyle w:val="Heading5"/>
      </w:pPr>
      <w:bookmarkStart w:id="178" w:name="_Toc388862941"/>
      <w:r>
        <w:rPr>
          <w:rStyle w:val="CharSectno"/>
        </w:rPr>
        <w:t>114A</w:t>
      </w:r>
      <w:r>
        <w:t>.</w:t>
      </w:r>
      <w:r>
        <w:tab/>
        <w:t>Police officers and others may enter vessels and conduct examinations and enquiries</w:t>
      </w:r>
      <w:bookmarkEnd w:id="178"/>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179" w:name="_Toc388519327"/>
      <w:bookmarkStart w:id="180" w:name="_Toc388862942"/>
      <w:r>
        <w:rPr>
          <w:rStyle w:val="CharDivNo"/>
        </w:rPr>
        <w:t>Division 7</w:t>
      </w:r>
      <w:r>
        <w:t xml:space="preserve"> — </w:t>
      </w:r>
      <w:r>
        <w:rPr>
          <w:rStyle w:val="CharDivText"/>
        </w:rPr>
        <w:t>Protection from liability</w:t>
      </w:r>
      <w:bookmarkEnd w:id="179"/>
      <w:bookmarkEnd w:id="180"/>
    </w:p>
    <w:p>
      <w:pPr>
        <w:pStyle w:val="Footnoteheading"/>
        <w:tabs>
          <w:tab w:val="left" w:pos="851"/>
        </w:tabs>
      </w:pPr>
      <w:r>
        <w:tab/>
        <w:t>[Heading inserted by No. 71 of 2003 s. 7.]</w:t>
      </w:r>
    </w:p>
    <w:p>
      <w:pPr>
        <w:pStyle w:val="Heading5"/>
      </w:pPr>
      <w:bookmarkStart w:id="181" w:name="_Toc388862943"/>
      <w:r>
        <w:rPr>
          <w:rStyle w:val="CharSectno"/>
        </w:rPr>
        <w:t>114B</w:t>
      </w:r>
      <w:r>
        <w:t>.</w:t>
      </w:r>
      <w:r>
        <w:tab/>
        <w:t>Immunity from liability for damage to vessels</w:t>
      </w:r>
      <w:bookmarkEnd w:id="181"/>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182" w:name="_Toc388862944"/>
      <w:r>
        <w:rPr>
          <w:rStyle w:val="CharSectno"/>
        </w:rPr>
        <w:t>114C</w:t>
      </w:r>
      <w:r>
        <w:t>.</w:t>
      </w:r>
      <w:r>
        <w:tab/>
        <w:t>Immunity from liability for damaged goods</w:t>
      </w:r>
      <w:bookmarkEnd w:id="18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83" w:name="_Toc388862945"/>
      <w:r>
        <w:rPr>
          <w:rStyle w:val="CharSectno"/>
        </w:rPr>
        <w:t>114D</w:t>
      </w:r>
      <w:r>
        <w:t>.</w:t>
      </w:r>
      <w:r>
        <w:tab/>
        <w:t>Immunity from liability for delay in delivery of goods</w:t>
      </w:r>
      <w:bookmarkEnd w:id="18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84" w:name="_Toc388862946"/>
      <w:r>
        <w:rPr>
          <w:rStyle w:val="CharSectno"/>
        </w:rPr>
        <w:t>114E</w:t>
      </w:r>
      <w:r>
        <w:t>.</w:t>
      </w:r>
      <w:r>
        <w:tab/>
        <w:t>Immunity from liability for certain events and actions</w:t>
      </w:r>
      <w:bookmarkEnd w:id="184"/>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85" w:name="_Toc388519332"/>
      <w:bookmarkStart w:id="186" w:name="_Toc388862947"/>
      <w:r>
        <w:rPr>
          <w:rStyle w:val="CharPartNo"/>
        </w:rPr>
        <w:t>Part 8</w:t>
      </w:r>
      <w:r>
        <w:rPr>
          <w:rStyle w:val="CharDivNo"/>
        </w:rPr>
        <w:t xml:space="preserve"> </w:t>
      </w:r>
      <w:r>
        <w:t>—</w:t>
      </w:r>
      <w:r>
        <w:rPr>
          <w:rStyle w:val="CharDivText"/>
        </w:rPr>
        <w:t xml:space="preserve"> </w:t>
      </w:r>
      <w:r>
        <w:rPr>
          <w:rStyle w:val="CharPartText"/>
        </w:rPr>
        <w:t>Port charges</w:t>
      </w:r>
      <w:bookmarkEnd w:id="185"/>
      <w:bookmarkEnd w:id="186"/>
      <w:r>
        <w:rPr>
          <w:rStyle w:val="CharPartText"/>
        </w:rPr>
        <w:t xml:space="preserve"> </w:t>
      </w:r>
    </w:p>
    <w:p>
      <w:pPr>
        <w:pStyle w:val="Heading5"/>
        <w:rPr>
          <w:snapToGrid w:val="0"/>
        </w:rPr>
      </w:pPr>
      <w:bookmarkStart w:id="187" w:name="_Toc388862948"/>
      <w:r>
        <w:rPr>
          <w:rStyle w:val="CharSectno"/>
        </w:rPr>
        <w:t>115</w:t>
      </w:r>
      <w:r>
        <w:rPr>
          <w:snapToGrid w:val="0"/>
        </w:rPr>
        <w:t>.</w:t>
      </w:r>
      <w:r>
        <w:rPr>
          <w:snapToGrid w:val="0"/>
        </w:rPr>
        <w:tab/>
        <w:t>Term used: port charges; application of this Part</w:t>
      </w:r>
      <w:bookmarkEnd w:id="187"/>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88" w:name="_Toc388862949"/>
      <w:r>
        <w:rPr>
          <w:rStyle w:val="CharSectno"/>
        </w:rPr>
        <w:t>116</w:t>
      </w:r>
      <w:r>
        <w:rPr>
          <w:snapToGrid w:val="0"/>
        </w:rPr>
        <w:t>.</w:t>
      </w:r>
      <w:r>
        <w:rPr>
          <w:snapToGrid w:val="0"/>
        </w:rPr>
        <w:tab/>
        <w:t>Liability to pay port charges in respect of vessels</w:t>
      </w:r>
      <w:bookmarkEnd w:id="18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89" w:name="_Toc388862950"/>
      <w:r>
        <w:rPr>
          <w:rStyle w:val="CharSectno"/>
        </w:rPr>
        <w:t>117</w:t>
      </w:r>
      <w:r>
        <w:rPr>
          <w:snapToGrid w:val="0"/>
        </w:rPr>
        <w:t>.</w:t>
      </w:r>
      <w:r>
        <w:rPr>
          <w:snapToGrid w:val="0"/>
        </w:rPr>
        <w:tab/>
        <w:t>Liability to pay port charges in respect of goods</w:t>
      </w:r>
      <w:bookmarkEnd w:id="18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90" w:name="_Toc388862951"/>
      <w:r>
        <w:rPr>
          <w:rStyle w:val="CharSectno"/>
        </w:rPr>
        <w:t>118</w:t>
      </w:r>
      <w:r>
        <w:rPr>
          <w:snapToGrid w:val="0"/>
        </w:rPr>
        <w:t>.</w:t>
      </w:r>
      <w:r>
        <w:rPr>
          <w:snapToGrid w:val="0"/>
        </w:rPr>
        <w:tab/>
        <w:t>Recovery of port charges by port authority</w:t>
      </w:r>
      <w:bookmarkEnd w:id="190"/>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91" w:name="_Toc388862952"/>
      <w:r>
        <w:rPr>
          <w:rStyle w:val="CharSectno"/>
        </w:rPr>
        <w:t>119</w:t>
      </w:r>
      <w:r>
        <w:rPr>
          <w:snapToGrid w:val="0"/>
        </w:rPr>
        <w:t>.</w:t>
      </w:r>
      <w:r>
        <w:rPr>
          <w:snapToGrid w:val="0"/>
        </w:rPr>
        <w:tab/>
        <w:t>Collectors of port charges</w:t>
      </w:r>
      <w:bookmarkEnd w:id="191"/>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92" w:name="_Toc388519338"/>
      <w:bookmarkStart w:id="193" w:name="_Toc388862953"/>
      <w:r>
        <w:rPr>
          <w:rStyle w:val="CharPartNo"/>
        </w:rPr>
        <w:t>Part 9</w:t>
      </w:r>
      <w:r>
        <w:t xml:space="preserve"> — </w:t>
      </w:r>
      <w:r>
        <w:rPr>
          <w:rStyle w:val="CharPartText"/>
        </w:rPr>
        <w:t>Proceedings for offences</w:t>
      </w:r>
      <w:bookmarkEnd w:id="192"/>
      <w:bookmarkEnd w:id="193"/>
      <w:r>
        <w:rPr>
          <w:rStyle w:val="CharPartText"/>
        </w:rPr>
        <w:t xml:space="preserve"> </w:t>
      </w:r>
    </w:p>
    <w:p>
      <w:pPr>
        <w:pStyle w:val="Heading3"/>
        <w:rPr>
          <w:snapToGrid w:val="0"/>
        </w:rPr>
      </w:pPr>
      <w:bookmarkStart w:id="194" w:name="_Toc388519339"/>
      <w:bookmarkStart w:id="195" w:name="_Toc388862954"/>
      <w:r>
        <w:rPr>
          <w:rStyle w:val="CharDivNo"/>
        </w:rPr>
        <w:t xml:space="preserve">Division 1 </w:t>
      </w:r>
      <w:r>
        <w:rPr>
          <w:snapToGrid w:val="0"/>
        </w:rPr>
        <w:t>— </w:t>
      </w:r>
      <w:r>
        <w:rPr>
          <w:rStyle w:val="CharDivText"/>
        </w:rPr>
        <w:t>General</w:t>
      </w:r>
      <w:bookmarkEnd w:id="194"/>
      <w:bookmarkEnd w:id="195"/>
      <w:r>
        <w:rPr>
          <w:rStyle w:val="CharDivText"/>
        </w:rPr>
        <w:t xml:space="preserve"> </w:t>
      </w:r>
    </w:p>
    <w:p>
      <w:pPr>
        <w:pStyle w:val="Heading5"/>
        <w:rPr>
          <w:snapToGrid w:val="0"/>
        </w:rPr>
      </w:pPr>
      <w:bookmarkStart w:id="196" w:name="_Toc388862955"/>
      <w:r>
        <w:rPr>
          <w:rStyle w:val="CharSectno"/>
        </w:rPr>
        <w:t>120</w:t>
      </w:r>
      <w:r>
        <w:rPr>
          <w:snapToGrid w:val="0"/>
        </w:rPr>
        <w:t>.</w:t>
      </w:r>
      <w:r>
        <w:rPr>
          <w:snapToGrid w:val="0"/>
        </w:rPr>
        <w:tab/>
        <w:t>Who can commence prosecutions</w:t>
      </w:r>
      <w:bookmarkEnd w:id="196"/>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97" w:name="_Toc388862956"/>
      <w:r>
        <w:rPr>
          <w:rStyle w:val="CharSectno"/>
        </w:rPr>
        <w:t>121</w:t>
      </w:r>
      <w:r>
        <w:rPr>
          <w:snapToGrid w:val="0"/>
        </w:rPr>
        <w:t>.</w:t>
      </w:r>
      <w:r>
        <w:rPr>
          <w:snapToGrid w:val="0"/>
        </w:rPr>
        <w:tab/>
        <w:t>Time limit for prosecutions</w:t>
      </w:r>
      <w:bookmarkEnd w:id="197"/>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98" w:name="_Toc388862957"/>
      <w:r>
        <w:rPr>
          <w:rStyle w:val="CharSectno"/>
        </w:rPr>
        <w:t>122</w:t>
      </w:r>
      <w:r>
        <w:rPr>
          <w:snapToGrid w:val="0"/>
        </w:rPr>
        <w:t>.</w:t>
      </w:r>
      <w:r>
        <w:rPr>
          <w:snapToGrid w:val="0"/>
        </w:rPr>
        <w:tab/>
        <w:t>Averment as to place of offence</w:t>
      </w:r>
      <w:bookmarkEnd w:id="198"/>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99" w:name="_Toc388519343"/>
      <w:bookmarkStart w:id="200" w:name="_Toc388862958"/>
      <w:r>
        <w:rPr>
          <w:rStyle w:val="CharDivNo"/>
        </w:rPr>
        <w:t>Division 2</w:t>
      </w:r>
      <w:r>
        <w:rPr>
          <w:snapToGrid w:val="0"/>
        </w:rPr>
        <w:t> — </w:t>
      </w:r>
      <w:r>
        <w:rPr>
          <w:rStyle w:val="CharDivText"/>
        </w:rPr>
        <w:t>Infringement notices</w:t>
      </w:r>
      <w:bookmarkEnd w:id="199"/>
      <w:bookmarkEnd w:id="200"/>
      <w:r>
        <w:rPr>
          <w:rStyle w:val="CharDivText"/>
        </w:rPr>
        <w:t xml:space="preserve"> </w:t>
      </w:r>
    </w:p>
    <w:p>
      <w:pPr>
        <w:pStyle w:val="Heading5"/>
        <w:rPr>
          <w:snapToGrid w:val="0"/>
        </w:rPr>
      </w:pPr>
      <w:bookmarkStart w:id="201" w:name="_Toc388862959"/>
      <w:r>
        <w:rPr>
          <w:rStyle w:val="CharSectno"/>
        </w:rPr>
        <w:t>123</w:t>
      </w:r>
      <w:r>
        <w:rPr>
          <w:snapToGrid w:val="0"/>
        </w:rPr>
        <w:t>.</w:t>
      </w:r>
      <w:r>
        <w:rPr>
          <w:snapToGrid w:val="0"/>
        </w:rPr>
        <w:tab/>
        <w:t>Terms used</w:t>
      </w:r>
      <w:bookmarkEnd w:id="20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202" w:name="_Toc388862960"/>
      <w:r>
        <w:rPr>
          <w:rStyle w:val="CharSectno"/>
        </w:rPr>
        <w:t>124</w:t>
      </w:r>
      <w:r>
        <w:rPr>
          <w:snapToGrid w:val="0"/>
        </w:rPr>
        <w:t>.</w:t>
      </w:r>
      <w:r>
        <w:rPr>
          <w:snapToGrid w:val="0"/>
        </w:rPr>
        <w:tab/>
        <w:t>Giving of notice</w:t>
      </w:r>
      <w:bookmarkEnd w:id="202"/>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203" w:name="_Toc388862961"/>
      <w:r>
        <w:rPr>
          <w:rStyle w:val="CharSectno"/>
        </w:rPr>
        <w:t>125</w:t>
      </w:r>
      <w:r>
        <w:rPr>
          <w:snapToGrid w:val="0"/>
        </w:rPr>
        <w:t>.</w:t>
      </w:r>
      <w:r>
        <w:rPr>
          <w:snapToGrid w:val="0"/>
        </w:rPr>
        <w:tab/>
        <w:t>Content of notice</w:t>
      </w:r>
      <w:bookmarkEnd w:id="203"/>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204" w:name="_Toc388862962"/>
      <w:r>
        <w:rPr>
          <w:rStyle w:val="CharSectno"/>
        </w:rPr>
        <w:t>126</w:t>
      </w:r>
      <w:r>
        <w:rPr>
          <w:snapToGrid w:val="0"/>
        </w:rPr>
        <w:t>.</w:t>
      </w:r>
      <w:r>
        <w:rPr>
          <w:snapToGrid w:val="0"/>
        </w:rPr>
        <w:tab/>
        <w:t>Extending time for paying modified penalty</w:t>
      </w:r>
      <w:bookmarkEnd w:id="20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05" w:name="_Toc388862963"/>
      <w:r>
        <w:rPr>
          <w:rStyle w:val="CharSectno"/>
        </w:rPr>
        <w:t>127</w:t>
      </w:r>
      <w:r>
        <w:rPr>
          <w:snapToGrid w:val="0"/>
        </w:rPr>
        <w:t>.</w:t>
      </w:r>
      <w:r>
        <w:rPr>
          <w:snapToGrid w:val="0"/>
        </w:rPr>
        <w:tab/>
        <w:t>Withdrawing notice</w:t>
      </w:r>
      <w:bookmarkEnd w:id="205"/>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206" w:name="_Toc388862964"/>
      <w:r>
        <w:rPr>
          <w:rStyle w:val="CharSectno"/>
        </w:rPr>
        <w:t>128</w:t>
      </w:r>
      <w:r>
        <w:rPr>
          <w:snapToGrid w:val="0"/>
        </w:rPr>
        <w:t>.</w:t>
      </w:r>
      <w:r>
        <w:rPr>
          <w:snapToGrid w:val="0"/>
        </w:rPr>
        <w:tab/>
        <w:t>Benefit of paying modified penalty</w:t>
      </w:r>
      <w:bookmarkEnd w:id="206"/>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207" w:name="_Toc388862965"/>
      <w:r>
        <w:rPr>
          <w:rStyle w:val="CharSectno"/>
        </w:rPr>
        <w:t>129</w:t>
      </w:r>
      <w:r>
        <w:rPr>
          <w:snapToGrid w:val="0"/>
        </w:rPr>
        <w:t>.</w:t>
      </w:r>
      <w:r>
        <w:rPr>
          <w:snapToGrid w:val="0"/>
        </w:rPr>
        <w:tab/>
        <w:t>Application of penalties collected</w:t>
      </w:r>
      <w:bookmarkEnd w:id="207"/>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208" w:name="_Toc388862966"/>
      <w:r>
        <w:rPr>
          <w:rStyle w:val="CharSectno"/>
        </w:rPr>
        <w:t>130</w:t>
      </w:r>
      <w:r>
        <w:rPr>
          <w:snapToGrid w:val="0"/>
        </w:rPr>
        <w:t>.</w:t>
      </w:r>
      <w:r>
        <w:rPr>
          <w:snapToGrid w:val="0"/>
        </w:rPr>
        <w:tab/>
        <w:t>Authorised persons, appointment of</w:t>
      </w:r>
      <w:bookmarkEnd w:id="208"/>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209" w:name="_Toc388519352"/>
      <w:bookmarkStart w:id="210" w:name="_Toc388862967"/>
      <w:r>
        <w:rPr>
          <w:rStyle w:val="CharPartNo"/>
        </w:rPr>
        <w:t>Part 10</w:t>
      </w:r>
      <w:r>
        <w:rPr>
          <w:rStyle w:val="CharDivNo"/>
        </w:rPr>
        <w:t xml:space="preserve"> </w:t>
      </w:r>
      <w:r>
        <w:t>—</w:t>
      </w:r>
      <w:r>
        <w:rPr>
          <w:rStyle w:val="CharDivText"/>
        </w:rPr>
        <w:t xml:space="preserve"> </w:t>
      </w:r>
      <w:r>
        <w:rPr>
          <w:rStyle w:val="CharPartText"/>
        </w:rPr>
        <w:t>Miscellaneous</w:t>
      </w:r>
      <w:bookmarkEnd w:id="209"/>
      <w:bookmarkEnd w:id="210"/>
    </w:p>
    <w:p>
      <w:pPr>
        <w:pStyle w:val="Heading5"/>
        <w:rPr>
          <w:snapToGrid w:val="0"/>
        </w:rPr>
      </w:pPr>
      <w:bookmarkStart w:id="211" w:name="_Toc388862968"/>
      <w:r>
        <w:rPr>
          <w:rStyle w:val="CharSectno"/>
        </w:rPr>
        <w:t>131</w:t>
      </w:r>
      <w:r>
        <w:rPr>
          <w:snapToGrid w:val="0"/>
        </w:rPr>
        <w:t>.</w:t>
      </w:r>
      <w:r>
        <w:rPr>
          <w:snapToGrid w:val="0"/>
        </w:rPr>
        <w:tab/>
        <w:t>Hindering, offence</w:t>
      </w:r>
      <w:bookmarkEnd w:id="211"/>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212" w:name="_Toc388862969"/>
      <w:r>
        <w:rPr>
          <w:rStyle w:val="CharSectno"/>
        </w:rPr>
        <w:t>132</w:t>
      </w:r>
      <w:r>
        <w:rPr>
          <w:snapToGrid w:val="0"/>
        </w:rPr>
        <w:t>.</w:t>
      </w:r>
      <w:r>
        <w:rPr>
          <w:snapToGrid w:val="0"/>
        </w:rPr>
        <w:tab/>
        <w:t>Individual port authorities, provisions for (Sch. 6)</w:t>
      </w:r>
      <w:bookmarkEnd w:id="212"/>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213" w:name="_Toc388862970"/>
      <w:r>
        <w:rPr>
          <w:rStyle w:val="CharSectno"/>
        </w:rPr>
        <w:t>133</w:t>
      </w:r>
      <w:r>
        <w:rPr>
          <w:snapToGrid w:val="0"/>
        </w:rPr>
        <w:t>.</w:t>
      </w:r>
      <w:r>
        <w:rPr>
          <w:snapToGrid w:val="0"/>
        </w:rPr>
        <w:tab/>
        <w:t>Supplementary provision about laying documents before Parliament</w:t>
      </w:r>
      <w:bookmarkEnd w:id="21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214" w:name="_Toc388862971"/>
      <w:r>
        <w:rPr>
          <w:rStyle w:val="CharSectno"/>
        </w:rPr>
        <w:t>134</w:t>
      </w:r>
      <w:r>
        <w:rPr>
          <w:snapToGrid w:val="0"/>
        </w:rPr>
        <w:t>.</w:t>
      </w:r>
      <w:r>
        <w:rPr>
          <w:snapToGrid w:val="0"/>
        </w:rPr>
        <w:tab/>
        <w:t>Execution of documents by port authority</w:t>
      </w:r>
      <w:bookmarkEnd w:id="214"/>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15" w:name="_Toc388862972"/>
      <w:r>
        <w:rPr>
          <w:rStyle w:val="CharSectno"/>
        </w:rPr>
        <w:t>135</w:t>
      </w:r>
      <w:r>
        <w:rPr>
          <w:snapToGrid w:val="0"/>
        </w:rPr>
        <w:t>.</w:t>
      </w:r>
      <w:r>
        <w:rPr>
          <w:snapToGrid w:val="0"/>
        </w:rPr>
        <w:tab/>
        <w:t>Contracts with port authority, formalities of</w:t>
      </w:r>
      <w:bookmarkEnd w:id="215"/>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216" w:name="_Toc388862973"/>
      <w:r>
        <w:rPr>
          <w:rStyle w:val="CharSectno"/>
        </w:rPr>
        <w:t>136</w:t>
      </w:r>
      <w:r>
        <w:rPr>
          <w:snapToGrid w:val="0"/>
        </w:rPr>
        <w:t>.</w:t>
      </w:r>
      <w:r>
        <w:rPr>
          <w:snapToGrid w:val="0"/>
        </w:rPr>
        <w:tab/>
        <w:t>Overdue amounts, interest on</w:t>
      </w:r>
      <w:bookmarkEnd w:id="216"/>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217" w:name="_Toc388862974"/>
      <w:r>
        <w:rPr>
          <w:rStyle w:val="CharSectno"/>
        </w:rPr>
        <w:t>137</w:t>
      </w:r>
      <w:r>
        <w:rPr>
          <w:snapToGrid w:val="0"/>
        </w:rPr>
        <w:t>.</w:t>
      </w:r>
      <w:r>
        <w:rPr>
          <w:snapToGrid w:val="0"/>
        </w:rPr>
        <w:tab/>
        <w:t>Recovery of expenses due to offence</w:t>
      </w:r>
      <w:bookmarkEnd w:id="217"/>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218" w:name="_Toc388862975"/>
      <w:r>
        <w:rPr>
          <w:rStyle w:val="CharSectno"/>
        </w:rPr>
        <w:t>138</w:t>
      </w:r>
      <w:r>
        <w:t>.</w:t>
      </w:r>
      <w:r>
        <w:tab/>
      </w:r>
      <w:r>
        <w:rPr>
          <w:i/>
        </w:rPr>
        <w:t>Government Agreements Act 1979</w:t>
      </w:r>
      <w:r>
        <w:t xml:space="preserve"> not affected</w:t>
      </w:r>
      <w:bookmarkEnd w:id="218"/>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w:t>
      </w:r>
    </w:p>
    <w:p>
      <w:pPr>
        <w:pStyle w:val="Footnotesection"/>
      </w:pPr>
      <w:r>
        <w:tab/>
        <w:t>[Section 138 inserted by No. 9 of 2014 s. 28(1).]</w:t>
      </w:r>
    </w:p>
    <w:p>
      <w:pPr>
        <w:pStyle w:val="Heading5"/>
      </w:pPr>
      <w:bookmarkStart w:id="219" w:name="_Toc388862976"/>
      <w:r>
        <w:rPr>
          <w:rStyle w:val="CharSectno"/>
        </w:rPr>
        <w:t>139A</w:t>
      </w:r>
      <w:r>
        <w:t>.</w:t>
      </w:r>
      <w:r>
        <w:tab/>
        <w:t>Transitional provisions</w:t>
      </w:r>
      <w:bookmarkEnd w:id="219"/>
    </w:p>
    <w:p>
      <w:pPr>
        <w:pStyle w:val="Subsection"/>
      </w:pPr>
      <w:r>
        <w:tab/>
      </w:r>
      <w:r>
        <w:tab/>
        <w:t>Schedule 8 sets out transitional provisions.</w:t>
      </w:r>
    </w:p>
    <w:p>
      <w:pPr>
        <w:pStyle w:val="Footnotesection"/>
      </w:pPr>
      <w:r>
        <w:tab/>
        <w:t>[Section 139A inserted by No. 9 of 2014 s. 29.]</w:t>
      </w:r>
    </w:p>
    <w:p>
      <w:pPr>
        <w:pStyle w:val="Heading2"/>
      </w:pPr>
      <w:bookmarkStart w:id="220" w:name="_Toc388519362"/>
      <w:bookmarkStart w:id="221" w:name="_Toc388862977"/>
      <w:r>
        <w:rPr>
          <w:rStyle w:val="CharPartNo"/>
        </w:rPr>
        <w:t>Part 11</w:t>
      </w:r>
      <w:r>
        <w:rPr>
          <w:rStyle w:val="CharDivNo"/>
        </w:rPr>
        <w:t xml:space="preserve"> </w:t>
      </w:r>
      <w:r>
        <w:t>—</w:t>
      </w:r>
      <w:r>
        <w:rPr>
          <w:rStyle w:val="CharDivText"/>
        </w:rPr>
        <w:t xml:space="preserve"> </w:t>
      </w:r>
      <w:r>
        <w:rPr>
          <w:rStyle w:val="CharPartText"/>
        </w:rPr>
        <w:t>Regulations</w:t>
      </w:r>
      <w:bookmarkEnd w:id="220"/>
      <w:bookmarkEnd w:id="221"/>
    </w:p>
    <w:p>
      <w:pPr>
        <w:pStyle w:val="Heading5"/>
        <w:rPr>
          <w:snapToGrid w:val="0"/>
        </w:rPr>
      </w:pPr>
      <w:bookmarkStart w:id="222" w:name="_Toc388862978"/>
      <w:r>
        <w:rPr>
          <w:rStyle w:val="CharSectno"/>
        </w:rPr>
        <w:t>139</w:t>
      </w:r>
      <w:r>
        <w:rPr>
          <w:snapToGrid w:val="0"/>
        </w:rPr>
        <w:t>.</w:t>
      </w:r>
      <w:r>
        <w:rPr>
          <w:snapToGrid w:val="0"/>
        </w:rPr>
        <w:tab/>
        <w:t>General power to make regulations</w:t>
      </w:r>
      <w:bookmarkEnd w:id="2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223" w:name="_Toc388862979"/>
      <w:r>
        <w:rPr>
          <w:rStyle w:val="CharSectno"/>
        </w:rPr>
        <w:t>140</w:t>
      </w:r>
      <w:r>
        <w:rPr>
          <w:snapToGrid w:val="0"/>
        </w:rPr>
        <w:t>.</w:t>
      </w:r>
      <w:r>
        <w:rPr>
          <w:snapToGrid w:val="0"/>
        </w:rPr>
        <w:tab/>
        <w:t>Offences against regulations</w:t>
      </w:r>
      <w:bookmarkEnd w:id="223"/>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224" w:name="_Toc388862980"/>
      <w:r>
        <w:rPr>
          <w:rStyle w:val="CharSectno"/>
        </w:rPr>
        <w:t>141</w:t>
      </w:r>
      <w:r>
        <w:rPr>
          <w:snapToGrid w:val="0"/>
        </w:rPr>
        <w:t>.</w:t>
      </w:r>
      <w:r>
        <w:rPr>
          <w:snapToGrid w:val="0"/>
        </w:rPr>
        <w:tab/>
        <w:t>Adoption of other laws, codes etc.</w:t>
      </w:r>
      <w:bookmarkEnd w:id="224"/>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225" w:name="_Toc388862981"/>
      <w:r>
        <w:rPr>
          <w:rStyle w:val="CharSectno"/>
        </w:rPr>
        <w:t>142</w:t>
      </w:r>
      <w:r>
        <w:rPr>
          <w:snapToGrid w:val="0"/>
        </w:rPr>
        <w:t>.</w:t>
      </w:r>
      <w:r>
        <w:rPr>
          <w:snapToGrid w:val="0"/>
        </w:rPr>
        <w:tab/>
        <w:t>References to other approvals or decisions</w:t>
      </w:r>
      <w:bookmarkEnd w:id="225"/>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226" w:name="_Toc388862982"/>
      <w:r>
        <w:rPr>
          <w:rStyle w:val="CharSectno"/>
        </w:rPr>
        <w:t>143</w:t>
      </w:r>
      <w:r>
        <w:rPr>
          <w:snapToGrid w:val="0"/>
        </w:rPr>
        <w:t>.</w:t>
      </w:r>
      <w:r>
        <w:rPr>
          <w:snapToGrid w:val="0"/>
        </w:rPr>
        <w:tab/>
        <w:t>Licensing, provisions as to</w:t>
      </w:r>
      <w:bookmarkEnd w:id="226"/>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227" w:name="_Toc388519368"/>
      <w:bookmarkStart w:id="228" w:name="_Toc388862983"/>
      <w:r>
        <w:rPr>
          <w:rStyle w:val="CharPartNo"/>
        </w:rPr>
        <w:t>Part 12</w:t>
      </w:r>
      <w:r>
        <w:rPr>
          <w:rStyle w:val="CharDivNo"/>
        </w:rPr>
        <w:t xml:space="preserve"> </w:t>
      </w:r>
      <w:r>
        <w:t>—</w:t>
      </w:r>
      <w:r>
        <w:rPr>
          <w:rStyle w:val="CharDivText"/>
        </w:rPr>
        <w:t xml:space="preserve"> </w:t>
      </w:r>
      <w:r>
        <w:rPr>
          <w:rStyle w:val="CharPartText"/>
        </w:rPr>
        <w:t>Review of Act</w:t>
      </w:r>
      <w:bookmarkEnd w:id="227"/>
      <w:bookmarkEnd w:id="228"/>
    </w:p>
    <w:p>
      <w:pPr>
        <w:pStyle w:val="Heading5"/>
      </w:pPr>
      <w:bookmarkStart w:id="229" w:name="_Toc388862984"/>
      <w:r>
        <w:rPr>
          <w:rStyle w:val="CharSectno"/>
        </w:rPr>
        <w:t>144</w:t>
      </w:r>
      <w:r>
        <w:t>.</w:t>
      </w:r>
      <w:r>
        <w:tab/>
        <w:t>Minister to review and report on Act</w:t>
      </w:r>
      <w:bookmarkEnd w:id="22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0" w:name="_Toc388519370"/>
      <w:bookmarkStart w:id="231" w:name="_Toc388862985"/>
      <w:r>
        <w:rPr>
          <w:rStyle w:val="CharSchNo"/>
        </w:rPr>
        <w:t>Schedule 1</w:t>
      </w:r>
      <w:r>
        <w:t> — </w:t>
      </w:r>
      <w:r>
        <w:rPr>
          <w:rStyle w:val="CharSchText"/>
        </w:rPr>
        <w:t>Port authorities and ports</w:t>
      </w:r>
      <w:bookmarkEnd w:id="230"/>
      <w:bookmarkEnd w:id="231"/>
    </w:p>
    <w:p>
      <w:pPr>
        <w:pStyle w:val="yShoulderClause"/>
      </w:pPr>
      <w:r>
        <w:t>[s. 4]</w:t>
      </w:r>
    </w:p>
    <w:p>
      <w:pPr>
        <w:pStyle w:val="yFootnoteheading"/>
        <w:spacing w:after="120"/>
      </w:pPr>
      <w:r>
        <w:tab/>
        <w:t>[Heading inserted by No. 9 of 2014 s. 30.]</w:t>
      </w:r>
    </w:p>
    <w:tbl>
      <w:tblPr>
        <w:tblW w:w="0" w:type="auto"/>
        <w:tblInd w:w="567" w:type="dxa"/>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pPr>
            <w:r>
              <w:rPr>
                <w:b/>
              </w:rPr>
              <w:t>Column 1</w:t>
            </w:r>
          </w:p>
          <w:p>
            <w:pPr>
              <w:pStyle w:val="yTableNAm"/>
            </w:pPr>
            <w:r>
              <w:t>Item</w:t>
            </w:r>
          </w:p>
        </w:tc>
        <w:tc>
          <w:tcPr>
            <w:tcW w:w="2694" w:type="dxa"/>
            <w:tcBorders>
              <w:top w:val="single" w:sz="4" w:space="0" w:color="auto"/>
              <w:bottom w:val="single" w:sz="4" w:space="0" w:color="auto"/>
            </w:tcBorders>
          </w:tcPr>
          <w:p>
            <w:pPr>
              <w:pStyle w:val="yTableNAm"/>
            </w:pPr>
            <w:r>
              <w:rPr>
                <w:b/>
              </w:rPr>
              <w:t>Column 2</w:t>
            </w:r>
          </w:p>
          <w:p>
            <w:pPr>
              <w:pStyle w:val="yTableNAm"/>
            </w:pPr>
            <w:r>
              <w:t>Name of port authority</w:t>
            </w:r>
          </w:p>
        </w:tc>
        <w:tc>
          <w:tcPr>
            <w:tcW w:w="2693" w:type="dxa"/>
            <w:tcBorders>
              <w:top w:val="single" w:sz="4" w:space="0" w:color="auto"/>
              <w:bottom w:val="single" w:sz="4" w:space="0" w:color="auto"/>
            </w:tcBorders>
          </w:tcPr>
          <w:p>
            <w:pPr>
              <w:pStyle w:val="yTableNAm"/>
            </w:pPr>
            <w:r>
              <w:rPr>
                <w:b/>
              </w:rPr>
              <w:t>Column 3</w:t>
            </w:r>
          </w:p>
          <w:p>
            <w:pPr>
              <w:pStyle w:val="yTableNAm"/>
            </w:pPr>
            <w: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1275" w:type="dxa"/>
          </w:tcPr>
          <w:p>
            <w:pPr>
              <w:pStyle w:val="yTableNAm"/>
            </w:pPr>
            <w:r>
              <w:t>2</w:t>
            </w:r>
          </w:p>
        </w:tc>
        <w:tc>
          <w:tcPr>
            <w:tcW w:w="2694" w:type="dxa"/>
          </w:tcPr>
          <w:p>
            <w:pPr>
              <w:pStyle w:val="yTableNAm"/>
            </w:pPr>
            <w:r>
              <w:t>Albany Port Authority</w:t>
            </w:r>
          </w:p>
        </w:tc>
        <w:tc>
          <w:tcPr>
            <w:tcW w:w="2693" w:type="dxa"/>
          </w:tcPr>
          <w:p>
            <w:pPr>
              <w:pStyle w:val="yTableNAm"/>
            </w:pPr>
            <w:r>
              <w:t xml:space="preserve">Port of Albany </w:t>
            </w:r>
          </w:p>
        </w:tc>
      </w:tr>
      <w:tr>
        <w:tc>
          <w:tcPr>
            <w:tcW w:w="1275" w:type="dxa"/>
          </w:tcPr>
          <w:p>
            <w:pPr>
              <w:pStyle w:val="yTableNAm"/>
            </w:pPr>
            <w:r>
              <w:t>3</w:t>
            </w:r>
          </w:p>
        </w:tc>
        <w:tc>
          <w:tcPr>
            <w:tcW w:w="2694" w:type="dxa"/>
          </w:tcPr>
          <w:p>
            <w:pPr>
              <w:pStyle w:val="yTableNAm"/>
            </w:pPr>
            <w:r>
              <w:t>Bunbury Port Authority</w:t>
            </w:r>
          </w:p>
        </w:tc>
        <w:tc>
          <w:tcPr>
            <w:tcW w:w="2693" w:type="dxa"/>
          </w:tcPr>
          <w:p>
            <w:pPr>
              <w:pStyle w:val="yTableNAm"/>
            </w:pPr>
            <w:r>
              <w:t>Port of Bunbury</w:t>
            </w:r>
          </w:p>
        </w:tc>
      </w:tr>
      <w:tr>
        <w:tc>
          <w:tcPr>
            <w:tcW w:w="1275" w:type="dxa"/>
          </w:tcPr>
          <w:p>
            <w:pPr>
              <w:pStyle w:val="yTableNAm"/>
            </w:pPr>
            <w:r>
              <w:t>4</w:t>
            </w:r>
          </w:p>
        </w:tc>
        <w:tc>
          <w:tcPr>
            <w:tcW w:w="2694" w:type="dxa"/>
          </w:tcPr>
          <w:p>
            <w:pPr>
              <w:pStyle w:val="yTableNAm"/>
            </w:pPr>
            <w:r>
              <w:t>Esperance Port Authority</w:t>
            </w:r>
          </w:p>
        </w:tc>
        <w:tc>
          <w:tcPr>
            <w:tcW w:w="2693" w:type="dxa"/>
          </w:tcPr>
          <w:p>
            <w:pPr>
              <w:pStyle w:val="yTableNAm"/>
            </w:pPr>
            <w:r>
              <w:t>Port of Esperance</w:t>
            </w:r>
          </w:p>
        </w:tc>
      </w:tr>
      <w:tr>
        <w:tc>
          <w:tcPr>
            <w:tcW w:w="1275" w:type="dxa"/>
          </w:tcPr>
          <w:p>
            <w:pPr>
              <w:pStyle w:val="yTableNAm"/>
            </w:pPr>
            <w:r>
              <w:t>5</w:t>
            </w:r>
          </w:p>
        </w:tc>
        <w:tc>
          <w:tcPr>
            <w:tcW w:w="2694" w:type="dxa"/>
          </w:tcPr>
          <w:p>
            <w:pPr>
              <w:pStyle w:val="yTableNAm"/>
            </w:pPr>
            <w:r>
              <w:t>Geraldton Port Authority</w:t>
            </w:r>
          </w:p>
        </w:tc>
        <w:tc>
          <w:tcPr>
            <w:tcW w:w="2693" w:type="dxa"/>
          </w:tcPr>
          <w:p>
            <w:pPr>
              <w:pStyle w:val="yTableNAm"/>
            </w:pPr>
            <w:r>
              <w:t>Port of Geraldton</w:t>
            </w:r>
          </w:p>
        </w:tc>
      </w:tr>
      <w:tr>
        <w:tc>
          <w:tcPr>
            <w:tcW w:w="1275" w:type="dxa"/>
          </w:tcPr>
          <w:p>
            <w:pPr>
              <w:pStyle w:val="yTableNAm"/>
            </w:pPr>
            <w:r>
              <w:t>6</w:t>
            </w:r>
          </w:p>
        </w:tc>
        <w:tc>
          <w:tcPr>
            <w:tcW w:w="2694" w:type="dxa"/>
          </w:tcPr>
          <w:p>
            <w:pPr>
              <w:pStyle w:val="yTableNAm"/>
            </w:pPr>
            <w:r>
              <w:t>Dampier Port Authority</w:t>
            </w:r>
          </w:p>
        </w:tc>
        <w:tc>
          <w:tcPr>
            <w:tcW w:w="2693" w:type="dxa"/>
          </w:tcPr>
          <w:p>
            <w:pPr>
              <w:pStyle w:val="yTableNAm"/>
            </w:pPr>
            <w:r>
              <w:t>Port of Dampier</w:t>
            </w:r>
          </w:p>
        </w:tc>
      </w:tr>
      <w:tr>
        <w:tc>
          <w:tcPr>
            <w:tcW w:w="1275" w:type="dxa"/>
          </w:tcPr>
          <w:p>
            <w:pPr>
              <w:pStyle w:val="yTableNAm"/>
            </w:pPr>
            <w:r>
              <w:t>7</w:t>
            </w:r>
          </w:p>
        </w:tc>
        <w:tc>
          <w:tcPr>
            <w:tcW w:w="2694" w:type="dxa"/>
          </w:tcPr>
          <w:p>
            <w:pPr>
              <w:pStyle w:val="yTableNAm"/>
            </w:pPr>
            <w:r>
              <w:t>Port Hedland Port Authority</w:t>
            </w:r>
          </w:p>
        </w:tc>
        <w:tc>
          <w:tcPr>
            <w:tcW w:w="2693" w:type="dxa"/>
          </w:tcPr>
          <w:p>
            <w:pPr>
              <w:pStyle w:val="yTableNAm"/>
            </w:pPr>
            <w: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t xml:space="preserve">Broome Port Authority </w:t>
            </w:r>
          </w:p>
        </w:tc>
        <w:tc>
          <w:tcPr>
            <w:tcW w:w="2693" w:type="dxa"/>
            <w:tcBorders>
              <w:bottom w:val="single" w:sz="4" w:space="0" w:color="auto"/>
            </w:tcBorders>
          </w:tcPr>
          <w:p>
            <w:pPr>
              <w:pStyle w:val="yTableNAm"/>
            </w:pPr>
            <w:r>
              <w:t xml:space="preserve">Port of Broome </w:t>
            </w:r>
          </w:p>
        </w:tc>
      </w:tr>
    </w:tbl>
    <w:p>
      <w:pPr>
        <w:pStyle w:val="BlankClose"/>
      </w:pPr>
    </w:p>
    <w:p>
      <w:pPr>
        <w:pStyle w:val="yFootnotesection"/>
      </w:pPr>
      <w:r>
        <w:tab/>
        <w:t>[Schedule 1 inserted by No. 9 of 2014 s. 30.]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32" w:name="_Toc388519371"/>
      <w:bookmarkStart w:id="233" w:name="_Toc388862986"/>
      <w:r>
        <w:rPr>
          <w:rStyle w:val="CharSchNo"/>
        </w:rPr>
        <w:t>Schedule 2</w:t>
      </w:r>
      <w:r>
        <w:t xml:space="preserve"> — </w:t>
      </w:r>
      <w:r>
        <w:rPr>
          <w:rStyle w:val="CharSchText"/>
        </w:rPr>
        <w:t>Provisions about the constitution and proceedings of boards</w:t>
      </w:r>
      <w:bookmarkEnd w:id="232"/>
      <w:bookmarkEnd w:id="233"/>
      <w:r>
        <w:rPr>
          <w:rStyle w:val="CharSchText"/>
        </w:rPr>
        <w:t xml:space="preserve"> </w:t>
      </w:r>
    </w:p>
    <w:p>
      <w:pPr>
        <w:pStyle w:val="yShoulderClause"/>
      </w:pPr>
      <w:r>
        <w:t>[s. 9]</w:t>
      </w:r>
    </w:p>
    <w:p>
      <w:pPr>
        <w:pStyle w:val="yHeading5"/>
        <w:outlineLvl w:val="9"/>
        <w:rPr>
          <w:snapToGrid w:val="0"/>
        </w:rPr>
      </w:pPr>
      <w:bookmarkStart w:id="234" w:name="_Toc388862987"/>
      <w:r>
        <w:rPr>
          <w:rStyle w:val="CharSClsNo"/>
        </w:rPr>
        <w:t>1</w:t>
      </w:r>
      <w:r>
        <w:rPr>
          <w:snapToGrid w:val="0"/>
        </w:rPr>
        <w:t>.</w:t>
      </w:r>
      <w:r>
        <w:rPr>
          <w:snapToGrid w:val="0"/>
        </w:rPr>
        <w:tab/>
        <w:t>Term of office</w:t>
      </w:r>
      <w:bookmarkEnd w:id="23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235" w:name="_Toc388862988"/>
      <w:r>
        <w:rPr>
          <w:rStyle w:val="CharSClsNo"/>
        </w:rPr>
        <w:t>2</w:t>
      </w:r>
      <w:r>
        <w:rPr>
          <w:snapToGrid w:val="0"/>
        </w:rPr>
        <w:t>.</w:t>
      </w:r>
      <w:r>
        <w:rPr>
          <w:snapToGrid w:val="0"/>
        </w:rPr>
        <w:tab/>
        <w:t>Resignation and removal</w:t>
      </w:r>
      <w:bookmarkEnd w:id="23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236" w:name="_Toc388862989"/>
      <w:r>
        <w:rPr>
          <w:rStyle w:val="CharSClsNo"/>
        </w:rPr>
        <w:t>3</w:t>
      </w:r>
      <w:r>
        <w:rPr>
          <w:snapToGrid w:val="0"/>
        </w:rPr>
        <w:t>.</w:t>
      </w:r>
      <w:r>
        <w:rPr>
          <w:snapToGrid w:val="0"/>
        </w:rPr>
        <w:tab/>
        <w:t>Chairperson and deputy chairperson</w:t>
      </w:r>
      <w:bookmarkEnd w:id="23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237" w:name="_Toc388862990"/>
      <w:r>
        <w:rPr>
          <w:rStyle w:val="CharSClsNo"/>
        </w:rPr>
        <w:t>4</w:t>
      </w:r>
      <w:r>
        <w:rPr>
          <w:snapToGrid w:val="0"/>
        </w:rPr>
        <w:t>.</w:t>
      </w:r>
      <w:r>
        <w:rPr>
          <w:snapToGrid w:val="0"/>
        </w:rPr>
        <w:tab/>
        <w:t>Alternate directors</w:t>
      </w:r>
      <w:bookmarkEnd w:id="237"/>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238" w:name="_Toc388862991"/>
      <w:r>
        <w:rPr>
          <w:rStyle w:val="CharSClsNo"/>
        </w:rPr>
        <w:t>5</w:t>
      </w:r>
      <w:r>
        <w:rPr>
          <w:snapToGrid w:val="0"/>
        </w:rPr>
        <w:t>.</w:t>
      </w:r>
      <w:r>
        <w:rPr>
          <w:snapToGrid w:val="0"/>
        </w:rPr>
        <w:tab/>
        <w:t>Meetings</w:t>
      </w:r>
      <w:bookmarkEnd w:id="238"/>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 by No. 9 of 2014 s. 32.]</w:t>
      </w:r>
    </w:p>
    <w:p>
      <w:pPr>
        <w:pStyle w:val="yHeading5"/>
        <w:outlineLvl w:val="9"/>
        <w:rPr>
          <w:snapToGrid w:val="0"/>
        </w:rPr>
      </w:pPr>
      <w:bookmarkStart w:id="239" w:name="_Toc388862992"/>
      <w:r>
        <w:rPr>
          <w:rStyle w:val="CharSClsNo"/>
        </w:rPr>
        <w:t>6</w:t>
      </w:r>
      <w:r>
        <w:rPr>
          <w:snapToGrid w:val="0"/>
        </w:rPr>
        <w:t>.</w:t>
      </w:r>
      <w:r>
        <w:rPr>
          <w:snapToGrid w:val="0"/>
        </w:rPr>
        <w:tab/>
        <w:t>Telephone and video meetings</w:t>
      </w:r>
      <w:bookmarkEnd w:id="23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240" w:name="_Toc388862993"/>
      <w:r>
        <w:rPr>
          <w:rStyle w:val="CharSClsNo"/>
        </w:rPr>
        <w:t>7</w:t>
      </w:r>
      <w:r>
        <w:rPr>
          <w:snapToGrid w:val="0"/>
        </w:rPr>
        <w:t>.</w:t>
      </w:r>
      <w:r>
        <w:rPr>
          <w:snapToGrid w:val="0"/>
        </w:rPr>
        <w:tab/>
        <w:t>Resolution may be passed without meeting</w:t>
      </w:r>
      <w:bookmarkEnd w:id="24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41" w:name="_Toc388862994"/>
      <w:r>
        <w:rPr>
          <w:rStyle w:val="CharSClsNo"/>
        </w:rPr>
        <w:t>8</w:t>
      </w:r>
      <w:r>
        <w:rPr>
          <w:snapToGrid w:val="0"/>
        </w:rPr>
        <w:t>.</w:t>
      </w:r>
      <w:r>
        <w:rPr>
          <w:snapToGrid w:val="0"/>
        </w:rPr>
        <w:tab/>
        <w:t>Directors with material personal interests, voting by etc.</w:t>
      </w:r>
      <w:bookmarkEnd w:id="241"/>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242" w:name="_Toc388862995"/>
      <w:r>
        <w:rPr>
          <w:rStyle w:val="CharSClsNo"/>
        </w:rPr>
        <w:t>9</w:t>
      </w:r>
      <w:r>
        <w:rPr>
          <w:snapToGrid w:val="0"/>
        </w:rPr>
        <w:t>.</w:t>
      </w:r>
      <w:r>
        <w:rPr>
          <w:snapToGrid w:val="0"/>
        </w:rPr>
        <w:tab/>
        <w:t>Minutes of meetings etc.</w:t>
      </w:r>
      <w:bookmarkEnd w:id="24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243" w:name="_Toc388862996"/>
      <w:r>
        <w:rPr>
          <w:rStyle w:val="CharSClsNo"/>
        </w:rPr>
        <w:t>10</w:t>
      </w:r>
      <w:r>
        <w:rPr>
          <w:snapToGrid w:val="0"/>
        </w:rPr>
        <w:t>.</w:t>
      </w:r>
      <w:r>
        <w:rPr>
          <w:snapToGrid w:val="0"/>
        </w:rPr>
        <w:tab/>
        <w:t>Leave of absence</w:t>
      </w:r>
      <w:bookmarkEnd w:id="24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44" w:name="_Toc388862997"/>
      <w:r>
        <w:rPr>
          <w:rStyle w:val="CharSClsNo"/>
        </w:rPr>
        <w:t>11</w:t>
      </w:r>
      <w:r>
        <w:rPr>
          <w:snapToGrid w:val="0"/>
        </w:rPr>
        <w:t>.</w:t>
      </w:r>
      <w:r>
        <w:rPr>
          <w:snapToGrid w:val="0"/>
        </w:rPr>
        <w:tab/>
        <w:t>Board to determine own procedures</w:t>
      </w:r>
      <w:bookmarkEnd w:id="24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245" w:name="_Toc388519383"/>
      <w:bookmarkStart w:id="246" w:name="_Toc388862998"/>
      <w:r>
        <w:rPr>
          <w:rStyle w:val="CharSchNo"/>
        </w:rPr>
        <w:t>Schedule 3</w:t>
      </w:r>
      <w:r>
        <w:t xml:space="preserve"> — </w:t>
      </w:r>
      <w:r>
        <w:rPr>
          <w:rStyle w:val="CharSchText"/>
        </w:rPr>
        <w:t>Provisions about duties of CEO and staff</w:t>
      </w:r>
      <w:bookmarkEnd w:id="245"/>
      <w:bookmarkEnd w:id="246"/>
      <w:r>
        <w:rPr>
          <w:rStyle w:val="CharSchText"/>
        </w:rPr>
        <w:t xml:space="preserve"> </w:t>
      </w:r>
    </w:p>
    <w:p>
      <w:pPr>
        <w:pStyle w:val="yShoulderClause"/>
      </w:pPr>
      <w:r>
        <w:t>[s. 20]</w:t>
      </w:r>
    </w:p>
    <w:p>
      <w:pPr>
        <w:pStyle w:val="yHeading3"/>
        <w:outlineLvl w:val="0"/>
      </w:pPr>
      <w:bookmarkStart w:id="247" w:name="_Toc388519384"/>
      <w:bookmarkStart w:id="248" w:name="_Toc388862999"/>
      <w:r>
        <w:rPr>
          <w:rStyle w:val="CharSDivNo"/>
        </w:rPr>
        <w:t>Division 1</w:t>
      </w:r>
      <w:r>
        <w:t xml:space="preserve"> — </w:t>
      </w:r>
      <w:r>
        <w:rPr>
          <w:rStyle w:val="CharSDivText"/>
        </w:rPr>
        <w:t>General duties of CEO</w:t>
      </w:r>
      <w:bookmarkEnd w:id="247"/>
      <w:bookmarkEnd w:id="248"/>
    </w:p>
    <w:p>
      <w:pPr>
        <w:pStyle w:val="yHeading5"/>
        <w:outlineLvl w:val="0"/>
        <w:rPr>
          <w:snapToGrid w:val="0"/>
        </w:rPr>
      </w:pPr>
      <w:bookmarkStart w:id="249" w:name="_Toc388863000"/>
      <w:r>
        <w:rPr>
          <w:rStyle w:val="CharSClsNo"/>
        </w:rPr>
        <w:t>1</w:t>
      </w:r>
      <w:r>
        <w:rPr>
          <w:snapToGrid w:val="0"/>
        </w:rPr>
        <w:t>.</w:t>
      </w:r>
      <w:r>
        <w:rPr>
          <w:snapToGrid w:val="0"/>
        </w:rPr>
        <w:tab/>
        <w:t>Duties of CEO</w:t>
      </w:r>
      <w:bookmarkEnd w:id="249"/>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250" w:name="_Toc388519386"/>
      <w:bookmarkStart w:id="251" w:name="_Toc388863001"/>
      <w:r>
        <w:rPr>
          <w:rStyle w:val="CharSDivNo"/>
        </w:rPr>
        <w:t>Division 2</w:t>
      </w:r>
      <w:r>
        <w:rPr>
          <w:rStyle w:val="CharDivNo"/>
        </w:rPr>
        <w:t xml:space="preserve"> — </w:t>
      </w:r>
      <w:r>
        <w:rPr>
          <w:rStyle w:val="CharSDivText"/>
        </w:rPr>
        <w:t>Particular duties stated</w:t>
      </w:r>
      <w:bookmarkEnd w:id="250"/>
      <w:bookmarkEnd w:id="251"/>
    </w:p>
    <w:p>
      <w:pPr>
        <w:pStyle w:val="yHeading5"/>
        <w:outlineLvl w:val="0"/>
        <w:rPr>
          <w:snapToGrid w:val="0"/>
        </w:rPr>
      </w:pPr>
      <w:bookmarkStart w:id="252" w:name="_Toc388863002"/>
      <w:r>
        <w:rPr>
          <w:rStyle w:val="CharSClsNo"/>
        </w:rPr>
        <w:t>2</w:t>
      </w:r>
      <w:r>
        <w:rPr>
          <w:snapToGrid w:val="0"/>
        </w:rPr>
        <w:t>.</w:t>
      </w:r>
      <w:r>
        <w:rPr>
          <w:snapToGrid w:val="0"/>
        </w:rPr>
        <w:tab/>
        <w:t>Term used: officer and interpretation</w:t>
      </w:r>
      <w:bookmarkEnd w:id="252"/>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253" w:name="_Toc388863003"/>
      <w:r>
        <w:rPr>
          <w:rStyle w:val="CharSClsNo"/>
        </w:rPr>
        <w:t>3</w:t>
      </w:r>
      <w:r>
        <w:rPr>
          <w:snapToGrid w:val="0"/>
        </w:rPr>
        <w:t>.</w:t>
      </w:r>
      <w:r>
        <w:rPr>
          <w:snapToGrid w:val="0"/>
        </w:rPr>
        <w:tab/>
        <w:t>Duty to act honestly</w:t>
      </w:r>
      <w:bookmarkEnd w:id="253"/>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254" w:name="_Toc388863004"/>
      <w:r>
        <w:rPr>
          <w:rStyle w:val="CharSClsNo"/>
        </w:rPr>
        <w:t>4</w:t>
      </w:r>
      <w:r>
        <w:rPr>
          <w:snapToGrid w:val="0"/>
        </w:rPr>
        <w:t>.</w:t>
      </w:r>
      <w:r>
        <w:rPr>
          <w:snapToGrid w:val="0"/>
        </w:rPr>
        <w:tab/>
        <w:t>Duty to exercise reasonable care and diligence</w:t>
      </w:r>
      <w:bookmarkEnd w:id="254"/>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255" w:name="_Toc388863005"/>
      <w:r>
        <w:rPr>
          <w:rStyle w:val="CharSClsNo"/>
        </w:rPr>
        <w:t>5</w:t>
      </w:r>
      <w:r>
        <w:rPr>
          <w:snapToGrid w:val="0"/>
        </w:rPr>
        <w:t>.</w:t>
      </w:r>
      <w:r>
        <w:rPr>
          <w:snapToGrid w:val="0"/>
        </w:rPr>
        <w:tab/>
        <w:t>Duty not to make improper use of information</w:t>
      </w:r>
      <w:bookmarkEnd w:id="255"/>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256" w:name="_Toc388863006"/>
      <w:r>
        <w:rPr>
          <w:rStyle w:val="CharSClsNo"/>
        </w:rPr>
        <w:t>6</w:t>
      </w:r>
      <w:r>
        <w:rPr>
          <w:snapToGrid w:val="0"/>
        </w:rPr>
        <w:t>.</w:t>
      </w:r>
      <w:r>
        <w:rPr>
          <w:snapToGrid w:val="0"/>
        </w:rPr>
        <w:tab/>
        <w:t>Duty not to make improper use of position</w:t>
      </w:r>
      <w:bookmarkEnd w:id="256"/>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257" w:name="_Toc388519392"/>
      <w:bookmarkStart w:id="258" w:name="_Toc388863007"/>
      <w:r>
        <w:rPr>
          <w:rStyle w:val="CharSDivNo"/>
        </w:rPr>
        <w:t>Division 3</w:t>
      </w:r>
      <w:r>
        <w:rPr>
          <w:rStyle w:val="CharDivNo"/>
        </w:rPr>
        <w:t xml:space="preserve"> — </w:t>
      </w:r>
      <w:r>
        <w:rPr>
          <w:rStyle w:val="CharSDivText"/>
        </w:rPr>
        <w:t>Compensation</w:t>
      </w:r>
      <w:bookmarkEnd w:id="257"/>
      <w:bookmarkEnd w:id="258"/>
    </w:p>
    <w:p>
      <w:pPr>
        <w:pStyle w:val="yHeading5"/>
        <w:spacing w:before="180"/>
        <w:outlineLvl w:val="0"/>
        <w:rPr>
          <w:snapToGrid w:val="0"/>
        </w:rPr>
      </w:pPr>
      <w:bookmarkStart w:id="259" w:name="_Toc388863008"/>
      <w:r>
        <w:rPr>
          <w:rStyle w:val="CharSClsNo"/>
        </w:rPr>
        <w:t>7</w:t>
      </w:r>
      <w:r>
        <w:rPr>
          <w:snapToGrid w:val="0"/>
        </w:rPr>
        <w:t>.</w:t>
      </w:r>
      <w:r>
        <w:rPr>
          <w:snapToGrid w:val="0"/>
        </w:rPr>
        <w:tab/>
        <w:t>Compensation may be ordered if cl. 3, 4, 5 or 6 offence</w:t>
      </w:r>
      <w:bookmarkEnd w:id="259"/>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260" w:name="_Toc388863009"/>
      <w:r>
        <w:rPr>
          <w:rStyle w:val="CharSClsNo"/>
        </w:rPr>
        <w:t>8</w:t>
      </w:r>
      <w:r>
        <w:rPr>
          <w:snapToGrid w:val="0"/>
        </w:rPr>
        <w:t>.</w:t>
      </w:r>
      <w:r>
        <w:rPr>
          <w:snapToGrid w:val="0"/>
        </w:rPr>
        <w:tab/>
        <w:t>Civil recovery if cl. 3, 4, 5 or 6 offence</w:t>
      </w:r>
      <w:bookmarkEnd w:id="260"/>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261" w:name="_Toc388519395"/>
      <w:bookmarkStart w:id="262" w:name="_Toc388863010"/>
      <w:r>
        <w:rPr>
          <w:rStyle w:val="CharSDivNo"/>
        </w:rPr>
        <w:t>Division 4</w:t>
      </w:r>
      <w:r>
        <w:rPr>
          <w:rStyle w:val="CharDivNo"/>
        </w:rPr>
        <w:t> — </w:t>
      </w:r>
      <w:r>
        <w:rPr>
          <w:rStyle w:val="CharSDivText"/>
        </w:rPr>
        <w:t>Relief from liability</w:t>
      </w:r>
      <w:bookmarkEnd w:id="261"/>
      <w:bookmarkEnd w:id="262"/>
      <w:r>
        <w:rPr>
          <w:rStyle w:val="CharDivNo"/>
        </w:rPr>
        <w:t xml:space="preserve"> </w:t>
      </w:r>
    </w:p>
    <w:p>
      <w:pPr>
        <w:pStyle w:val="yHeading5"/>
        <w:outlineLvl w:val="0"/>
        <w:rPr>
          <w:snapToGrid w:val="0"/>
        </w:rPr>
      </w:pPr>
      <w:bookmarkStart w:id="263" w:name="_Toc388863011"/>
      <w:r>
        <w:rPr>
          <w:rStyle w:val="CharSClsNo"/>
        </w:rPr>
        <w:t>9</w:t>
      </w:r>
      <w:r>
        <w:rPr>
          <w:snapToGrid w:val="0"/>
        </w:rPr>
        <w:t>.</w:t>
      </w:r>
      <w:r>
        <w:rPr>
          <w:snapToGrid w:val="0"/>
        </w:rPr>
        <w:tab/>
        <w:t>Relief from liability under cl. 1, 7 and 8</w:t>
      </w:r>
      <w:bookmarkEnd w:id="263"/>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264" w:name="_Toc388863012"/>
      <w:r>
        <w:rPr>
          <w:rStyle w:val="CharSClsNo"/>
        </w:rPr>
        <w:t>10</w:t>
      </w:r>
      <w:r>
        <w:rPr>
          <w:snapToGrid w:val="0"/>
        </w:rPr>
        <w:t>.</w:t>
      </w:r>
      <w:r>
        <w:rPr>
          <w:snapToGrid w:val="0"/>
        </w:rPr>
        <w:tab/>
        <w:t>Application for relief from liability under cl. 1, 7 or 8</w:t>
      </w:r>
      <w:bookmarkEnd w:id="26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265" w:name="_Toc388863013"/>
      <w:r>
        <w:rPr>
          <w:rStyle w:val="CharSClsNo"/>
        </w:rPr>
        <w:t>11</w:t>
      </w:r>
      <w:r>
        <w:rPr>
          <w:snapToGrid w:val="0"/>
        </w:rPr>
        <w:t>.</w:t>
      </w:r>
      <w:r>
        <w:rPr>
          <w:snapToGrid w:val="0"/>
        </w:rPr>
        <w:tab/>
        <w:t>Case as to cl. 9 may be withdrawn from jury</w:t>
      </w:r>
      <w:bookmarkEnd w:id="265"/>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266" w:name="_Toc388863014"/>
      <w:r>
        <w:rPr>
          <w:rStyle w:val="CharSClsNo"/>
        </w:rPr>
        <w:t>12</w:t>
      </w:r>
      <w:r>
        <w:rPr>
          <w:snapToGrid w:val="0"/>
        </w:rPr>
        <w:t>.</w:t>
      </w:r>
      <w:r>
        <w:rPr>
          <w:snapToGrid w:val="0"/>
        </w:rPr>
        <w:tab/>
        <w:t>Compliance with directions is not contravention of cl. 1, 3 or 4</w:t>
      </w:r>
      <w:bookmarkEnd w:id="26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267" w:name="_Toc388519400"/>
      <w:bookmarkStart w:id="268" w:name="_Toc388863015"/>
      <w:r>
        <w:rPr>
          <w:rStyle w:val="CharSDivNo"/>
        </w:rPr>
        <w:t>Division 5</w:t>
      </w:r>
      <w:r>
        <w:rPr>
          <w:rStyle w:val="CharDivNo"/>
        </w:rPr>
        <w:t xml:space="preserve"> — </w:t>
      </w:r>
      <w:r>
        <w:rPr>
          <w:rStyle w:val="CharSDivText"/>
        </w:rPr>
        <w:t>Restrictions on indemnities and exemptions</w:t>
      </w:r>
      <w:bookmarkEnd w:id="267"/>
      <w:bookmarkEnd w:id="268"/>
    </w:p>
    <w:p>
      <w:pPr>
        <w:pStyle w:val="yHeading5"/>
        <w:outlineLvl w:val="0"/>
      </w:pPr>
      <w:bookmarkStart w:id="269" w:name="_Toc388863016"/>
      <w:r>
        <w:rPr>
          <w:rStyle w:val="CharSClsNo"/>
        </w:rPr>
        <w:t>13</w:t>
      </w:r>
      <w:r>
        <w:t>.</w:t>
      </w:r>
      <w:r>
        <w:tab/>
        <w:t>CEO and executive officers not to be exempted or indemnified for some liability</w:t>
      </w:r>
      <w:bookmarkEnd w:id="269"/>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270" w:name="_Toc388863017"/>
      <w:r>
        <w:rPr>
          <w:rStyle w:val="CharSClsNo"/>
        </w:rPr>
        <w:t>14</w:t>
      </w:r>
      <w:r>
        <w:t>.</w:t>
      </w:r>
      <w:r>
        <w:tab/>
        <w:t>Insurance premiums for certain liabilities of CEO and executive officers</w:t>
      </w:r>
      <w:bookmarkEnd w:id="270"/>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71" w:name="_Toc388863018"/>
      <w:r>
        <w:rPr>
          <w:rStyle w:val="CharSClsNo"/>
        </w:rPr>
        <w:t>15</w:t>
      </w:r>
      <w:r>
        <w:t>.</w:t>
      </w:r>
      <w:r>
        <w:tab/>
        <w:t>Certain indemnities, exemptions, payments and agreements not authorised and certain documents void</w:t>
      </w:r>
      <w:bookmarkEnd w:id="27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272" w:name="_Toc388519404"/>
      <w:bookmarkStart w:id="273" w:name="_Toc388863019"/>
      <w:r>
        <w:rPr>
          <w:rStyle w:val="CharSchNo"/>
        </w:rPr>
        <w:t>Schedule 4</w:t>
      </w:r>
      <w:r>
        <w:t xml:space="preserve"> — </w:t>
      </w:r>
      <w:r>
        <w:rPr>
          <w:rStyle w:val="CharSchText"/>
        </w:rPr>
        <w:t>Provisions to be included in articles of association of subsidiaries</w:t>
      </w:r>
      <w:bookmarkEnd w:id="272"/>
      <w:bookmarkEnd w:id="273"/>
      <w:r>
        <w:rPr>
          <w:rStyle w:val="CharSchText"/>
        </w:rPr>
        <w:t xml:space="preserve"> </w:t>
      </w:r>
    </w:p>
    <w:p>
      <w:pPr>
        <w:pStyle w:val="yShoulderClause"/>
      </w:pPr>
      <w:r>
        <w:t>[s. 39]</w:t>
      </w:r>
    </w:p>
    <w:p>
      <w:pPr>
        <w:pStyle w:val="yHeading5"/>
        <w:outlineLvl w:val="0"/>
        <w:rPr>
          <w:snapToGrid w:val="0"/>
        </w:rPr>
      </w:pPr>
      <w:bookmarkStart w:id="274" w:name="_Toc388863020"/>
      <w:r>
        <w:rPr>
          <w:rStyle w:val="CharSClsNo"/>
        </w:rPr>
        <w:t>1</w:t>
      </w:r>
      <w:r>
        <w:rPr>
          <w:snapToGrid w:val="0"/>
        </w:rPr>
        <w:t>.</w:t>
      </w:r>
      <w:r>
        <w:rPr>
          <w:snapToGrid w:val="0"/>
        </w:rPr>
        <w:tab/>
        <w:t>Disposal of shares</w:t>
      </w:r>
      <w:bookmarkEnd w:id="274"/>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275" w:name="_Toc388863021"/>
      <w:r>
        <w:rPr>
          <w:rStyle w:val="CharSClsNo"/>
        </w:rPr>
        <w:t>2</w:t>
      </w:r>
      <w:r>
        <w:rPr>
          <w:snapToGrid w:val="0"/>
        </w:rPr>
        <w:t>.</w:t>
      </w:r>
      <w:r>
        <w:rPr>
          <w:snapToGrid w:val="0"/>
        </w:rPr>
        <w:tab/>
        <w:t>Directors</w:t>
      </w:r>
      <w:bookmarkEnd w:id="27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276" w:name="_Toc388863022"/>
      <w:r>
        <w:rPr>
          <w:rStyle w:val="CharSClsNo"/>
        </w:rPr>
        <w:t>3</w:t>
      </w:r>
      <w:r>
        <w:rPr>
          <w:snapToGrid w:val="0"/>
        </w:rPr>
        <w:t>.</w:t>
      </w:r>
      <w:r>
        <w:rPr>
          <w:snapToGrid w:val="0"/>
        </w:rPr>
        <w:tab/>
        <w:t>Further shares</w:t>
      </w:r>
      <w:bookmarkEnd w:id="27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277" w:name="_Toc388863023"/>
      <w:r>
        <w:rPr>
          <w:rStyle w:val="CharSClsNo"/>
        </w:rPr>
        <w:t>4</w:t>
      </w:r>
      <w:r>
        <w:rPr>
          <w:snapToGrid w:val="0"/>
        </w:rPr>
        <w:t>.</w:t>
      </w:r>
      <w:r>
        <w:rPr>
          <w:snapToGrid w:val="0"/>
        </w:rPr>
        <w:tab/>
        <w:t>Subsidiaries of subsidiary</w:t>
      </w:r>
      <w:bookmarkEnd w:id="277"/>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278" w:name="_Toc388519409"/>
      <w:bookmarkStart w:id="279" w:name="_Toc388863024"/>
      <w:r>
        <w:rPr>
          <w:rStyle w:val="CharSchNo"/>
        </w:rPr>
        <w:t>Schedule 5</w:t>
      </w:r>
      <w:r>
        <w:t xml:space="preserve"> — </w:t>
      </w:r>
      <w:r>
        <w:rPr>
          <w:rStyle w:val="CharSchText"/>
        </w:rPr>
        <w:t>Financial administration and audit</w:t>
      </w:r>
      <w:bookmarkEnd w:id="278"/>
      <w:bookmarkEnd w:id="279"/>
    </w:p>
    <w:p>
      <w:pPr>
        <w:pStyle w:val="yShoulderClause"/>
      </w:pPr>
      <w:r>
        <w:t>[s. 91(1)]</w:t>
      </w:r>
    </w:p>
    <w:p>
      <w:pPr>
        <w:pStyle w:val="yFootnoteheading"/>
      </w:pPr>
      <w:r>
        <w:tab/>
        <w:t>[Heading inserted in Gazette 4 Mar 2003 p. 711.]</w:t>
      </w:r>
    </w:p>
    <w:p>
      <w:pPr>
        <w:pStyle w:val="yHeading3"/>
        <w:outlineLvl w:val="0"/>
      </w:pPr>
      <w:bookmarkStart w:id="280" w:name="_Toc388519410"/>
      <w:bookmarkStart w:id="281" w:name="_Toc388863025"/>
      <w:r>
        <w:rPr>
          <w:rStyle w:val="CharSDivNo"/>
        </w:rPr>
        <w:t>Division 1</w:t>
      </w:r>
      <w:r>
        <w:t xml:space="preserve"> — </w:t>
      </w:r>
      <w:r>
        <w:rPr>
          <w:rStyle w:val="CharSDivText"/>
        </w:rPr>
        <w:t>Preliminary</w:t>
      </w:r>
      <w:bookmarkEnd w:id="280"/>
      <w:bookmarkEnd w:id="281"/>
    </w:p>
    <w:p>
      <w:pPr>
        <w:pStyle w:val="yFootnoteheading"/>
      </w:pPr>
      <w:r>
        <w:tab/>
        <w:t>[Heading inserted in Gazette 4 Mar 2003 p. 711.]</w:t>
      </w:r>
    </w:p>
    <w:p>
      <w:pPr>
        <w:pStyle w:val="yHeading5"/>
      </w:pPr>
      <w:bookmarkStart w:id="282" w:name="_Toc388863026"/>
      <w:r>
        <w:rPr>
          <w:rStyle w:val="CharSClsNo"/>
        </w:rPr>
        <w:t>1</w:t>
      </w:r>
      <w:r>
        <w:t>.</w:t>
      </w:r>
      <w:r>
        <w:tab/>
        <w:t>Terms used</w:t>
      </w:r>
      <w:bookmarkEnd w:id="28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283" w:name="_Toc388519412"/>
      <w:bookmarkStart w:id="284" w:name="_Toc388863027"/>
      <w:r>
        <w:rPr>
          <w:rStyle w:val="CharSDivNo"/>
        </w:rPr>
        <w:t>Division 2</w:t>
      </w:r>
      <w:r>
        <w:t xml:space="preserve"> — </w:t>
      </w:r>
      <w:r>
        <w:rPr>
          <w:rStyle w:val="CharSDivText"/>
        </w:rPr>
        <w:t>Financial records</w:t>
      </w:r>
      <w:bookmarkEnd w:id="283"/>
      <w:bookmarkEnd w:id="284"/>
    </w:p>
    <w:p>
      <w:pPr>
        <w:pStyle w:val="yFootnoteheading"/>
      </w:pPr>
      <w:r>
        <w:tab/>
        <w:t>[Heading inserted in Gazette 4 Mar 2003 p. 712.]</w:t>
      </w:r>
    </w:p>
    <w:p>
      <w:pPr>
        <w:pStyle w:val="yHeading5"/>
      </w:pPr>
      <w:bookmarkStart w:id="285" w:name="_Toc388863028"/>
      <w:r>
        <w:rPr>
          <w:rStyle w:val="CharSClsNo"/>
        </w:rPr>
        <w:t>2</w:t>
      </w:r>
      <w:r>
        <w:t>.</w:t>
      </w:r>
      <w:r>
        <w:tab/>
        <w:t>Obligation to keep financial records</w:t>
      </w:r>
      <w:r>
        <w:br/>
      </w:r>
      <w:r>
        <w:rPr>
          <w:i/>
        </w:rPr>
        <w:t>(cf. Corporations Act s. 286)</w:t>
      </w:r>
      <w:bookmarkEnd w:id="285"/>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286" w:name="_Toc388863029"/>
      <w:r>
        <w:rPr>
          <w:rStyle w:val="CharSClsNo"/>
        </w:rPr>
        <w:t>3</w:t>
      </w:r>
      <w:r>
        <w:t>.</w:t>
      </w:r>
      <w:r>
        <w:tab/>
        <w:t>Physical format</w:t>
      </w:r>
      <w:r>
        <w:br/>
      </w:r>
      <w:r>
        <w:rPr>
          <w:i/>
        </w:rPr>
        <w:t>(cf. Corporations Act s. 288)</w:t>
      </w:r>
      <w:bookmarkEnd w:id="28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287" w:name="_Toc388863030"/>
      <w:r>
        <w:rPr>
          <w:rStyle w:val="CharSClsNo"/>
        </w:rPr>
        <w:t>4</w:t>
      </w:r>
      <w:r>
        <w:t>.</w:t>
      </w:r>
      <w:r>
        <w:tab/>
        <w:t>Place where records are kept</w:t>
      </w:r>
      <w:r>
        <w:br/>
      </w:r>
      <w:r>
        <w:rPr>
          <w:i/>
        </w:rPr>
        <w:t>(cf. Corporations Act s. 289)</w:t>
      </w:r>
      <w:bookmarkEnd w:id="287"/>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288" w:name="_Toc388863031"/>
      <w:r>
        <w:rPr>
          <w:rStyle w:val="CharSClsNo"/>
        </w:rPr>
        <w:t>5</w:t>
      </w:r>
      <w:r>
        <w:t>.</w:t>
      </w:r>
      <w:r>
        <w:tab/>
        <w:t>Director access</w:t>
      </w:r>
      <w:r>
        <w:br/>
      </w:r>
      <w:r>
        <w:rPr>
          <w:i/>
        </w:rPr>
        <w:t>(cf. Corporations Act s. 290)</w:t>
      </w:r>
      <w:bookmarkEnd w:id="28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289" w:name="_Toc388519417"/>
      <w:bookmarkStart w:id="290" w:name="_Toc388863032"/>
      <w:r>
        <w:rPr>
          <w:rStyle w:val="CharSDivNo"/>
        </w:rPr>
        <w:t>Division 3</w:t>
      </w:r>
      <w:r>
        <w:t xml:space="preserve"> — </w:t>
      </w:r>
      <w:r>
        <w:rPr>
          <w:rStyle w:val="CharSDivText"/>
        </w:rPr>
        <w:t>Financial reporting</w:t>
      </w:r>
      <w:bookmarkEnd w:id="289"/>
      <w:bookmarkEnd w:id="290"/>
    </w:p>
    <w:p>
      <w:pPr>
        <w:pStyle w:val="yFootnoteheading"/>
      </w:pPr>
      <w:r>
        <w:tab/>
        <w:t>[Heading inserted in Gazette 4 Mar 2003 p. 713.]</w:t>
      </w:r>
    </w:p>
    <w:p>
      <w:pPr>
        <w:pStyle w:val="yHeading4"/>
        <w:outlineLvl w:val="0"/>
      </w:pPr>
      <w:bookmarkStart w:id="291" w:name="_Toc388519418"/>
      <w:bookmarkStart w:id="292" w:name="_Toc388863033"/>
      <w:r>
        <w:t>Subdivision 1 — Annual financial reports and directors’ reports</w:t>
      </w:r>
      <w:bookmarkEnd w:id="291"/>
      <w:bookmarkEnd w:id="292"/>
    </w:p>
    <w:p>
      <w:pPr>
        <w:pStyle w:val="yFootnoteheading"/>
      </w:pPr>
      <w:r>
        <w:tab/>
        <w:t>[Heading inserted in Gazette 4 Mar 2003 p. 713.]</w:t>
      </w:r>
    </w:p>
    <w:p>
      <w:pPr>
        <w:pStyle w:val="yHeading5"/>
      </w:pPr>
      <w:bookmarkStart w:id="293" w:name="_Toc388863034"/>
      <w:r>
        <w:rPr>
          <w:rStyle w:val="CharSClsNo"/>
        </w:rPr>
        <w:t>6</w:t>
      </w:r>
      <w:r>
        <w:t>.</w:t>
      </w:r>
      <w:r>
        <w:tab/>
        <w:t>Preparation of annual financial report and directors’ report</w:t>
      </w:r>
      <w:r>
        <w:br/>
      </w:r>
      <w:r>
        <w:rPr>
          <w:i/>
        </w:rPr>
        <w:t>(cf. Corporations Act s. 292)</w:t>
      </w:r>
      <w:bookmarkEnd w:id="293"/>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294" w:name="_Toc388863035"/>
      <w:r>
        <w:rPr>
          <w:rStyle w:val="CharSClsNo"/>
        </w:rPr>
        <w:t>7</w:t>
      </w:r>
      <w:r>
        <w:t>.</w:t>
      </w:r>
      <w:r>
        <w:tab/>
        <w:t>Contents of annual financial report</w:t>
      </w:r>
      <w:r>
        <w:br/>
      </w:r>
      <w:r>
        <w:rPr>
          <w:i/>
        </w:rPr>
        <w:t>(cf. Corporations Act s. 295)</w:t>
      </w:r>
      <w:bookmarkEnd w:id="294"/>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295" w:name="_Toc388863036"/>
      <w:r>
        <w:rPr>
          <w:rStyle w:val="CharSClsNo"/>
        </w:rPr>
        <w:t>8</w:t>
      </w:r>
      <w:r>
        <w:t>.</w:t>
      </w:r>
      <w:r>
        <w:tab/>
        <w:t>Compliance with accounting standards and regulations</w:t>
      </w:r>
      <w:r>
        <w:br/>
      </w:r>
      <w:r>
        <w:rPr>
          <w:i/>
        </w:rPr>
        <w:t>(cf. Corporations Act s. 296)</w:t>
      </w:r>
      <w:bookmarkEnd w:id="29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296" w:name="_Toc388863037"/>
      <w:r>
        <w:rPr>
          <w:rStyle w:val="CharSClsNo"/>
        </w:rPr>
        <w:t>9</w:t>
      </w:r>
      <w:r>
        <w:t>.</w:t>
      </w:r>
      <w:r>
        <w:tab/>
        <w:t>True and fair view</w:t>
      </w:r>
      <w:r>
        <w:br/>
      </w:r>
      <w:r>
        <w:rPr>
          <w:i/>
        </w:rPr>
        <w:t>(cf. Corporations Act s. 297)</w:t>
      </w:r>
      <w:bookmarkEnd w:id="296"/>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297" w:name="_Toc388863038"/>
      <w:r>
        <w:rPr>
          <w:rStyle w:val="CharSClsNo"/>
        </w:rPr>
        <w:t>10</w:t>
      </w:r>
      <w:r>
        <w:t>.</w:t>
      </w:r>
      <w:r>
        <w:tab/>
        <w:t>Annual directors’ report</w:t>
      </w:r>
      <w:r>
        <w:br/>
      </w:r>
      <w:r>
        <w:rPr>
          <w:i/>
        </w:rPr>
        <w:t>(cf. Corporations Act s. 298)</w:t>
      </w:r>
      <w:bookmarkEnd w:id="297"/>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298" w:name="_Toc388863039"/>
      <w:r>
        <w:rPr>
          <w:rStyle w:val="CharSClsNo"/>
        </w:rPr>
        <w:t>11</w:t>
      </w:r>
      <w:r>
        <w:t>.</w:t>
      </w:r>
      <w:r>
        <w:tab/>
        <w:t>Annual directors’ report, general information in</w:t>
      </w:r>
      <w:r>
        <w:br/>
      </w:r>
      <w:r>
        <w:rPr>
          <w:i/>
        </w:rPr>
        <w:t>(cf. Corporations Act s. 299)</w:t>
      </w:r>
      <w:bookmarkEnd w:id="298"/>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299" w:name="_Toc388863040"/>
      <w:r>
        <w:rPr>
          <w:rStyle w:val="CharSClsNo"/>
        </w:rPr>
        <w:t>12</w:t>
      </w:r>
      <w:r>
        <w:t>.</w:t>
      </w:r>
      <w:r>
        <w:tab/>
        <w:t>Annual directors’ report, specific information in</w:t>
      </w:r>
      <w:r>
        <w:br/>
      </w:r>
      <w:r>
        <w:rPr>
          <w:i/>
        </w:rPr>
        <w:t>(cf. Corporations Act s. 300)</w:t>
      </w:r>
      <w:bookmarkEnd w:id="299"/>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300" w:name="_Toc388863041"/>
      <w:r>
        <w:rPr>
          <w:rStyle w:val="CharSClsNo"/>
        </w:rPr>
        <w:t>13</w:t>
      </w:r>
      <w:r>
        <w:t>.</w:t>
      </w:r>
      <w:r>
        <w:tab/>
        <w:t>Annual directors’ report, other specific information in</w:t>
      </w:r>
      <w:r>
        <w:br/>
      </w:r>
      <w:r>
        <w:rPr>
          <w:i/>
        </w:rPr>
        <w:t>(cf. Corporations Act s. 300A)</w:t>
      </w:r>
      <w:bookmarkEnd w:id="30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301" w:name="_Toc388863042"/>
      <w:r>
        <w:rPr>
          <w:rStyle w:val="CharSClsNo"/>
        </w:rPr>
        <w:t>14</w:t>
      </w:r>
      <w:r>
        <w:t>.</w:t>
      </w:r>
      <w:r>
        <w:tab/>
        <w:t>Audit of annual financial report</w:t>
      </w:r>
      <w:r>
        <w:br/>
      </w:r>
      <w:r>
        <w:rPr>
          <w:i/>
        </w:rPr>
        <w:t>(cf. Corporations Act s. 301)</w:t>
      </w:r>
      <w:bookmarkEnd w:id="301"/>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302" w:name="_Toc388519428"/>
      <w:bookmarkStart w:id="303" w:name="_Toc388863043"/>
      <w:r>
        <w:t>Subdivision 2 — Audit and auditor’s report</w:t>
      </w:r>
      <w:bookmarkEnd w:id="302"/>
      <w:bookmarkEnd w:id="303"/>
    </w:p>
    <w:p>
      <w:pPr>
        <w:pStyle w:val="yFootnoteheading"/>
      </w:pPr>
      <w:r>
        <w:tab/>
        <w:t>[</w:t>
      </w:r>
      <w:r>
        <w:rPr>
          <w:snapToGrid w:val="0"/>
        </w:rPr>
        <w:t>Heading</w:t>
      </w:r>
      <w:r>
        <w:t xml:space="preserve"> inserted in Gazette 4 Mar 2003 p. 716.]</w:t>
      </w:r>
    </w:p>
    <w:p>
      <w:pPr>
        <w:pStyle w:val="yHeading5"/>
      </w:pPr>
      <w:bookmarkStart w:id="304" w:name="_Toc388863044"/>
      <w:r>
        <w:rPr>
          <w:rStyle w:val="CharSClsNo"/>
        </w:rPr>
        <w:t>15</w:t>
      </w:r>
      <w:r>
        <w:t>.</w:t>
      </w:r>
      <w:r>
        <w:tab/>
        <w:t>Audit opinion</w:t>
      </w:r>
      <w:r>
        <w:br/>
      </w:r>
      <w:r>
        <w:rPr>
          <w:i/>
        </w:rPr>
        <w:t>(cf. Corporations Act s. 307)</w:t>
      </w:r>
      <w:bookmarkEnd w:id="30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305" w:name="_Toc388863045"/>
      <w:r>
        <w:rPr>
          <w:rStyle w:val="CharSClsNo"/>
        </w:rPr>
        <w:t>16</w:t>
      </w:r>
      <w:r>
        <w:t>.</w:t>
      </w:r>
      <w:r>
        <w:tab/>
        <w:t>Auditor General’s report on annual financial report</w:t>
      </w:r>
      <w:r>
        <w:br/>
      </w:r>
      <w:r>
        <w:rPr>
          <w:i/>
        </w:rPr>
        <w:t>(cf. Corporations Act s. 308)</w:t>
      </w:r>
      <w:bookmarkEnd w:id="30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306" w:name="_Toc388863046"/>
      <w:r>
        <w:rPr>
          <w:rStyle w:val="CharSClsNo"/>
        </w:rPr>
        <w:t>17</w:t>
      </w:r>
      <w:r>
        <w:t>.</w:t>
      </w:r>
      <w:r>
        <w:tab/>
        <w:t>Auditor General’s power to obtain information</w:t>
      </w:r>
      <w:r>
        <w:br/>
      </w:r>
      <w:r>
        <w:rPr>
          <w:i/>
        </w:rPr>
        <w:t>(cf. Corporations Act s. 310)</w:t>
      </w:r>
      <w:bookmarkEnd w:id="306"/>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307" w:name="_Toc388863047"/>
      <w:r>
        <w:rPr>
          <w:rStyle w:val="CharSClsNo"/>
        </w:rPr>
        <w:t>18</w:t>
      </w:r>
      <w:r>
        <w:t>.</w:t>
      </w:r>
      <w:r>
        <w:tab/>
        <w:t>Assisting Auditor General</w:t>
      </w:r>
      <w:r>
        <w:br/>
      </w:r>
      <w:r>
        <w:rPr>
          <w:i/>
        </w:rPr>
        <w:t>(cf. Corporations Act s. 312)</w:t>
      </w:r>
      <w:bookmarkEnd w:id="307"/>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308" w:name="_Toc388519433"/>
      <w:bookmarkStart w:id="309" w:name="_Toc388863048"/>
      <w:r>
        <w:t>Subdivision 3 — Special provisions about consolidated financial statements</w:t>
      </w:r>
      <w:bookmarkEnd w:id="308"/>
      <w:bookmarkEnd w:id="309"/>
    </w:p>
    <w:p>
      <w:pPr>
        <w:pStyle w:val="yFootnoteheading"/>
      </w:pPr>
      <w:r>
        <w:tab/>
        <w:t>[Heading inserted in Gazette 4 Mar 2003 p. 717.]</w:t>
      </w:r>
    </w:p>
    <w:p>
      <w:pPr>
        <w:pStyle w:val="yHeading5"/>
      </w:pPr>
      <w:bookmarkStart w:id="310" w:name="_Toc388863049"/>
      <w:r>
        <w:rPr>
          <w:rStyle w:val="CharSClsNo"/>
        </w:rPr>
        <w:t>19</w:t>
      </w:r>
      <w:r>
        <w:t>.</w:t>
      </w:r>
      <w:r>
        <w:tab/>
        <w:t>Directors and officers of controlled entity to give information</w:t>
      </w:r>
      <w:r>
        <w:br/>
      </w:r>
      <w:r>
        <w:rPr>
          <w:i/>
        </w:rPr>
        <w:t>(cf. Corporations Act s. 323)</w:t>
      </w:r>
      <w:bookmarkEnd w:id="310"/>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311" w:name="_Toc388863050"/>
      <w:r>
        <w:rPr>
          <w:rStyle w:val="CharSClsNo"/>
        </w:rPr>
        <w:t>20</w:t>
      </w:r>
      <w:r>
        <w:t>.</w:t>
      </w:r>
      <w:r>
        <w:tab/>
        <w:t>Auditor General’s power to obtain information from controlled entity</w:t>
      </w:r>
      <w:r>
        <w:br/>
      </w:r>
      <w:r>
        <w:rPr>
          <w:i/>
        </w:rPr>
        <w:t>(cf. Corporations Act s. 323A)</w:t>
      </w:r>
      <w:bookmarkEnd w:id="31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312" w:name="_Toc388863051"/>
      <w:r>
        <w:rPr>
          <w:rStyle w:val="CharSClsNo"/>
        </w:rPr>
        <w:t>21</w:t>
      </w:r>
      <w:r>
        <w:t>.</w:t>
      </w:r>
      <w:r>
        <w:tab/>
        <w:t>Controlled entity to assist the Auditor General</w:t>
      </w:r>
      <w:r>
        <w:br/>
      </w:r>
      <w:r>
        <w:rPr>
          <w:i/>
        </w:rPr>
        <w:t>(cf. Corporations Act s. 323B)</w:t>
      </w:r>
      <w:bookmarkEnd w:id="312"/>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313" w:name="_Toc388863052"/>
      <w:r>
        <w:rPr>
          <w:rStyle w:val="CharSClsNo"/>
        </w:rPr>
        <w:t>22</w:t>
      </w:r>
      <w:r>
        <w:t>.</w:t>
      </w:r>
      <w:r>
        <w:tab/>
        <w:t>Application of cl. 19 to 21 to entity that has ceased to be controlled</w:t>
      </w:r>
      <w:r>
        <w:br/>
      </w:r>
      <w:r>
        <w:rPr>
          <w:i/>
        </w:rPr>
        <w:t>(cf. Corporations Act s. 323C)</w:t>
      </w:r>
      <w:bookmarkEnd w:id="313"/>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314" w:name="_Toc388519438"/>
      <w:bookmarkStart w:id="315" w:name="_Toc388863053"/>
      <w:r>
        <w:t>Subdivision 4 — Financial years of a port authority and the entities it controls</w:t>
      </w:r>
      <w:bookmarkEnd w:id="314"/>
      <w:bookmarkEnd w:id="315"/>
    </w:p>
    <w:p>
      <w:pPr>
        <w:pStyle w:val="yFootnoteheading"/>
        <w:ind w:firstLine="879"/>
      </w:pPr>
      <w:r>
        <w:rPr>
          <w:snapToGrid w:val="0"/>
        </w:rPr>
        <w:t>[</w:t>
      </w:r>
      <w:r>
        <w:t>Heading inserted in Gazette 4 Mar 2003 p. 718.]</w:t>
      </w:r>
    </w:p>
    <w:p>
      <w:pPr>
        <w:pStyle w:val="yHeading5"/>
        <w:spacing w:before="180"/>
      </w:pPr>
      <w:bookmarkStart w:id="316" w:name="_Toc388863054"/>
      <w:r>
        <w:rPr>
          <w:rStyle w:val="CharSClsNo"/>
        </w:rPr>
        <w:t>23</w:t>
      </w:r>
      <w:r>
        <w:t>.</w:t>
      </w:r>
      <w:r>
        <w:tab/>
        <w:t>Financial years</w:t>
      </w:r>
      <w:r>
        <w:br/>
      </w:r>
      <w:r>
        <w:rPr>
          <w:i/>
        </w:rPr>
        <w:t>(cf. Corporations Act s. 323D)</w:t>
      </w:r>
      <w:bookmarkEnd w:id="316"/>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317" w:name="_Toc388519440"/>
      <w:bookmarkStart w:id="318" w:name="_Toc388863055"/>
      <w:r>
        <w:rPr>
          <w:rStyle w:val="CharSDivNo"/>
        </w:rPr>
        <w:t>Division 4</w:t>
      </w:r>
      <w:r>
        <w:t xml:space="preserve"> — </w:t>
      </w:r>
      <w:r>
        <w:rPr>
          <w:rStyle w:val="CharSDivText"/>
        </w:rPr>
        <w:t>Accounting standards</w:t>
      </w:r>
      <w:bookmarkEnd w:id="317"/>
      <w:bookmarkEnd w:id="318"/>
    </w:p>
    <w:p>
      <w:pPr>
        <w:pStyle w:val="yFootnoteheading"/>
      </w:pPr>
      <w:r>
        <w:tab/>
        <w:t>[Heading inserted in Gazette 4 Mar 2003 p. 719.]</w:t>
      </w:r>
    </w:p>
    <w:p>
      <w:pPr>
        <w:pStyle w:val="yHeading5"/>
        <w:spacing w:before="180"/>
      </w:pPr>
      <w:bookmarkStart w:id="319" w:name="_Toc388863056"/>
      <w:r>
        <w:rPr>
          <w:rStyle w:val="CharSClsNo"/>
        </w:rPr>
        <w:t>24</w:t>
      </w:r>
      <w:r>
        <w:t>.</w:t>
      </w:r>
      <w:r>
        <w:tab/>
        <w:t>Accounting standards</w:t>
      </w:r>
      <w:r>
        <w:br/>
      </w:r>
      <w:r>
        <w:rPr>
          <w:i/>
        </w:rPr>
        <w:t>(cf. Corporations Act s. 334)</w:t>
      </w:r>
      <w:bookmarkEnd w:id="31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320" w:name="_Toc388863057"/>
      <w:r>
        <w:rPr>
          <w:rStyle w:val="CharSClsNo"/>
        </w:rPr>
        <w:t>25</w:t>
      </w:r>
      <w:r>
        <w:t>.</w:t>
      </w:r>
      <w:r>
        <w:tab/>
        <w:t>Equity accounting</w:t>
      </w:r>
      <w:r>
        <w:br/>
      </w:r>
      <w:r>
        <w:rPr>
          <w:i/>
        </w:rPr>
        <w:t>(cf. Corporations Act s. 335)</w:t>
      </w:r>
      <w:bookmarkEnd w:id="32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321" w:name="_Toc388863058"/>
      <w:r>
        <w:rPr>
          <w:rStyle w:val="CharSClsNo"/>
        </w:rPr>
        <w:t>26</w:t>
      </w:r>
      <w:r>
        <w:t>.</w:t>
      </w:r>
      <w:r>
        <w:tab/>
        <w:t>Interpretation of accounting standards</w:t>
      </w:r>
      <w:r>
        <w:br/>
      </w:r>
      <w:r>
        <w:rPr>
          <w:i/>
        </w:rPr>
        <w:t>(cf. Corporations Act s. 337)</w:t>
      </w:r>
      <w:bookmarkEnd w:id="32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322" w:name="_Toc388863059"/>
      <w:r>
        <w:rPr>
          <w:rStyle w:val="CharSClsNo"/>
        </w:rPr>
        <w:t>27</w:t>
      </w:r>
      <w:r>
        <w:t>.</w:t>
      </w:r>
      <w:r>
        <w:tab/>
        <w:t>Evidence of text of accounting standard</w:t>
      </w:r>
      <w:bookmarkEnd w:id="32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323" w:name="_Toc388519445"/>
      <w:bookmarkStart w:id="324" w:name="_Toc388863060"/>
      <w:r>
        <w:rPr>
          <w:rStyle w:val="CharSDivNo"/>
        </w:rPr>
        <w:t>Division 5</w:t>
      </w:r>
      <w:r>
        <w:t xml:space="preserve"> — </w:t>
      </w:r>
      <w:r>
        <w:rPr>
          <w:rStyle w:val="CharSDivText"/>
        </w:rPr>
        <w:t>Extension of time</w:t>
      </w:r>
      <w:bookmarkEnd w:id="323"/>
      <w:bookmarkEnd w:id="324"/>
    </w:p>
    <w:p>
      <w:pPr>
        <w:pStyle w:val="yFootnotesection"/>
      </w:pPr>
      <w:r>
        <w:tab/>
        <w:t>[Heading</w:t>
      </w:r>
      <w:r>
        <w:rPr>
          <w:snapToGrid/>
        </w:rPr>
        <w:t> inserted in Gazette 4 Mar 2003 p. 7</w:t>
      </w:r>
      <w:r>
        <w:t>20</w:t>
      </w:r>
      <w:r>
        <w:rPr>
          <w:snapToGrid/>
        </w:rPr>
        <w:t>.]</w:t>
      </w:r>
    </w:p>
    <w:p>
      <w:pPr>
        <w:pStyle w:val="yHeading5"/>
        <w:spacing w:before="180"/>
      </w:pPr>
      <w:bookmarkStart w:id="325" w:name="_Toc388863061"/>
      <w:r>
        <w:rPr>
          <w:rStyle w:val="CharSClsNo"/>
        </w:rPr>
        <w:t>28</w:t>
      </w:r>
      <w:r>
        <w:t>.</w:t>
      </w:r>
      <w:r>
        <w:tab/>
        <w:t>Extension of time</w:t>
      </w:r>
      <w:bookmarkEnd w:id="32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326" w:name="_Toc388519447"/>
      <w:bookmarkStart w:id="327" w:name="_Toc388863062"/>
      <w:r>
        <w:rPr>
          <w:rStyle w:val="CharSDivNo"/>
        </w:rPr>
        <w:t>Division 6</w:t>
      </w:r>
      <w:r>
        <w:t xml:space="preserve"> — </w:t>
      </w:r>
      <w:r>
        <w:rPr>
          <w:rStyle w:val="CharSDivText"/>
        </w:rPr>
        <w:t>Sanctions for contraventions of this Schedule</w:t>
      </w:r>
      <w:bookmarkEnd w:id="326"/>
      <w:bookmarkEnd w:id="327"/>
    </w:p>
    <w:p>
      <w:pPr>
        <w:pStyle w:val="yFootnoteheading"/>
        <w:keepNext/>
        <w:keepLines/>
      </w:pPr>
      <w:r>
        <w:tab/>
        <w:t>[Heading inserted in Gazette 4 Mar 2003 p. 720.]</w:t>
      </w:r>
    </w:p>
    <w:p>
      <w:pPr>
        <w:pStyle w:val="yHeading5"/>
      </w:pPr>
      <w:bookmarkStart w:id="328" w:name="_Toc388863063"/>
      <w:r>
        <w:rPr>
          <w:rStyle w:val="CharSClsNo"/>
        </w:rPr>
        <w:t>29</w:t>
      </w:r>
      <w:r>
        <w:t>.</w:t>
      </w:r>
      <w:r>
        <w:tab/>
        <w:t>Contravention of Div. 2 and 3</w:t>
      </w:r>
      <w:r>
        <w:br/>
      </w:r>
      <w:r>
        <w:rPr>
          <w:i/>
        </w:rPr>
        <w:t>(cf. Corporations Act s. 344)</w:t>
      </w:r>
      <w:bookmarkEnd w:id="32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329" w:name="_Toc388519449"/>
      <w:bookmarkStart w:id="330" w:name="_Toc388863064"/>
      <w:r>
        <w:rPr>
          <w:rStyle w:val="CharSDivNo"/>
        </w:rPr>
        <w:t>Division 7</w:t>
      </w:r>
      <w:r>
        <w:t xml:space="preserve"> — </w:t>
      </w:r>
      <w:r>
        <w:rPr>
          <w:rStyle w:val="CharSDivText"/>
        </w:rPr>
        <w:t>Miscellaneous</w:t>
      </w:r>
      <w:bookmarkEnd w:id="329"/>
      <w:bookmarkEnd w:id="330"/>
    </w:p>
    <w:p>
      <w:pPr>
        <w:pStyle w:val="yFootnoteheading"/>
      </w:pPr>
      <w:r>
        <w:tab/>
        <w:t>[Heading inserted in Gazette 4 Mar 2003 p. 720.]</w:t>
      </w:r>
    </w:p>
    <w:p>
      <w:pPr>
        <w:pStyle w:val="yHeading5"/>
        <w:outlineLvl w:val="0"/>
      </w:pPr>
      <w:bookmarkStart w:id="331" w:name="_Toc388863065"/>
      <w:r>
        <w:rPr>
          <w:rStyle w:val="CharSClsNo"/>
        </w:rPr>
        <w:t>33</w:t>
      </w:r>
      <w:r>
        <w:t>.</w:t>
      </w:r>
      <w:r>
        <w:tab/>
        <w:t>Treasurer’s power to make specific exemption orders</w:t>
      </w:r>
      <w:r>
        <w:br/>
      </w:r>
      <w:r>
        <w:rPr>
          <w:i/>
        </w:rPr>
        <w:t>(cf. Corporations Act s. 340)</w:t>
      </w:r>
      <w:bookmarkEnd w:id="331"/>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332" w:name="_Toc388863066"/>
      <w:r>
        <w:rPr>
          <w:rStyle w:val="CharSClsNo"/>
        </w:rPr>
        <w:t>33A</w:t>
      </w:r>
      <w:r>
        <w:t>.</w:t>
      </w:r>
      <w:r>
        <w:tab/>
        <w:t xml:space="preserve">Criteria for specific exemption orders and class orders  </w:t>
      </w:r>
      <w:r>
        <w:br/>
      </w:r>
      <w:r>
        <w:rPr>
          <w:i/>
        </w:rPr>
        <w:t>(cf. Corporations Act s. 342)</w:t>
      </w:r>
      <w:bookmarkEnd w:id="332"/>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333" w:name="_Toc388863067"/>
      <w:r>
        <w:rPr>
          <w:rStyle w:val="CharSClsNo"/>
        </w:rPr>
        <w:t>34</w:t>
      </w:r>
      <w:r>
        <w:t>.</w:t>
      </w:r>
      <w:r>
        <w:tab/>
        <w:t>Deadline for reporting to Minister</w:t>
      </w:r>
      <w:r>
        <w:br/>
      </w:r>
      <w:r>
        <w:rPr>
          <w:i/>
        </w:rPr>
        <w:t>(cf. Corporations Act s. 315)</w:t>
      </w:r>
      <w:bookmarkEnd w:id="333"/>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334" w:name="_Toc388863068"/>
      <w:r>
        <w:rPr>
          <w:rStyle w:val="CharSClsNo"/>
        </w:rPr>
        <w:t>35</w:t>
      </w:r>
      <w:r>
        <w:t>.</w:t>
      </w:r>
      <w:r>
        <w:tab/>
        <w:t>Annual report to Minister, content of</w:t>
      </w:r>
      <w:r>
        <w:br/>
      </w:r>
      <w:r>
        <w:rPr>
          <w:i/>
        </w:rPr>
        <w:t>(cf. Corporations Act s. 314)</w:t>
      </w:r>
      <w:bookmarkEnd w:id="334"/>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335" w:name="_Toc388863069"/>
      <w:r>
        <w:rPr>
          <w:rStyle w:val="CharSClsNo"/>
        </w:rPr>
        <w:t>37</w:t>
      </w:r>
      <w:r>
        <w:t>.</w:t>
      </w:r>
      <w:r>
        <w:tab/>
        <w:t>Audit, deadline for; interim report</w:t>
      </w:r>
      <w:bookmarkEnd w:id="335"/>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Sch. 1 cl. 131(5)</w:t>
      </w:r>
      <w:r>
        <w:rPr>
          <w:snapToGrid/>
        </w:rPr>
        <w:t>.]</w:t>
      </w:r>
    </w:p>
    <w:p>
      <w:pPr>
        <w:pStyle w:val="yHeading5"/>
        <w:outlineLvl w:val="0"/>
      </w:pPr>
      <w:bookmarkStart w:id="336" w:name="_Toc388863070"/>
      <w:r>
        <w:rPr>
          <w:rStyle w:val="CharSClsNo"/>
        </w:rPr>
        <w:t>44</w:t>
      </w:r>
      <w:r>
        <w:t>.</w:t>
      </w:r>
      <w:r>
        <w:tab/>
        <w:t>Auditor General, duties and powers of</w:t>
      </w:r>
      <w:bookmarkEnd w:id="336"/>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Sch. 1 cl. 131(6).]</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337" w:name="_Toc388519456"/>
      <w:bookmarkStart w:id="338" w:name="_Toc388863071"/>
      <w:r>
        <w:rPr>
          <w:rStyle w:val="CharSchNo"/>
        </w:rPr>
        <w:t>Schedule 6</w:t>
      </w:r>
      <w:r>
        <w:t xml:space="preserve"> — </w:t>
      </w:r>
      <w:r>
        <w:rPr>
          <w:rStyle w:val="CharSchText"/>
        </w:rPr>
        <w:t>Provisions for particular port authorities</w:t>
      </w:r>
      <w:bookmarkEnd w:id="337"/>
      <w:bookmarkEnd w:id="338"/>
      <w:r>
        <w:t xml:space="preserve"> </w:t>
      </w:r>
    </w:p>
    <w:p>
      <w:pPr>
        <w:pStyle w:val="yShoulderClause"/>
      </w:pPr>
      <w:r>
        <w:t>[s. 132]</w:t>
      </w:r>
    </w:p>
    <w:p>
      <w:pPr>
        <w:pStyle w:val="yHeading3"/>
        <w:outlineLvl w:val="0"/>
      </w:pPr>
      <w:bookmarkStart w:id="339" w:name="_Toc388519457"/>
      <w:bookmarkStart w:id="340" w:name="_Toc388863072"/>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9"/>
      <w:bookmarkEnd w:id="340"/>
    </w:p>
    <w:p>
      <w:pPr>
        <w:pStyle w:val="yHeading5"/>
        <w:outlineLvl w:val="0"/>
        <w:rPr>
          <w:snapToGrid w:val="0"/>
        </w:rPr>
      </w:pPr>
      <w:bookmarkStart w:id="341" w:name="_Toc388863073"/>
      <w:r>
        <w:rPr>
          <w:rStyle w:val="CharSClsNo"/>
        </w:rPr>
        <w:t>1.1</w:t>
      </w:r>
      <w:r>
        <w:rPr>
          <w:snapToGrid w:val="0"/>
        </w:rPr>
        <w:t>.</w:t>
      </w:r>
      <w:r>
        <w:rPr>
          <w:snapToGrid w:val="0"/>
        </w:rPr>
        <w:tab/>
        <w:t>Application of Division</w:t>
      </w:r>
      <w:bookmarkEnd w:id="341"/>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342" w:name="_Toc388863074"/>
      <w:r>
        <w:rPr>
          <w:rStyle w:val="CharSClsNo"/>
        </w:rPr>
        <w:t>1.2</w:t>
      </w:r>
      <w:r>
        <w:rPr>
          <w:snapToGrid w:val="0"/>
        </w:rPr>
        <w:t>.</w:t>
      </w:r>
      <w:r>
        <w:rPr>
          <w:snapToGrid w:val="0"/>
        </w:rPr>
        <w:tab/>
        <w:t>Terms used</w:t>
      </w:r>
      <w:bookmarkEnd w:id="342"/>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Heading5"/>
        <w:outlineLvl w:val="0"/>
        <w:rPr>
          <w:snapToGrid w:val="0"/>
        </w:rPr>
      </w:pPr>
      <w:bookmarkStart w:id="343" w:name="_Toc388863075"/>
      <w:r>
        <w:rPr>
          <w:rStyle w:val="CharSClsNo"/>
        </w:rPr>
        <w:t>1.3</w:t>
      </w:r>
      <w:r>
        <w:rPr>
          <w:snapToGrid w:val="0"/>
        </w:rPr>
        <w:t>.</w:t>
      </w:r>
      <w:r>
        <w:rPr>
          <w:snapToGrid w:val="0"/>
        </w:rPr>
        <w:tab/>
        <w:t>Act does not affect State agreements</w:t>
      </w:r>
      <w:bookmarkEnd w:id="343"/>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344" w:name="_Toc388863076"/>
      <w:r>
        <w:rPr>
          <w:rStyle w:val="CharSClsNo"/>
        </w:rPr>
        <w:t>1.4</w:t>
      </w:r>
      <w:r>
        <w:rPr>
          <w:snapToGrid w:val="0"/>
        </w:rPr>
        <w:t>.</w:t>
      </w:r>
      <w:r>
        <w:rPr>
          <w:snapToGrid w:val="0"/>
        </w:rPr>
        <w:tab/>
        <w:t>Directors of board</w:t>
      </w:r>
      <w:bookmarkEnd w:id="344"/>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 and</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345" w:name="_Toc388863077"/>
      <w:r>
        <w:rPr>
          <w:rStyle w:val="CharSClsNo"/>
        </w:rPr>
        <w:t>1.5</w:t>
      </w:r>
      <w:r>
        <w:rPr>
          <w:snapToGrid w:val="0"/>
        </w:rPr>
        <w:t>.</w:t>
      </w:r>
      <w:r>
        <w:rPr>
          <w:snapToGrid w:val="0"/>
        </w:rPr>
        <w:tab/>
        <w:t>Alternate directors</w:t>
      </w:r>
      <w:bookmarkEnd w:id="345"/>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346" w:name="_Toc388863078"/>
      <w:r>
        <w:rPr>
          <w:rStyle w:val="CharSClsNo"/>
        </w:rPr>
        <w:t>1.6</w:t>
      </w:r>
      <w:r>
        <w:rPr>
          <w:snapToGrid w:val="0"/>
        </w:rPr>
        <w:t>.</w:t>
      </w:r>
      <w:r>
        <w:rPr>
          <w:snapToGrid w:val="0"/>
        </w:rPr>
        <w:tab/>
        <w:t>Some material personal interests excluded from s. 2 and Sch. 2 cl. 8</w:t>
      </w:r>
      <w:bookmarkEnd w:id="346"/>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347" w:name="_Toc388863079"/>
      <w:r>
        <w:rPr>
          <w:rStyle w:val="CharSClsNo"/>
        </w:rPr>
        <w:t>1.7</w:t>
      </w:r>
      <w:r>
        <w:rPr>
          <w:snapToGrid w:val="0"/>
        </w:rPr>
        <w:t>.</w:t>
      </w:r>
      <w:r>
        <w:rPr>
          <w:snapToGrid w:val="0"/>
        </w:rPr>
        <w:tab/>
        <w:t>Quorum</w:t>
      </w:r>
      <w:bookmarkEnd w:id="347"/>
      <w:r>
        <w:rPr>
          <w:snapToGrid w:val="0"/>
        </w:rPr>
        <w:t xml:space="preserve"> </w:t>
      </w:r>
    </w:p>
    <w:p>
      <w:pPr>
        <w:pStyle w:val="ySubsection"/>
        <w:keepNext/>
        <w:keepLines/>
        <w:spacing w:before="100"/>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348" w:name="_Toc388863080"/>
      <w:r>
        <w:rPr>
          <w:rStyle w:val="CharSClsNo"/>
        </w:rPr>
        <w:t>1.8</w:t>
      </w:r>
      <w:r>
        <w:rPr>
          <w:snapToGrid w:val="0"/>
        </w:rPr>
        <w:t>.</w:t>
      </w:r>
      <w:r>
        <w:rPr>
          <w:snapToGrid w:val="0"/>
        </w:rPr>
        <w:tab/>
        <w:t>Some property excepted from s. 26(1)</w:t>
      </w:r>
      <w:bookmarkEnd w:id="348"/>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349" w:name="_Toc388863081"/>
      <w:r>
        <w:rPr>
          <w:rStyle w:val="CharSClsNo"/>
        </w:rPr>
        <w:t>1.9</w:t>
      </w:r>
      <w:r>
        <w:rPr>
          <w:snapToGrid w:val="0"/>
        </w:rPr>
        <w:t>.</w:t>
      </w:r>
      <w:r>
        <w:rPr>
          <w:snapToGrid w:val="0"/>
        </w:rPr>
        <w:tab/>
        <w:t>Recovery of costs from users, functions include</w:t>
      </w:r>
      <w:bookmarkEnd w:id="349"/>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350" w:name="_Toc388863082"/>
      <w:r>
        <w:rPr>
          <w:rStyle w:val="CharSClsNo"/>
        </w:rPr>
        <w:t>1.10</w:t>
      </w:r>
      <w:r>
        <w:rPr>
          <w:snapToGrid w:val="0"/>
        </w:rPr>
        <w:t>.</w:t>
      </w:r>
      <w:r>
        <w:rPr>
          <w:snapToGrid w:val="0"/>
        </w:rPr>
        <w:tab/>
        <w:t>Companies, Joint Venturers and Salt Company, duties of</w:t>
      </w:r>
      <w:bookmarkEnd w:id="350"/>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351" w:name="_Toc388863083"/>
      <w:r>
        <w:rPr>
          <w:rStyle w:val="CharSClsNo"/>
        </w:rPr>
        <w:t>1.11</w:t>
      </w:r>
      <w:r>
        <w:rPr>
          <w:snapToGrid w:val="0"/>
        </w:rPr>
        <w:t>.</w:t>
      </w:r>
      <w:r>
        <w:rPr>
          <w:snapToGrid w:val="0"/>
        </w:rPr>
        <w:tab/>
        <w:t>Pilotage services, agreements with Companies etc. as to</w:t>
      </w:r>
      <w:bookmarkEnd w:id="351"/>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352" w:name="_Toc388519469"/>
      <w:bookmarkStart w:id="353" w:name="_Toc388863084"/>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52"/>
      <w:bookmarkEnd w:id="353"/>
    </w:p>
    <w:p>
      <w:pPr>
        <w:pStyle w:val="yHeading5"/>
        <w:outlineLvl w:val="0"/>
        <w:rPr>
          <w:snapToGrid w:val="0"/>
        </w:rPr>
      </w:pPr>
      <w:bookmarkStart w:id="354" w:name="_Toc388863085"/>
      <w:r>
        <w:rPr>
          <w:rStyle w:val="CharSClsNo"/>
        </w:rPr>
        <w:t>2.1</w:t>
      </w:r>
      <w:r>
        <w:rPr>
          <w:snapToGrid w:val="0"/>
        </w:rPr>
        <w:t>.</w:t>
      </w:r>
      <w:r>
        <w:rPr>
          <w:snapToGrid w:val="0"/>
        </w:rPr>
        <w:tab/>
        <w:t>Application of Division</w:t>
      </w:r>
      <w:bookmarkEnd w:id="354"/>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355" w:name="_Toc388863086"/>
      <w:r>
        <w:rPr>
          <w:rStyle w:val="CharSClsNo"/>
        </w:rPr>
        <w:t>2.2</w:t>
      </w:r>
      <w:r>
        <w:rPr>
          <w:snapToGrid w:val="0"/>
        </w:rPr>
        <w:t>.</w:t>
      </w:r>
      <w:r>
        <w:rPr>
          <w:snapToGrid w:val="0"/>
        </w:rPr>
        <w:tab/>
        <w:t>Terms used</w:t>
      </w:r>
      <w:bookmarkEnd w:id="355"/>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356" w:name="_Toc388863087"/>
      <w:r>
        <w:rPr>
          <w:rStyle w:val="CharSClsNo"/>
        </w:rPr>
        <w:t>2.3</w:t>
      </w:r>
      <w:r>
        <w:rPr>
          <w:snapToGrid w:val="0"/>
        </w:rPr>
        <w:t>.</w:t>
      </w:r>
      <w:r>
        <w:rPr>
          <w:snapToGrid w:val="0"/>
        </w:rPr>
        <w:tab/>
        <w:t>Act does not affect State agreements</w:t>
      </w:r>
      <w:bookmarkEnd w:id="356"/>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357" w:name="_Toc388863088"/>
      <w:r>
        <w:rPr>
          <w:rStyle w:val="CharSClsNo"/>
        </w:rPr>
        <w:t>2.4</w:t>
      </w:r>
      <w:r>
        <w:rPr>
          <w:snapToGrid w:val="0"/>
        </w:rPr>
        <w:t>.</w:t>
      </w:r>
      <w:r>
        <w:rPr>
          <w:snapToGrid w:val="0"/>
        </w:rPr>
        <w:tab/>
        <w:t>Directors of board</w:t>
      </w:r>
      <w:bookmarkEnd w:id="357"/>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 and</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r>
        <w:rPr>
          <w:b/>
          <w:i/>
          <w:snapToGrid w:val="0"/>
        </w:rPr>
        <w:t>first lessee</w:t>
      </w:r>
      <w:r>
        <w:rPr>
          <w:snapToGrid w:val="0"/>
        </w:rPr>
        <w:t xml:space="preserv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 xml:space="preserve">the person or persons who nominated him or her ceases or cease to be the registered lessee or registered lessees of the land referred to in the definition of </w:t>
      </w:r>
      <w:r>
        <w:rPr>
          <w:b/>
          <w:i/>
          <w:snapToGrid w:val="0"/>
        </w:rPr>
        <w:t>second lessee</w:t>
      </w:r>
      <w:r>
        <w:rPr>
          <w:snapToGrid w:val="0"/>
        </w:rPr>
        <w:t xml:space="preserv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358" w:name="_Toc388863089"/>
      <w:r>
        <w:rPr>
          <w:rStyle w:val="CharSClsNo"/>
        </w:rPr>
        <w:t>2.5</w:t>
      </w:r>
      <w:r>
        <w:rPr>
          <w:snapToGrid w:val="0"/>
        </w:rPr>
        <w:t>.</w:t>
      </w:r>
      <w:r>
        <w:rPr>
          <w:snapToGrid w:val="0"/>
        </w:rPr>
        <w:tab/>
        <w:t>Alternate directors</w:t>
      </w:r>
      <w:bookmarkEnd w:id="358"/>
    </w:p>
    <w:p>
      <w:pPr>
        <w:pStyle w:val="ySubsection"/>
        <w:keepNext/>
        <w:keepLines/>
        <w:spacing w:before="100"/>
        <w:rPr>
          <w:snapToGrid w:val="0"/>
        </w:rPr>
      </w:pPr>
      <w:r>
        <w:rPr>
          <w:snapToGrid w:val="0"/>
        </w:rPr>
        <w:tab/>
        <w:t>(1)</w:t>
      </w:r>
      <w:r>
        <w:rPr>
          <w:snapToGrid w:val="0"/>
        </w:rPr>
        <w:tab/>
        <w:t>Schedule 2, clause 4 does not apply to the port authority.</w:t>
      </w:r>
    </w:p>
    <w:p>
      <w:pPr>
        <w:pStyle w:val="ySubsection"/>
        <w:keepNext/>
        <w:keepLines/>
        <w:spacing w:before="100"/>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359" w:name="_Toc388863090"/>
      <w:r>
        <w:rPr>
          <w:rStyle w:val="CharSClsNo"/>
        </w:rPr>
        <w:t>2.6</w:t>
      </w:r>
      <w:r>
        <w:rPr>
          <w:snapToGrid w:val="0"/>
        </w:rPr>
        <w:t>.</w:t>
      </w:r>
      <w:r>
        <w:rPr>
          <w:snapToGrid w:val="0"/>
        </w:rPr>
        <w:tab/>
        <w:t>Some material personal interests excluded from s. 12 and Sch. 2 cl. 8</w:t>
      </w:r>
      <w:bookmarkEnd w:id="359"/>
    </w:p>
    <w:p>
      <w:pPr>
        <w:pStyle w:val="ySubsection"/>
        <w:keepNext/>
        <w:keepLines/>
        <w:spacing w:before="100"/>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360" w:name="_Toc388863091"/>
      <w:r>
        <w:rPr>
          <w:rStyle w:val="CharSClsNo"/>
        </w:rPr>
        <w:t>2.7</w:t>
      </w:r>
      <w:r>
        <w:rPr>
          <w:snapToGrid w:val="0"/>
        </w:rPr>
        <w:t>.</w:t>
      </w:r>
      <w:r>
        <w:rPr>
          <w:snapToGrid w:val="0"/>
        </w:rPr>
        <w:tab/>
        <w:t>Quorum</w:t>
      </w:r>
      <w:bookmarkEnd w:id="360"/>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361" w:name="_Toc388863092"/>
      <w:r>
        <w:rPr>
          <w:rStyle w:val="CharSClsNo"/>
        </w:rPr>
        <w:t>2.8</w:t>
      </w:r>
      <w:r>
        <w:rPr>
          <w:snapToGrid w:val="0"/>
        </w:rPr>
        <w:t>.</w:t>
      </w:r>
      <w:r>
        <w:rPr>
          <w:snapToGrid w:val="0"/>
        </w:rPr>
        <w:tab/>
        <w:t>Port includes pilotage area for some purposes</w:t>
      </w:r>
      <w:bookmarkEnd w:id="361"/>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6" w:h="16838" w:code="9"/>
          <w:pgMar w:top="2376" w:right="2405" w:bottom="3542" w:left="2405" w:header="706" w:footer="3380" w:gutter="0"/>
          <w:cols w:space="720"/>
          <w:noEndnote/>
          <w:docGrid w:linePitch="326"/>
        </w:sectPr>
      </w:pPr>
    </w:p>
    <w:p>
      <w:pPr>
        <w:pStyle w:val="yScheduleHeading"/>
      </w:pPr>
      <w:bookmarkStart w:id="362" w:name="_Toc388519478"/>
      <w:bookmarkStart w:id="363" w:name="_Toc388863093"/>
      <w:r>
        <w:rPr>
          <w:rStyle w:val="CharSchNo"/>
        </w:rPr>
        <w:t>Schedule 7</w:t>
      </w:r>
      <w:r>
        <w:t xml:space="preserve"> — </w:t>
      </w:r>
      <w:r>
        <w:rPr>
          <w:rStyle w:val="CharSchText"/>
        </w:rPr>
        <w:t>Purposes for which, or matters about which, regulations may be made</w:t>
      </w:r>
      <w:bookmarkEnd w:id="362"/>
      <w:bookmarkEnd w:id="363"/>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bookmarkStart w:id="364" w:name="_Toc388519479"/>
      <w:bookmarkStart w:id="365" w:name="_Toc388863094"/>
    </w:p>
    <w:p>
      <w:pPr>
        <w:pStyle w:val="yScheduleHeading"/>
      </w:pPr>
      <w:r>
        <w:rPr>
          <w:rStyle w:val="CharSchNo"/>
        </w:rPr>
        <w:t>Schedule 8</w:t>
      </w:r>
      <w:r>
        <w:t> — </w:t>
      </w:r>
      <w:r>
        <w:rPr>
          <w:rStyle w:val="CharSchText"/>
        </w:rPr>
        <w:t>Transitional provisions</w:t>
      </w:r>
      <w:bookmarkEnd w:id="364"/>
      <w:bookmarkEnd w:id="365"/>
    </w:p>
    <w:p>
      <w:pPr>
        <w:pStyle w:val="yShoulderClause"/>
      </w:pPr>
      <w:r>
        <w:t>[s. 139A]</w:t>
      </w:r>
    </w:p>
    <w:p>
      <w:pPr>
        <w:pStyle w:val="yFootnoteheading"/>
        <w:spacing w:after="120"/>
      </w:pPr>
      <w:r>
        <w:tab/>
        <w:t>[Heading inserted by No. 9 of 2014 s. 35.]</w:t>
      </w:r>
    </w:p>
    <w:p>
      <w:pPr>
        <w:pStyle w:val="yHeading3"/>
      </w:pPr>
      <w:bookmarkStart w:id="366" w:name="_Toc388519480"/>
      <w:bookmarkStart w:id="367" w:name="_Toc388863095"/>
      <w:r>
        <w:rPr>
          <w:rStyle w:val="CharSDivNo"/>
        </w:rPr>
        <w:t>Division 1</w:t>
      </w:r>
      <w:r>
        <w:rPr>
          <w:b w:val="0"/>
        </w:rPr>
        <w:t> — </w:t>
      </w:r>
      <w:r>
        <w:rPr>
          <w:rStyle w:val="CharSDivText"/>
        </w:rPr>
        <w:t xml:space="preserve">Provisions for </w:t>
      </w:r>
      <w:r>
        <w:rPr>
          <w:rStyle w:val="CharSDivText"/>
          <w:i/>
        </w:rPr>
        <w:t>Ports Legislation Amendment Act 2014</w:t>
      </w:r>
      <w:bookmarkEnd w:id="366"/>
      <w:bookmarkEnd w:id="367"/>
    </w:p>
    <w:p>
      <w:pPr>
        <w:pStyle w:val="yFootnoteheading"/>
        <w:spacing w:after="120"/>
      </w:pPr>
      <w:r>
        <w:tab/>
        <w:t>[Heading inserted by No. 9 of 2014 s. 35.]</w:t>
      </w:r>
    </w:p>
    <w:p>
      <w:pPr>
        <w:pStyle w:val="yHeading4"/>
      </w:pPr>
      <w:bookmarkStart w:id="368" w:name="_Toc388519481"/>
      <w:bookmarkStart w:id="369" w:name="_Toc388863096"/>
      <w:r>
        <w:t>Subdivision 1</w:t>
      </w:r>
      <w:r>
        <w:rPr>
          <w:b w:val="0"/>
        </w:rPr>
        <w:t> — </w:t>
      </w:r>
      <w:r>
        <w:t>Preliminary</w:t>
      </w:r>
      <w:bookmarkEnd w:id="368"/>
      <w:bookmarkEnd w:id="369"/>
    </w:p>
    <w:p>
      <w:pPr>
        <w:pStyle w:val="yFootnoteheading"/>
        <w:spacing w:after="120"/>
      </w:pPr>
      <w:r>
        <w:tab/>
        <w:t>[Heading inserted by No. 9 of 2014 s. 35.]</w:t>
      </w:r>
    </w:p>
    <w:p>
      <w:pPr>
        <w:pStyle w:val="yHeading5"/>
      </w:pPr>
      <w:bookmarkStart w:id="370" w:name="_Toc388863097"/>
      <w:r>
        <w:rPr>
          <w:rStyle w:val="CharSClsNo"/>
        </w:rPr>
        <w:t>1</w:t>
      </w:r>
      <w:r>
        <w:t>.</w:t>
      </w:r>
      <w:r>
        <w:tab/>
        <w:t>Terms used</w:t>
      </w:r>
      <w:bookmarkEnd w:id="370"/>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by No. 9 of 2014 s. 35.]</w:t>
      </w:r>
    </w:p>
    <w:p>
      <w:pPr>
        <w:pStyle w:val="yHeading4"/>
      </w:pPr>
      <w:bookmarkStart w:id="371" w:name="_Toc388519483"/>
      <w:bookmarkStart w:id="372" w:name="_Toc388863098"/>
      <w:r>
        <w:t>Subdivision 2</w:t>
      </w:r>
      <w:r>
        <w:rPr>
          <w:b w:val="0"/>
        </w:rPr>
        <w:t> — </w:t>
      </w:r>
      <w:r>
        <w:t>Provisions for the Southern Ports Authority</w:t>
      </w:r>
      <w:bookmarkEnd w:id="371"/>
      <w:bookmarkEnd w:id="372"/>
    </w:p>
    <w:p>
      <w:pPr>
        <w:pStyle w:val="yFootnoteheading"/>
        <w:spacing w:after="120"/>
      </w:pPr>
      <w:r>
        <w:tab/>
        <w:t>[Heading inserted by No. 9 of 2014 s. 35.]</w:t>
      </w:r>
    </w:p>
    <w:p>
      <w:pPr>
        <w:pStyle w:val="yHeading5"/>
      </w:pPr>
      <w:bookmarkStart w:id="373" w:name="_Toc388863099"/>
      <w:r>
        <w:rPr>
          <w:rStyle w:val="CharSClsNo"/>
        </w:rPr>
        <w:t>2</w:t>
      </w:r>
      <w:r>
        <w:t>.</w:t>
      </w:r>
      <w:r>
        <w:tab/>
        <w:t>Terms used</w:t>
      </w:r>
      <w:bookmarkEnd w:id="373"/>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by No. 9 of 2014 s. 35.]</w:t>
      </w:r>
    </w:p>
    <w:p>
      <w:pPr>
        <w:pStyle w:val="yHeading5"/>
      </w:pPr>
      <w:bookmarkStart w:id="374" w:name="_Toc388863100"/>
      <w:r>
        <w:rPr>
          <w:rStyle w:val="CharSClsNo"/>
        </w:rPr>
        <w:t>3</w:t>
      </w:r>
      <w:r>
        <w:t>.</w:t>
      </w:r>
      <w:r>
        <w:tab/>
        <w:t>Merger of Albany Port Authority and Esperance Port Authority into Southern Ports Authority</w:t>
      </w:r>
      <w:bookmarkEnd w:id="374"/>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by No. 9 of 2014 s. 35.]</w:t>
      </w:r>
    </w:p>
    <w:p>
      <w:pPr>
        <w:pStyle w:val="yHeading5"/>
      </w:pPr>
      <w:bookmarkStart w:id="375" w:name="_Toc388863101"/>
      <w:r>
        <w:rPr>
          <w:rStyle w:val="CharSClsNo"/>
        </w:rPr>
        <w:t>4</w:t>
      </w:r>
      <w:r>
        <w:t>.</w:t>
      </w:r>
      <w:r>
        <w:tab/>
        <w:t>Directors and former directors</w:t>
      </w:r>
      <w:bookmarkEnd w:id="375"/>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by No. 9 of 2014 s. 35.]</w:t>
      </w:r>
    </w:p>
    <w:p>
      <w:pPr>
        <w:pStyle w:val="yHeading5"/>
      </w:pPr>
      <w:bookmarkStart w:id="376" w:name="_Toc388863102"/>
      <w:r>
        <w:rPr>
          <w:rStyle w:val="CharSClsNo"/>
        </w:rPr>
        <w:t>5</w:t>
      </w:r>
      <w:r>
        <w:t>.</w:t>
      </w:r>
      <w:r>
        <w:tab/>
        <w:t>Powers of new board in anticipation of merger</w:t>
      </w:r>
      <w:bookmarkEnd w:id="376"/>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by No. 9 of 2014 s. 35.]</w:t>
      </w:r>
    </w:p>
    <w:p>
      <w:pPr>
        <w:pStyle w:val="yHeading5"/>
      </w:pPr>
      <w:bookmarkStart w:id="377" w:name="_Toc388863103"/>
      <w:r>
        <w:rPr>
          <w:rStyle w:val="CharSClsNo"/>
        </w:rPr>
        <w:t>6</w:t>
      </w:r>
      <w:r>
        <w:t>.</w:t>
      </w:r>
      <w:r>
        <w:tab/>
        <w:t>CEOs and members of staff</w:t>
      </w:r>
      <w:bookmarkEnd w:id="377"/>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by No. 9 of 2014 s. 35.]</w:t>
      </w:r>
    </w:p>
    <w:p>
      <w:pPr>
        <w:pStyle w:val="yHeading5"/>
      </w:pPr>
      <w:bookmarkStart w:id="378" w:name="_Toc388863104"/>
      <w:r>
        <w:rPr>
          <w:rStyle w:val="CharSClsNo"/>
        </w:rPr>
        <w:t>7</w:t>
      </w:r>
      <w:r>
        <w:t>.</w:t>
      </w:r>
      <w:r>
        <w:tab/>
        <w:t>Preservation of rights</w:t>
      </w:r>
      <w:bookmarkEnd w:id="378"/>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by No. 9 of 2014 s. 35.]</w:t>
      </w:r>
    </w:p>
    <w:p>
      <w:pPr>
        <w:pStyle w:val="yHeading5"/>
      </w:pPr>
      <w:bookmarkStart w:id="379" w:name="_Toc388863105"/>
      <w:r>
        <w:rPr>
          <w:rStyle w:val="CharSClsNo"/>
        </w:rPr>
        <w:t>8</w:t>
      </w:r>
      <w:r>
        <w:t>.</w:t>
      </w:r>
      <w:r>
        <w:tab/>
        <w:t>Devolution of assets, liabilities, proceedings, remedies and immunities</w:t>
      </w:r>
      <w:bookmarkEnd w:id="379"/>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by No. 9 of 2014 s. 35.]</w:t>
      </w:r>
    </w:p>
    <w:p>
      <w:pPr>
        <w:pStyle w:val="yHeading5"/>
      </w:pPr>
      <w:bookmarkStart w:id="380" w:name="_Toc388863106"/>
      <w:r>
        <w:rPr>
          <w:rStyle w:val="CharSClsNo"/>
        </w:rPr>
        <w:t>9</w:t>
      </w:r>
      <w:r>
        <w:t>.</w:t>
      </w:r>
      <w:r>
        <w:tab/>
        <w:t>Completion of things commenced</w:t>
      </w:r>
      <w:bookmarkEnd w:id="380"/>
    </w:p>
    <w:p>
      <w:pPr>
        <w:pStyle w:val="ySubsection"/>
      </w:pPr>
      <w:r>
        <w:tab/>
      </w:r>
      <w:r>
        <w:tab/>
        <w:t>Anything commenced to be done by a merging authority before the merger time may be continued by the SPA.</w:t>
      </w:r>
    </w:p>
    <w:p>
      <w:pPr>
        <w:pStyle w:val="yFootnotesection"/>
      </w:pPr>
      <w:r>
        <w:tab/>
        <w:t>[Clause 9 inserted by No. 9 of 2014 s. 35.]</w:t>
      </w:r>
    </w:p>
    <w:p>
      <w:pPr>
        <w:pStyle w:val="yHeading5"/>
      </w:pPr>
      <w:bookmarkStart w:id="381" w:name="_Toc388863107"/>
      <w:r>
        <w:rPr>
          <w:rStyle w:val="CharSClsNo"/>
        </w:rPr>
        <w:t>10</w:t>
      </w:r>
      <w:r>
        <w:t>.</w:t>
      </w:r>
      <w:r>
        <w:tab/>
        <w:t>Continuing effect of things done</w:t>
      </w:r>
      <w:bookmarkEnd w:id="381"/>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by No. 9 of 2014 s. 35.]</w:t>
      </w:r>
    </w:p>
    <w:p>
      <w:pPr>
        <w:pStyle w:val="yHeading5"/>
      </w:pPr>
      <w:bookmarkStart w:id="382" w:name="_Toc388863108"/>
      <w:r>
        <w:rPr>
          <w:rStyle w:val="CharSClsNo"/>
        </w:rPr>
        <w:t>11</w:t>
      </w:r>
      <w:r>
        <w:t>.</w:t>
      </w:r>
      <w:r>
        <w:tab/>
        <w:t>Agreements, instruments and documents</w:t>
      </w:r>
      <w:bookmarkEnd w:id="382"/>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 by No. 9 of 2014 s. 35.]</w:t>
      </w:r>
    </w:p>
    <w:p>
      <w:pPr>
        <w:pStyle w:val="yHeading5"/>
      </w:pPr>
      <w:bookmarkStart w:id="383" w:name="_Toc388863109"/>
      <w:r>
        <w:rPr>
          <w:rStyle w:val="CharSClsNo"/>
        </w:rPr>
        <w:t>12</w:t>
      </w:r>
      <w:r>
        <w:t>.</w:t>
      </w:r>
      <w:r>
        <w:tab/>
        <w:t>Port authorities to implement or facilitate merger and share costs</w:t>
      </w:r>
      <w:bookmarkEnd w:id="383"/>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by No. 9 of 2014 s. 35.]</w:t>
      </w:r>
    </w:p>
    <w:p>
      <w:pPr>
        <w:pStyle w:val="yHeading5"/>
      </w:pPr>
      <w:bookmarkStart w:id="384" w:name="_Toc388863110"/>
      <w:r>
        <w:rPr>
          <w:rStyle w:val="CharSClsNo"/>
        </w:rPr>
        <w:t>13</w:t>
      </w:r>
      <w:r>
        <w:t>.</w:t>
      </w:r>
      <w:r>
        <w:tab/>
        <w:t>Financial reporting</w:t>
      </w:r>
      <w:bookmarkEnd w:id="384"/>
    </w:p>
    <w:p>
      <w:pPr>
        <w:pStyle w:val="ySubsection"/>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by No. 9 of 2014 s. 35.]</w:t>
      </w:r>
    </w:p>
    <w:p>
      <w:pPr>
        <w:pStyle w:val="yHeading5"/>
      </w:pPr>
      <w:bookmarkStart w:id="385" w:name="_Toc388863111"/>
      <w:r>
        <w:rPr>
          <w:rStyle w:val="CharSClsNo"/>
        </w:rPr>
        <w:t>14</w:t>
      </w:r>
      <w:r>
        <w:t>.</w:t>
      </w:r>
      <w:r>
        <w:tab/>
        <w:t>Dividends</w:t>
      </w:r>
      <w:bookmarkEnd w:id="385"/>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by No. 9 of 2014 s. 35.]</w:t>
      </w:r>
    </w:p>
    <w:p>
      <w:pPr>
        <w:pStyle w:val="yHeading5"/>
      </w:pPr>
      <w:bookmarkStart w:id="386" w:name="_Toc388863112"/>
      <w:r>
        <w:rPr>
          <w:rStyle w:val="CharSClsNo"/>
        </w:rPr>
        <w:t>15</w:t>
      </w:r>
      <w:r>
        <w:t>.</w:t>
      </w:r>
      <w:r>
        <w:tab/>
        <w:t>Transitional regulations</w:t>
      </w:r>
      <w:bookmarkEnd w:id="386"/>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by No. 9 of 2014 s. 35.]</w:t>
      </w:r>
    </w:p>
    <w:p>
      <w:pPr>
        <w:pStyle w:val="yHeading4"/>
      </w:pPr>
      <w:bookmarkStart w:id="387" w:name="_Toc388519498"/>
      <w:bookmarkStart w:id="388" w:name="_Toc388863113"/>
      <w:r>
        <w:t>Subdivision 3</w:t>
      </w:r>
      <w:r>
        <w:rPr>
          <w:b w:val="0"/>
        </w:rPr>
        <w:t> — </w:t>
      </w:r>
      <w:r>
        <w:t>Provisions for the Mid West Ports Authority</w:t>
      </w:r>
      <w:bookmarkEnd w:id="387"/>
      <w:bookmarkEnd w:id="388"/>
    </w:p>
    <w:p>
      <w:pPr>
        <w:pStyle w:val="yFootnoteheading"/>
        <w:spacing w:after="120"/>
      </w:pPr>
      <w:r>
        <w:tab/>
        <w:t>[Heading inserted by No. 9 of 2014 s. 35.]</w:t>
      </w:r>
    </w:p>
    <w:p>
      <w:pPr>
        <w:pStyle w:val="yHeading5"/>
      </w:pPr>
      <w:bookmarkStart w:id="389" w:name="_Toc388863114"/>
      <w:r>
        <w:rPr>
          <w:rStyle w:val="CharSClsNo"/>
        </w:rPr>
        <w:t>16</w:t>
      </w:r>
      <w:r>
        <w:t>.</w:t>
      </w:r>
      <w:r>
        <w:tab/>
        <w:t>Terms used</w:t>
      </w:r>
      <w:bookmarkEnd w:id="389"/>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by No. 9 of 2014 s. 35.]</w:t>
      </w:r>
    </w:p>
    <w:p>
      <w:pPr>
        <w:pStyle w:val="yHeading5"/>
      </w:pPr>
      <w:bookmarkStart w:id="390" w:name="_Toc388863115"/>
      <w:r>
        <w:rPr>
          <w:rStyle w:val="CharSClsNo"/>
        </w:rPr>
        <w:t>17</w:t>
      </w:r>
      <w:r>
        <w:t>.</w:t>
      </w:r>
      <w:r>
        <w:tab/>
        <w:t>Directors and former directors</w:t>
      </w:r>
      <w:bookmarkEnd w:id="390"/>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by No. 9 of 2014 s. 35.]</w:t>
      </w:r>
    </w:p>
    <w:p>
      <w:pPr>
        <w:pStyle w:val="yHeading5"/>
      </w:pPr>
      <w:bookmarkStart w:id="391" w:name="_Toc388863116"/>
      <w:r>
        <w:rPr>
          <w:rStyle w:val="CharSClsNo"/>
        </w:rPr>
        <w:t>18</w:t>
      </w:r>
      <w:r>
        <w:t>.</w:t>
      </w:r>
      <w:r>
        <w:tab/>
        <w:t>Powers of new board in anticipation of renaming</w:t>
      </w:r>
      <w:bookmarkEnd w:id="391"/>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by No. 9 of 2014 s. 35.]</w:t>
      </w:r>
    </w:p>
    <w:p>
      <w:pPr>
        <w:pStyle w:val="yHeading5"/>
      </w:pPr>
      <w:bookmarkStart w:id="392" w:name="_Toc388863117"/>
      <w:r>
        <w:rPr>
          <w:rStyle w:val="CharSClsNo"/>
        </w:rPr>
        <w:t>19</w:t>
      </w:r>
      <w:r>
        <w:t>.</w:t>
      </w:r>
      <w:r>
        <w:tab/>
        <w:t>CEO and staff</w:t>
      </w:r>
      <w:bookmarkEnd w:id="392"/>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by No. 9 of 2014 s. 35.]</w:t>
      </w:r>
    </w:p>
    <w:p>
      <w:pPr>
        <w:pStyle w:val="yHeading5"/>
      </w:pPr>
      <w:bookmarkStart w:id="393" w:name="_Toc388863118"/>
      <w:r>
        <w:rPr>
          <w:rStyle w:val="CharSClsNo"/>
        </w:rPr>
        <w:t>20</w:t>
      </w:r>
      <w:r>
        <w:t>.</w:t>
      </w:r>
      <w:r>
        <w:tab/>
        <w:t>Agreements, instruments and documents</w:t>
      </w:r>
      <w:bookmarkEnd w:id="393"/>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by No. 9 of 2014 s. 35.]</w:t>
      </w:r>
    </w:p>
    <w:p>
      <w:pPr>
        <w:pStyle w:val="yHeading5"/>
      </w:pPr>
      <w:bookmarkStart w:id="394" w:name="_Toc388863119"/>
      <w:r>
        <w:rPr>
          <w:rStyle w:val="CharSClsNo"/>
        </w:rPr>
        <w:t>21</w:t>
      </w:r>
      <w:r>
        <w:t>.</w:t>
      </w:r>
      <w:r>
        <w:tab/>
        <w:t>Port authority to implement or facilitate renaming</w:t>
      </w:r>
      <w:bookmarkEnd w:id="394"/>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by No. 9 of 2014 s. 35.]</w:t>
      </w:r>
    </w:p>
    <w:p>
      <w:pPr>
        <w:pStyle w:val="yHeading5"/>
      </w:pPr>
      <w:bookmarkStart w:id="395" w:name="_Toc388863120"/>
      <w:r>
        <w:rPr>
          <w:rStyle w:val="CharSClsNo"/>
        </w:rPr>
        <w:t>22</w:t>
      </w:r>
      <w:r>
        <w:t>.</w:t>
      </w:r>
      <w:r>
        <w:tab/>
        <w:t>Transitional regulations</w:t>
      </w:r>
      <w:bookmarkEnd w:id="39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by No. 9 of 2014 s. 35.]</w:t>
      </w:r>
    </w:p>
    <w:p>
      <w:pPr>
        <w:pStyle w:val="yHeading4"/>
      </w:pPr>
      <w:bookmarkStart w:id="396" w:name="_Toc388519506"/>
      <w:bookmarkStart w:id="397" w:name="_Toc388863121"/>
      <w:r>
        <w:t>Subdivision 4</w:t>
      </w:r>
      <w:r>
        <w:rPr>
          <w:b w:val="0"/>
        </w:rPr>
        <w:t> — </w:t>
      </w:r>
      <w:r>
        <w:t>Provisions for the Pilbara Ports Authority</w:t>
      </w:r>
      <w:bookmarkEnd w:id="396"/>
      <w:bookmarkEnd w:id="397"/>
    </w:p>
    <w:p>
      <w:pPr>
        <w:pStyle w:val="yFootnoteheading"/>
        <w:spacing w:after="120"/>
      </w:pPr>
      <w:r>
        <w:tab/>
        <w:t>[Heading inserted by No. 9 of 2014 s. 35.]</w:t>
      </w:r>
    </w:p>
    <w:p>
      <w:pPr>
        <w:pStyle w:val="yHeading5"/>
      </w:pPr>
      <w:bookmarkStart w:id="398" w:name="_Toc388863122"/>
      <w:r>
        <w:rPr>
          <w:rStyle w:val="CharSClsNo"/>
        </w:rPr>
        <w:t>23</w:t>
      </w:r>
      <w:r>
        <w:t>.</w:t>
      </w:r>
      <w:r>
        <w:tab/>
        <w:t>Terms used</w:t>
      </w:r>
      <w:bookmarkEnd w:id="398"/>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by No. 9 of 2014 s. 35.]</w:t>
      </w:r>
    </w:p>
    <w:p>
      <w:pPr>
        <w:pStyle w:val="yHeading5"/>
      </w:pPr>
      <w:bookmarkStart w:id="399" w:name="_Toc388863123"/>
      <w:r>
        <w:rPr>
          <w:rStyle w:val="CharSClsNo"/>
        </w:rPr>
        <w:t>24</w:t>
      </w:r>
      <w:r>
        <w:t>.</w:t>
      </w:r>
      <w:r>
        <w:tab/>
        <w:t>Merger of Dampier Port Authority into Pilbara Ports Authority</w:t>
      </w:r>
      <w:bookmarkEnd w:id="399"/>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by No. 9 of 2014 s. 35.]</w:t>
      </w:r>
    </w:p>
    <w:p>
      <w:pPr>
        <w:pStyle w:val="yHeading5"/>
      </w:pPr>
      <w:bookmarkStart w:id="400" w:name="_Toc388863124"/>
      <w:r>
        <w:rPr>
          <w:rStyle w:val="CharSClsNo"/>
        </w:rPr>
        <w:t>25</w:t>
      </w:r>
      <w:r>
        <w:t>.</w:t>
      </w:r>
      <w:r>
        <w:tab/>
        <w:t>Directors and former directors</w:t>
      </w:r>
      <w:bookmarkEnd w:id="400"/>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by No. 9 of 2014 s. 35.]</w:t>
      </w:r>
    </w:p>
    <w:p>
      <w:pPr>
        <w:pStyle w:val="yHeading5"/>
      </w:pPr>
      <w:bookmarkStart w:id="401" w:name="_Toc388863125"/>
      <w:r>
        <w:rPr>
          <w:rStyle w:val="CharSClsNo"/>
        </w:rPr>
        <w:t>26</w:t>
      </w:r>
      <w:r>
        <w:t>.</w:t>
      </w:r>
      <w:r>
        <w:tab/>
        <w:t>Powers of new board in anticipation of merger</w:t>
      </w:r>
      <w:bookmarkEnd w:id="401"/>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26 inserted by No. 9 of 2014 s. 35.]</w:t>
      </w:r>
    </w:p>
    <w:p>
      <w:pPr>
        <w:pStyle w:val="yHeading5"/>
      </w:pPr>
      <w:bookmarkStart w:id="402" w:name="_Toc388863126"/>
      <w:r>
        <w:rPr>
          <w:rStyle w:val="CharSClsNo"/>
        </w:rPr>
        <w:t>27</w:t>
      </w:r>
      <w:r>
        <w:t>.</w:t>
      </w:r>
      <w:r>
        <w:tab/>
        <w:t>CEOs and members of staff</w:t>
      </w:r>
      <w:bookmarkEnd w:id="402"/>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by No. 9 of 2014 s. 35.]</w:t>
      </w:r>
    </w:p>
    <w:p>
      <w:pPr>
        <w:pStyle w:val="yHeading5"/>
      </w:pPr>
      <w:bookmarkStart w:id="403" w:name="_Toc388863127"/>
      <w:r>
        <w:rPr>
          <w:rStyle w:val="CharSClsNo"/>
        </w:rPr>
        <w:t>28</w:t>
      </w:r>
      <w:r>
        <w:t>.</w:t>
      </w:r>
      <w:r>
        <w:tab/>
        <w:t>Preservation of rights</w:t>
      </w:r>
      <w:bookmarkEnd w:id="403"/>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 by No. 9 of 2014 s. 35.]</w:t>
      </w:r>
    </w:p>
    <w:p>
      <w:pPr>
        <w:pStyle w:val="yHeading5"/>
      </w:pPr>
      <w:bookmarkStart w:id="404" w:name="_Toc388863128"/>
      <w:r>
        <w:rPr>
          <w:rStyle w:val="CharSClsNo"/>
        </w:rPr>
        <w:t>29</w:t>
      </w:r>
      <w:r>
        <w:t>.</w:t>
      </w:r>
      <w:r>
        <w:tab/>
        <w:t>Devolution of assets, liabilities, proceedings, remedies and immunities</w:t>
      </w:r>
      <w:bookmarkEnd w:id="404"/>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by No. 9 of 2014 s. 35.]</w:t>
      </w:r>
    </w:p>
    <w:p>
      <w:pPr>
        <w:pStyle w:val="yHeading5"/>
      </w:pPr>
      <w:bookmarkStart w:id="405" w:name="_Toc388863129"/>
      <w:r>
        <w:rPr>
          <w:rStyle w:val="CharSClsNo"/>
        </w:rPr>
        <w:t>30</w:t>
      </w:r>
      <w:r>
        <w:t>.</w:t>
      </w:r>
      <w:r>
        <w:tab/>
        <w:t>Completion of things commenced</w:t>
      </w:r>
      <w:bookmarkEnd w:id="405"/>
    </w:p>
    <w:p>
      <w:pPr>
        <w:pStyle w:val="ySubsection"/>
      </w:pPr>
      <w:r>
        <w:tab/>
      </w:r>
      <w:r>
        <w:tab/>
        <w:t>Anything commenced to be done by the merging authority before the merger time may be continued by the PPA.</w:t>
      </w:r>
    </w:p>
    <w:p>
      <w:pPr>
        <w:pStyle w:val="yFootnotesection"/>
      </w:pPr>
      <w:r>
        <w:tab/>
        <w:t>[Clause 30 inserted by No. 9 of 2014 s. 35.]</w:t>
      </w:r>
    </w:p>
    <w:p>
      <w:pPr>
        <w:pStyle w:val="yHeading5"/>
      </w:pPr>
      <w:bookmarkStart w:id="406" w:name="_Toc388863130"/>
      <w:r>
        <w:rPr>
          <w:rStyle w:val="CharSClsNo"/>
        </w:rPr>
        <w:t>31</w:t>
      </w:r>
      <w:r>
        <w:t>.</w:t>
      </w:r>
      <w:r>
        <w:tab/>
        <w:t>Continuing effect of things done</w:t>
      </w:r>
      <w:bookmarkEnd w:id="406"/>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by No. 9 of 2014 s. 35.]</w:t>
      </w:r>
    </w:p>
    <w:p>
      <w:pPr>
        <w:pStyle w:val="yHeading5"/>
      </w:pPr>
      <w:bookmarkStart w:id="407" w:name="_Toc388863131"/>
      <w:r>
        <w:rPr>
          <w:rStyle w:val="CharSClsNo"/>
        </w:rPr>
        <w:t>32</w:t>
      </w:r>
      <w:r>
        <w:t>.</w:t>
      </w:r>
      <w:r>
        <w:tab/>
        <w:t>Agreements, instruments and documents</w:t>
      </w:r>
      <w:bookmarkEnd w:id="407"/>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by No. 9 of 2014 s. 35.]</w:t>
      </w:r>
    </w:p>
    <w:p>
      <w:pPr>
        <w:pStyle w:val="yHeading5"/>
      </w:pPr>
      <w:bookmarkStart w:id="408" w:name="_Toc388863132"/>
      <w:r>
        <w:rPr>
          <w:rStyle w:val="CharSClsNo"/>
        </w:rPr>
        <w:t>33</w:t>
      </w:r>
      <w:r>
        <w:t>.</w:t>
      </w:r>
      <w:r>
        <w:tab/>
        <w:t>Port authorities to implement or facilitate merger and share costs</w:t>
      </w:r>
      <w:bookmarkEnd w:id="408"/>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by No. 9 of 2014 s. 35.]</w:t>
      </w:r>
    </w:p>
    <w:p>
      <w:pPr>
        <w:pStyle w:val="yHeading5"/>
      </w:pPr>
      <w:bookmarkStart w:id="409" w:name="_Toc388863133"/>
      <w:r>
        <w:rPr>
          <w:rStyle w:val="CharSClsNo"/>
        </w:rPr>
        <w:t>34</w:t>
      </w:r>
      <w:r>
        <w:t>.</w:t>
      </w:r>
      <w:r>
        <w:tab/>
        <w:t>Financial reporting</w:t>
      </w:r>
      <w:bookmarkEnd w:id="409"/>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by No. 9 of 2014 s. 35.]</w:t>
      </w:r>
    </w:p>
    <w:p>
      <w:pPr>
        <w:pStyle w:val="yHeading5"/>
      </w:pPr>
      <w:bookmarkStart w:id="410" w:name="_Toc388863134"/>
      <w:r>
        <w:rPr>
          <w:rStyle w:val="CharSClsNo"/>
        </w:rPr>
        <w:t>35</w:t>
      </w:r>
      <w:r>
        <w:t>.</w:t>
      </w:r>
      <w:r>
        <w:tab/>
        <w:t>Dividends</w:t>
      </w:r>
      <w:bookmarkEnd w:id="410"/>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by No. 9 of 2014 s. 35.]</w:t>
      </w:r>
    </w:p>
    <w:p>
      <w:pPr>
        <w:pStyle w:val="yHeading5"/>
      </w:pPr>
      <w:bookmarkStart w:id="411" w:name="_Toc388863135"/>
      <w:r>
        <w:rPr>
          <w:rStyle w:val="CharSClsNo"/>
        </w:rPr>
        <w:t>36</w:t>
      </w:r>
      <w:r>
        <w:t>.</w:t>
      </w:r>
      <w:r>
        <w:tab/>
        <w:t>Transitional regulations</w:t>
      </w:r>
      <w:bookmarkEnd w:id="41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by No. 9 of 2014 s. 35.]</w:t>
      </w:r>
    </w:p>
    <w:p>
      <w:pPr>
        <w:pStyle w:val="yHeading4"/>
      </w:pPr>
      <w:bookmarkStart w:id="412" w:name="_Toc388519521"/>
      <w:bookmarkStart w:id="413" w:name="_Toc388863136"/>
      <w:r>
        <w:t>Subdivision 5</w:t>
      </w:r>
      <w:r>
        <w:rPr>
          <w:b w:val="0"/>
        </w:rPr>
        <w:t> — </w:t>
      </w:r>
      <w:r>
        <w:t>Provisions for the Kimberley Ports Authority</w:t>
      </w:r>
      <w:bookmarkEnd w:id="412"/>
      <w:bookmarkEnd w:id="413"/>
    </w:p>
    <w:p>
      <w:pPr>
        <w:pStyle w:val="yFootnoteheading"/>
        <w:spacing w:after="120"/>
      </w:pPr>
      <w:r>
        <w:tab/>
        <w:t>[Heading inserted by No. 9 of 2014 s. 35.]</w:t>
      </w:r>
    </w:p>
    <w:p>
      <w:pPr>
        <w:pStyle w:val="yHeading5"/>
      </w:pPr>
      <w:bookmarkStart w:id="414" w:name="_Toc388863137"/>
      <w:r>
        <w:rPr>
          <w:rStyle w:val="CharSClsNo"/>
        </w:rPr>
        <w:t>37</w:t>
      </w:r>
      <w:r>
        <w:t>.</w:t>
      </w:r>
      <w:r>
        <w:tab/>
        <w:t>Terms used</w:t>
      </w:r>
      <w:bookmarkEnd w:id="414"/>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pPr>
      <w:r>
        <w:tab/>
      </w:r>
      <w:r>
        <w:rPr>
          <w:rStyle w:val="CharDefText"/>
        </w:rPr>
        <w:t>transitional regulations</w:t>
      </w:r>
      <w:r>
        <w:t xml:space="preserve"> has the meaning given in clause 43(1).</w:t>
      </w:r>
    </w:p>
    <w:p>
      <w:pPr>
        <w:pStyle w:val="yFootnotesection"/>
      </w:pPr>
      <w:r>
        <w:tab/>
        <w:t>[Clause 37 inserted by No. 9 of 2014 s. 35.]</w:t>
      </w:r>
    </w:p>
    <w:p>
      <w:pPr>
        <w:pStyle w:val="yHeading5"/>
      </w:pPr>
      <w:bookmarkStart w:id="415" w:name="_Toc388863138"/>
      <w:r>
        <w:rPr>
          <w:rStyle w:val="CharSClsNo"/>
        </w:rPr>
        <w:t>38</w:t>
      </w:r>
      <w:r>
        <w:t>.</w:t>
      </w:r>
      <w:r>
        <w:tab/>
        <w:t>Directors and former directors</w:t>
      </w:r>
      <w:bookmarkEnd w:id="415"/>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by No. 9 of 2014 s. 35.]</w:t>
      </w:r>
    </w:p>
    <w:p>
      <w:pPr>
        <w:pStyle w:val="yHeading5"/>
      </w:pPr>
      <w:bookmarkStart w:id="416" w:name="_Toc388863139"/>
      <w:r>
        <w:rPr>
          <w:rStyle w:val="CharSClsNo"/>
        </w:rPr>
        <w:t>39</w:t>
      </w:r>
      <w:r>
        <w:t>.</w:t>
      </w:r>
      <w:r>
        <w:tab/>
        <w:t>Powers of new board in anticipation of renaming</w:t>
      </w:r>
      <w:bookmarkEnd w:id="416"/>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by No. 9 of 2014 s. 35.]</w:t>
      </w:r>
    </w:p>
    <w:p>
      <w:pPr>
        <w:pStyle w:val="yHeading5"/>
      </w:pPr>
      <w:bookmarkStart w:id="417" w:name="_Toc388863140"/>
      <w:r>
        <w:rPr>
          <w:rStyle w:val="CharSClsNo"/>
        </w:rPr>
        <w:t>40</w:t>
      </w:r>
      <w:r>
        <w:t>.</w:t>
      </w:r>
      <w:r>
        <w:tab/>
        <w:t>CEO and staff</w:t>
      </w:r>
      <w:bookmarkEnd w:id="417"/>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 by No. 9 of 2014 s. 35.]</w:t>
      </w:r>
    </w:p>
    <w:p>
      <w:pPr>
        <w:pStyle w:val="yHeading5"/>
      </w:pPr>
      <w:bookmarkStart w:id="418" w:name="_Toc388863141"/>
      <w:r>
        <w:rPr>
          <w:rStyle w:val="CharSClsNo"/>
        </w:rPr>
        <w:t>41</w:t>
      </w:r>
      <w:r>
        <w:t>.</w:t>
      </w:r>
      <w:r>
        <w:tab/>
        <w:t>Agreements, instruments and documents</w:t>
      </w:r>
      <w:bookmarkEnd w:id="418"/>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by No. 9 of 2014 s. 35.]</w:t>
      </w:r>
    </w:p>
    <w:p>
      <w:pPr>
        <w:pStyle w:val="yHeading5"/>
      </w:pPr>
      <w:bookmarkStart w:id="419" w:name="_Toc388863142"/>
      <w:r>
        <w:rPr>
          <w:rStyle w:val="CharSClsNo"/>
        </w:rPr>
        <w:t>42</w:t>
      </w:r>
      <w:r>
        <w:t>.</w:t>
      </w:r>
      <w:r>
        <w:tab/>
        <w:t>Port authority to implement or facilitate renaming</w:t>
      </w:r>
      <w:bookmarkEnd w:id="419"/>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by No. 9 of 2014 s. 35.]</w:t>
      </w:r>
    </w:p>
    <w:p>
      <w:pPr>
        <w:pStyle w:val="yHeading5"/>
      </w:pPr>
      <w:bookmarkStart w:id="420" w:name="_Toc388863143"/>
      <w:r>
        <w:rPr>
          <w:rStyle w:val="CharSClsNo"/>
        </w:rPr>
        <w:t>43</w:t>
      </w:r>
      <w:r>
        <w:t>.</w:t>
      </w:r>
      <w:r>
        <w:tab/>
        <w:t>Transitional regulations</w:t>
      </w:r>
      <w:bookmarkEnd w:id="42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by No. 9 of 2014 s. 35.]</w:t>
      </w:r>
    </w:p>
    <w:p>
      <w:pPr>
        <w:pStyle w:val="yHeading4"/>
      </w:pPr>
      <w:bookmarkStart w:id="421" w:name="_Toc388519529"/>
      <w:bookmarkStart w:id="422" w:name="_Toc388863144"/>
      <w:r>
        <w:t>Subdivision 6</w:t>
      </w:r>
      <w:r>
        <w:rPr>
          <w:b w:val="0"/>
        </w:rPr>
        <w:t> — </w:t>
      </w:r>
      <w:r>
        <w:t>Provisions for certain directors</w:t>
      </w:r>
      <w:bookmarkEnd w:id="421"/>
      <w:bookmarkEnd w:id="422"/>
    </w:p>
    <w:p>
      <w:pPr>
        <w:pStyle w:val="yFootnoteheading"/>
        <w:spacing w:after="120"/>
      </w:pPr>
      <w:r>
        <w:tab/>
        <w:t>[Heading inserted by No. 9 of 2014 s. 35.]</w:t>
      </w:r>
    </w:p>
    <w:p>
      <w:pPr>
        <w:pStyle w:val="yHeading5"/>
      </w:pPr>
      <w:bookmarkStart w:id="423" w:name="_Toc388863145"/>
      <w:r>
        <w:rPr>
          <w:rStyle w:val="CharSClsNo"/>
        </w:rPr>
        <w:t>44</w:t>
      </w:r>
      <w:r>
        <w:t>.</w:t>
      </w:r>
      <w:r>
        <w:tab/>
        <w:t>Certain directors to cease to hold office</w:t>
      </w:r>
      <w:bookmarkEnd w:id="423"/>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by No. 9 of 2014 s. 35.]</w:t>
      </w:r>
    </w:p>
    <w:p>
      <w:pPr>
        <w:pStyle w:val="yHeading4"/>
      </w:pPr>
      <w:bookmarkStart w:id="424" w:name="_Toc388519531"/>
      <w:bookmarkStart w:id="425" w:name="_Toc388863146"/>
      <w:r>
        <w:t>Subdivision 7</w:t>
      </w:r>
      <w:r>
        <w:rPr>
          <w:b w:val="0"/>
        </w:rPr>
        <w:t> — </w:t>
      </w:r>
      <w:r>
        <w:t>General provisions</w:t>
      </w:r>
      <w:bookmarkEnd w:id="424"/>
      <w:bookmarkEnd w:id="425"/>
    </w:p>
    <w:p>
      <w:pPr>
        <w:pStyle w:val="yFootnoteheading"/>
        <w:spacing w:after="120"/>
      </w:pPr>
      <w:r>
        <w:tab/>
        <w:t>[Heading inserted by No. 9 of 2014 s. 35.]</w:t>
      </w:r>
    </w:p>
    <w:p>
      <w:pPr>
        <w:pStyle w:val="yHeading5"/>
      </w:pPr>
      <w:bookmarkStart w:id="426" w:name="_Toc388863147"/>
      <w:r>
        <w:rPr>
          <w:rStyle w:val="CharSClsNo"/>
        </w:rPr>
        <w:t>45</w:t>
      </w:r>
      <w:r>
        <w:t>.</w:t>
      </w:r>
      <w:r>
        <w:tab/>
        <w:t>Terms used</w:t>
      </w:r>
      <w:bookmarkEnd w:id="426"/>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pPr>
      <w:r>
        <w:tab/>
      </w:r>
      <w:r>
        <w:rPr>
          <w:rStyle w:val="CharDefText"/>
        </w:rPr>
        <w:t>transitional regulations</w:t>
      </w:r>
      <w:r>
        <w:t xml:space="preserve"> has the meaning given in clause 15(1), 22(1), 36(1) or 43(1).</w:t>
      </w:r>
    </w:p>
    <w:p>
      <w:pPr>
        <w:pStyle w:val="yFootnotesection"/>
      </w:pPr>
      <w:r>
        <w:tab/>
        <w:t>[Clause 45 inserted by No. 9 of 2014 s. 35.]</w:t>
      </w:r>
    </w:p>
    <w:p>
      <w:pPr>
        <w:pStyle w:val="yHeading5"/>
      </w:pPr>
      <w:bookmarkStart w:id="427" w:name="_Toc388863148"/>
      <w:r>
        <w:rPr>
          <w:rStyle w:val="CharSClsNo"/>
        </w:rPr>
        <w:t>46</w:t>
      </w:r>
      <w:r>
        <w:t>.</w:t>
      </w:r>
      <w:r>
        <w:tab/>
        <w:t>Exemption from State taxes</w:t>
      </w:r>
      <w:bookmarkEnd w:id="427"/>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by No. 9 of 2014 s. 35.]</w:t>
      </w:r>
    </w:p>
    <w:p>
      <w:pPr>
        <w:pStyle w:val="yHeading5"/>
      </w:pPr>
      <w:bookmarkStart w:id="428" w:name="_Toc388863149"/>
      <w:r>
        <w:rPr>
          <w:rStyle w:val="CharSClsNo"/>
        </w:rPr>
        <w:t>47</w:t>
      </w:r>
      <w:r>
        <w:t>.</w:t>
      </w:r>
      <w:r>
        <w:tab/>
        <w:t>Registration of documents</w:t>
      </w:r>
      <w:bookmarkEnd w:id="428"/>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by No. 9 of 2014 s. 35.]</w:t>
      </w:r>
    </w:p>
    <w:p>
      <w:pPr>
        <w:pStyle w:val="yHeading5"/>
      </w:pPr>
      <w:bookmarkStart w:id="429" w:name="_Toc388863150"/>
      <w:r>
        <w:rPr>
          <w:rStyle w:val="CharSClsNo"/>
        </w:rPr>
        <w:t>48</w:t>
      </w:r>
      <w:r>
        <w:t>.</w:t>
      </w:r>
      <w:r>
        <w:tab/>
        <w:t>Matters that a new board can deal with</w:t>
      </w:r>
      <w:bookmarkEnd w:id="429"/>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by No. 9 of 2014 s. 35.]</w:t>
      </w:r>
    </w:p>
    <w:p>
      <w:pPr>
        <w:pStyle w:val="yHeading5"/>
      </w:pPr>
      <w:bookmarkStart w:id="430" w:name="_Toc388863151"/>
      <w:r>
        <w:rPr>
          <w:rStyle w:val="CharSClsNo"/>
        </w:rPr>
        <w:t>49</w:t>
      </w:r>
      <w:r>
        <w:t>.</w:t>
      </w:r>
      <w:r>
        <w:tab/>
        <w:t>Operation of transitional regulations</w:t>
      </w:r>
      <w:bookmarkEnd w:id="430"/>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by No. 9 of 2014 s. 35.]</w:t>
      </w:r>
    </w:p>
    <w:p>
      <w:pPr>
        <w:pStyle w:val="yHeading5"/>
      </w:pPr>
      <w:bookmarkStart w:id="431" w:name="_Toc388863152"/>
      <w:r>
        <w:rPr>
          <w:rStyle w:val="CharSClsNo"/>
        </w:rPr>
        <w:t>50</w:t>
      </w:r>
      <w:r>
        <w:t>.</w:t>
      </w:r>
      <w:r>
        <w:tab/>
        <w:t>Saving</w:t>
      </w:r>
      <w:bookmarkEnd w:id="431"/>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by No. 9 of 2014 s. 35.]</w:t>
      </w:r>
    </w:p>
    <w:p>
      <w:pPr>
        <w:pStyle w:val="yHeading5"/>
      </w:pPr>
      <w:bookmarkStart w:id="432" w:name="_Toc388863153"/>
      <w:r>
        <w:rPr>
          <w:rStyle w:val="CharSClsNo"/>
        </w:rPr>
        <w:t>51</w:t>
      </w:r>
      <w:r>
        <w:t>.</w:t>
      </w:r>
      <w:r>
        <w:tab/>
        <w:t>Government agreements not affected</w:t>
      </w:r>
      <w:bookmarkEnd w:id="432"/>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by No. 9 of 2014 s. 35.]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outlineLvl w:val="0"/>
      </w:pPr>
      <w:bookmarkStart w:id="433" w:name="_Toc388519539"/>
      <w:bookmarkStart w:id="434" w:name="_Toc388863154"/>
      <w:r>
        <w:t>Notes</w:t>
      </w:r>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4, 6</w:t>
      </w:r>
      <w:r>
        <w:rPr>
          <w:snapToGrid w:val="0"/>
        </w:rPr>
        <w:t>.  The table also contains information about any reprint.</w:t>
      </w:r>
    </w:p>
    <w:p>
      <w:pPr>
        <w:pStyle w:val="nHeading3"/>
        <w:rPr>
          <w:snapToGrid w:val="0"/>
        </w:rPr>
      </w:pPr>
      <w:bookmarkStart w:id="435" w:name="_Toc388863155"/>
      <w:r>
        <w:rPr>
          <w:snapToGrid w:val="0"/>
        </w:rPr>
        <w:t>Compilation table</w:t>
      </w:r>
      <w:bookmarkEnd w:id="43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7</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rPr>
              <w:t>Dangerous Goods Safety Act 2004</w:t>
            </w:r>
            <w:r>
              <w:rPr>
                <w:bCs/>
                <w:i/>
                <w:snapToGrid w:val="0"/>
                <w:sz w:val="19"/>
              </w:rPr>
              <w:t xml:space="preserve"> </w:t>
            </w:r>
            <w:r>
              <w:rPr>
                <w:bCs/>
                <w:iCs/>
                <w:snapToGrid w:val="0"/>
                <w:sz w:val="19"/>
              </w:rPr>
              <w:t>s. 70</w:t>
            </w:r>
          </w:p>
        </w:tc>
        <w:tc>
          <w:tcPr>
            <w:tcW w:w="1134" w:type="dxa"/>
            <w:tcBorders>
              <w:top w:val="nil"/>
              <w:bottom w:val="nil"/>
            </w:tcBorders>
          </w:tcPr>
          <w:p>
            <w:pPr>
              <w:pStyle w:val="nTable"/>
              <w:spacing w:after="40"/>
              <w:rPr>
                <w:sz w:val="19"/>
              </w:rPr>
            </w:pPr>
            <w:r>
              <w:rPr>
                <w:bCs/>
                <w:snapToGrid w:val="0"/>
                <w:sz w:val="19"/>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rPr>
              <w:t xml:space="preserve">1 Mar 2008 (see s. 2 and </w:t>
            </w:r>
            <w:r>
              <w:rPr>
                <w:bCs/>
                <w:i/>
                <w:iCs/>
                <w:snapToGrid w:val="0"/>
                <w:sz w:val="19"/>
              </w:rPr>
              <w:t>Gazette</w:t>
            </w:r>
            <w:r>
              <w:rPr>
                <w:bCs/>
                <w:snapToGrid w:val="0"/>
                <w:sz w:val="19"/>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Borders>
              <w:top w:val="nil"/>
              <w:bottom w:val="nil"/>
            </w:tcBorders>
          </w:tcPr>
          <w:p>
            <w:pPr>
              <w:pStyle w:val="nTable"/>
              <w:spacing w:after="40"/>
              <w:rPr>
                <w:snapToGrid w:val="0"/>
                <w:sz w:val="19"/>
              </w:rPr>
            </w:pPr>
            <w:r>
              <w:rPr>
                <w:snapToGrid w:val="0"/>
                <w:sz w:val="19"/>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8" w:type="dxa"/>
            <w:tcBorders>
              <w:top w:val="nil"/>
              <w:bottom w:val="nil"/>
            </w:tcBorders>
          </w:tcPr>
          <w:p>
            <w:pPr>
              <w:pStyle w:val="nTable"/>
              <w:spacing w:after="40"/>
              <w:ind w:right="113"/>
              <w:rPr>
                <w:i/>
                <w:snapToGrid w:val="0"/>
                <w:sz w:val="19"/>
              </w:rPr>
            </w:pPr>
            <w:r>
              <w:rPr>
                <w:i/>
                <w:snapToGrid w:val="0"/>
                <w:sz w:val="19"/>
              </w:rPr>
              <w:t xml:space="preserve">Financial Legislation Amendment and Repeal Act 2006 </w:t>
            </w:r>
            <w:r>
              <w:rPr>
                <w:snapToGrid w:val="0"/>
                <w:sz w:val="19"/>
              </w:rPr>
              <w:t>s. 4, 5(1), 11 and Sch. 1 cl. 131</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90" w:type="dxa"/>
            <w:gridSpan w:val="4"/>
            <w:tcBorders>
              <w:top w:val="nil"/>
              <w:bottom w:val="nil"/>
            </w:tcBorders>
          </w:tcPr>
          <w:p>
            <w:pPr>
              <w:pStyle w:val="nTable"/>
              <w:spacing w:after="40"/>
              <w:rPr>
                <w:snapToGrid w:val="0"/>
                <w:sz w:val="19"/>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Public Sector Reform Act 2010</w:t>
            </w:r>
            <w:r>
              <w:rPr>
                <w:i/>
                <w:iCs/>
                <w:snapToGrid w:val="0"/>
                <w:sz w:val="19"/>
              </w:rPr>
              <w:t xml:space="preserve"> </w:t>
            </w:r>
            <w:r>
              <w:rPr>
                <w:snapToGrid w:val="0"/>
                <w:sz w:val="19"/>
              </w:rPr>
              <w:t>s. 81 and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4"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169</w:t>
            </w:r>
          </w:p>
        </w:tc>
        <w:tc>
          <w:tcPr>
            <w:tcW w:w="1134" w:type="dxa"/>
            <w:shd w:val="clear" w:color="auto" w:fill="auto"/>
          </w:tcPr>
          <w:p>
            <w:pPr>
              <w:pStyle w:val="nTable"/>
              <w:spacing w:after="40"/>
              <w:rPr>
                <w:snapToGrid w:val="0"/>
                <w:sz w:val="19"/>
              </w:rPr>
            </w:pPr>
            <w:r>
              <w:rPr>
                <w:snapToGrid w:val="0"/>
                <w:sz w:val="19"/>
              </w:rPr>
              <w:t>24 of 2011</w:t>
            </w:r>
          </w:p>
        </w:tc>
        <w:tc>
          <w:tcPr>
            <w:tcW w:w="1134" w:type="dxa"/>
            <w:shd w:val="clear" w:color="auto" w:fill="auto"/>
          </w:tcPr>
          <w:p>
            <w:pPr>
              <w:pStyle w:val="nTable"/>
              <w:spacing w:after="40"/>
              <w:rPr>
                <w:snapToGrid w:val="0"/>
                <w:sz w:val="19"/>
              </w:rPr>
            </w:pPr>
            <w:r>
              <w:rPr>
                <w:snapToGrid w:val="0"/>
                <w:sz w:val="19"/>
              </w:rPr>
              <w:t>11 Jul 2011</w:t>
            </w:r>
          </w:p>
        </w:tc>
        <w:tc>
          <w:tcPr>
            <w:tcW w:w="2554" w:type="dxa"/>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90" w:type="dxa"/>
            <w:gridSpan w:val="4"/>
            <w:shd w:val="clear" w:color="auto" w:fill="auto"/>
          </w:tcPr>
          <w:p>
            <w:pPr>
              <w:pStyle w:val="nTable"/>
              <w:spacing w:after="40"/>
              <w:rPr>
                <w:snapToGrid w:val="0"/>
                <w:sz w:val="19"/>
              </w:rPr>
            </w:pPr>
            <w:r>
              <w:rPr>
                <w:b/>
                <w:spacing w:val="-2"/>
                <w:sz w:val="19"/>
              </w:rPr>
              <w:t xml:space="preserve">Reprint 3: The </w:t>
            </w:r>
            <w:r>
              <w:rPr>
                <w:b/>
                <w:i/>
                <w:spacing w:val="-2"/>
                <w:sz w:val="19"/>
              </w:rPr>
              <w:t>Port Authorities Act 1999</w:t>
            </w:r>
            <w:r>
              <w:rPr>
                <w:b/>
                <w:spacing w:val="-2"/>
                <w:sz w:val="19"/>
              </w:rPr>
              <w:t xml:space="preserve"> as at 7 Sep 2012</w:t>
            </w:r>
            <w:r>
              <w:rPr>
                <w:spacing w:val="-2"/>
                <w:sz w:val="19"/>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Ports Legislation Amendment Act 2014</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9 of 2014</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May 2014</w:t>
            </w:r>
          </w:p>
        </w:tc>
        <w:tc>
          <w:tcPr>
            <w:tcW w:w="2554" w:type="dxa"/>
            <w:tcBorders>
              <w:bottom w:val="single" w:sz="4" w:space="0" w:color="auto"/>
            </w:tcBorders>
            <w:shd w:val="clear" w:color="auto" w:fill="auto"/>
          </w:tcPr>
          <w:p>
            <w:pPr>
              <w:pStyle w:val="nTable"/>
              <w:spacing w:after="40"/>
              <w:rPr>
                <w:snapToGrid w:val="0"/>
                <w:sz w:val="19"/>
              </w:rPr>
            </w:pPr>
            <w:r>
              <w:rPr>
                <w:snapToGrid w:val="0"/>
                <w:sz w:val="19"/>
              </w:rPr>
              <w:t>Heading to Pt. 2, s. 3, 4(3), 5(1), 7(1), 10, 28(1), 29, 30, 32 and 35: 21 May 2014 (see s. 2(1)(b))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6" w:name="_Toc388863156"/>
      <w:r>
        <w:rPr>
          <w:snapToGrid w:val="0"/>
        </w:rPr>
        <w:t>Provisions that have not come into operation</w:t>
      </w:r>
      <w:bookmarkEnd w:id="4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rPr>
            </w:pPr>
            <w:r>
              <w:rPr>
                <w:i/>
                <w:snapToGrid w:val="0"/>
                <w:sz w:val="19"/>
              </w:rPr>
              <w:t>Ports Legislation Amendment Act 2014</w:t>
            </w:r>
            <w:r>
              <w:rPr>
                <w:snapToGrid w:val="0"/>
                <w:sz w:val="19"/>
              </w:rPr>
              <w:t xml:space="preserve"> (s. 4(1), (2) and (4), 5(2), 6, 7(2), 8, 9, 11-27, 28(2), 31, 33, 34 and 36)</w:t>
            </w:r>
            <w:r>
              <w:rPr>
                <w:snapToGrid w:val="0"/>
                <w:sz w:val="19"/>
                <w:vertAlign w:val="superscript"/>
              </w:rPr>
              <w:t> 8</w:t>
            </w:r>
          </w:p>
        </w:tc>
        <w:tc>
          <w:tcPr>
            <w:tcW w:w="1118" w:type="dxa"/>
          </w:tcPr>
          <w:p>
            <w:pPr>
              <w:pStyle w:val="nTable"/>
              <w:spacing w:after="40"/>
              <w:rPr>
                <w:snapToGrid w:val="0"/>
                <w:sz w:val="19"/>
              </w:rPr>
            </w:pPr>
            <w:r>
              <w:rPr>
                <w:snapToGrid w:val="0"/>
                <w:sz w:val="19"/>
              </w:rPr>
              <w:t>9 of 2014</w:t>
            </w:r>
          </w:p>
        </w:tc>
        <w:tc>
          <w:tcPr>
            <w:tcW w:w="1134" w:type="dxa"/>
          </w:tcPr>
          <w:p>
            <w:pPr>
              <w:pStyle w:val="nTable"/>
              <w:spacing w:after="40"/>
              <w:rPr>
                <w:snapToGrid w:val="0"/>
                <w:sz w:val="19"/>
              </w:rPr>
            </w:pPr>
            <w:r>
              <w:rPr>
                <w:snapToGrid w:val="0"/>
                <w:sz w:val="19"/>
              </w:rPr>
              <w:t>20 May 2014</w:t>
            </w:r>
          </w:p>
        </w:tc>
        <w:tc>
          <w:tcPr>
            <w:tcW w:w="2552" w:type="dxa"/>
          </w:tcPr>
          <w:p>
            <w:pPr>
              <w:pStyle w:val="nTable"/>
              <w:spacing w:after="40"/>
              <w:rPr>
                <w:snapToGrid w:val="0"/>
                <w:sz w:val="19"/>
              </w:rPr>
            </w:pPr>
            <w:r>
              <w:rPr>
                <w:snapToGrid w:val="0"/>
                <w:sz w:val="19"/>
              </w:rPr>
              <w:t>To be proclaimed (see s. 2(1)(c) and (2))</w:t>
            </w:r>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Ports Legislation Amendment Act 2014</w:t>
      </w:r>
      <w:r>
        <w:rPr>
          <w:snapToGrid w:val="0"/>
        </w:rPr>
        <w:t xml:space="preserve"> s. 4(1), (2) and (4), 5(2), 6, 7(2), 8, 9, 11-27, 28(2), 31, 33, 34 and 36 have not come into operation.  They read as follows:</w:t>
      </w:r>
    </w:p>
    <w:p>
      <w:pPr>
        <w:pStyle w:val="BlankOpen"/>
        <w:rPr>
          <w:snapToGrid w:val="0"/>
        </w:rPr>
      </w:pPr>
    </w:p>
    <w:p>
      <w:pPr>
        <w:pStyle w:val="nzHeading5"/>
      </w:pPr>
      <w:r>
        <w:rPr>
          <w:rStyle w:val="CharSectno"/>
        </w:rPr>
        <w:t>4</w:t>
      </w:r>
      <w:r>
        <w:t>.</w:t>
      </w:r>
      <w:r>
        <w:tab/>
        <w:t>Section 3 amended</w:t>
      </w:r>
    </w:p>
    <w:p>
      <w:pPr>
        <w:pStyle w:val="nzSubsection"/>
      </w:pPr>
      <w:r>
        <w:tab/>
        <w:t>(1)</w:t>
      </w:r>
      <w:r>
        <w:tab/>
        <w:t>In section 3(1) insert in alphabetical order:</w:t>
      </w:r>
    </w:p>
    <w:p>
      <w:pPr>
        <w:pStyle w:val="BlankOpen"/>
      </w:pPr>
    </w:p>
    <w:p>
      <w:pPr>
        <w:pStyle w:val="nzDefstart"/>
      </w:pPr>
      <w:r>
        <w:tab/>
      </w:r>
      <w:r>
        <w:rPr>
          <w:rStyle w:val="CharDefText"/>
        </w:rPr>
        <w:t>port operations</w:t>
      </w:r>
      <w:r>
        <w:t xml:space="preserve"> means — </w:t>
      </w:r>
    </w:p>
    <w:p>
      <w:pPr>
        <w:pStyle w:val="nzDefpara"/>
      </w:pPr>
      <w:r>
        <w:tab/>
        <w:t>(a)</w:t>
      </w:r>
      <w:r>
        <w:tab/>
        <w:t>the carrying out of port activities or port works; or</w:t>
      </w:r>
    </w:p>
    <w:p>
      <w:pPr>
        <w:pStyle w:val="nzDefpara"/>
      </w:pPr>
      <w:r>
        <w:tab/>
        <w:t>(b)</w:t>
      </w:r>
      <w:r>
        <w:tab/>
        <w:t>the provision of port services; or</w:t>
      </w:r>
    </w:p>
    <w:p>
      <w:pPr>
        <w:pStyle w:val="nzDefpara"/>
      </w:pPr>
      <w:r>
        <w:tab/>
        <w:t>(c)</w:t>
      </w:r>
      <w:r>
        <w:tab/>
        <w:t>the provision, management or operation of port facilities;</w:t>
      </w:r>
    </w:p>
    <w:p>
      <w:pPr>
        <w:pStyle w:val="nzDefstart"/>
      </w:pPr>
      <w:r>
        <w:tab/>
      </w:r>
      <w:r>
        <w:rPr>
          <w:rStyle w:val="CharDefText"/>
        </w:rPr>
        <w:t>port property</w:t>
      </w:r>
      <w:r>
        <w:t xml:space="preserve">, in relation to a port authority, means — </w:t>
      </w:r>
    </w:p>
    <w:p>
      <w:pPr>
        <w:pStyle w:val="nzDefpara"/>
      </w:pPr>
      <w:r>
        <w:tab/>
        <w:t>(a)</w:t>
      </w:r>
      <w:r>
        <w:tab/>
        <w:t>port facilities; or</w:t>
      </w:r>
    </w:p>
    <w:p>
      <w:pPr>
        <w:pStyle w:val="nzDefpara"/>
      </w:pPr>
      <w:r>
        <w:tab/>
        <w:t>(b)</w:t>
      </w:r>
      <w:r>
        <w:tab/>
        <w:t>vested property; or</w:t>
      </w:r>
    </w:p>
    <w:p>
      <w:pPr>
        <w:pStyle w:val="nzDefpara"/>
      </w:pPr>
      <w:r>
        <w:tab/>
        <w:t>(c)</w:t>
      </w:r>
      <w:r>
        <w:tab/>
        <w:t>other property held by the port authority;</w:t>
      </w:r>
    </w:p>
    <w:p>
      <w:pPr>
        <w:pStyle w:val="nzDefstart"/>
      </w:pPr>
      <w:r>
        <w:tab/>
      </w:r>
      <w:r>
        <w:rPr>
          <w:rStyle w:val="CharDefText"/>
        </w:rPr>
        <w:t>port security</w:t>
      </w:r>
      <w:r>
        <w:t xml:space="preserve"> means all matters relating to — </w:t>
      </w:r>
    </w:p>
    <w:p>
      <w:pPr>
        <w:pStyle w:val="nzDefpara"/>
      </w:pPr>
      <w:r>
        <w:tab/>
        <w:t>(a)</w:t>
      </w:r>
      <w:r>
        <w:tab/>
        <w:t xml:space="preserve">the preservation and protection of — </w:t>
      </w:r>
    </w:p>
    <w:p>
      <w:pPr>
        <w:pStyle w:val="nzDefsubpara"/>
      </w:pPr>
      <w:r>
        <w:tab/>
        <w:t>(i)</w:t>
      </w:r>
      <w:r>
        <w:tab/>
        <w:t>port property; or</w:t>
      </w:r>
    </w:p>
    <w:p>
      <w:pPr>
        <w:pStyle w:val="nzDefsubpara"/>
      </w:pPr>
      <w:r>
        <w:tab/>
        <w:t>(ii)</w:t>
      </w:r>
      <w:r>
        <w:tab/>
        <w:t>any other vessel, vehicle or other property within the port,</w:t>
      </w:r>
    </w:p>
    <w:p>
      <w:pPr>
        <w:pStyle w:val="nzDefpara"/>
      </w:pPr>
      <w:r>
        <w:tab/>
      </w:r>
      <w:r>
        <w:tab/>
        <w:t>from damage, destruction or unlawful activity; and</w:t>
      </w:r>
    </w:p>
    <w:p>
      <w:pPr>
        <w:pStyle w:val="nzDefpara"/>
      </w:pPr>
      <w:r>
        <w:tab/>
        <w:t>(b)</w:t>
      </w:r>
      <w:r>
        <w:tab/>
        <w:t>the protection of people within the port from injury or unlawful activity;</w:t>
      </w:r>
    </w:p>
    <w:p>
      <w:pPr>
        <w:pStyle w:val="nzDefstart"/>
      </w:pPr>
      <w:r>
        <w:tab/>
      </w:r>
      <w:r>
        <w:rPr>
          <w:rStyle w:val="CharDefText"/>
        </w:rPr>
        <w:t>potential supplier</w:t>
      </w:r>
      <w:r>
        <w:t xml:space="preserve"> means — </w:t>
      </w:r>
    </w:p>
    <w:p>
      <w:pPr>
        <w:pStyle w:val="nzDefpara"/>
      </w:pPr>
      <w:r>
        <w:tab/>
        <w:t>(a)</w:t>
      </w:r>
      <w:r>
        <w:tab/>
        <w:t>a person who might become a supplier of port services; or</w:t>
      </w:r>
    </w:p>
    <w:p>
      <w:pPr>
        <w:pStyle w:val="nzDefpara"/>
      </w:pPr>
      <w:r>
        <w:tab/>
        <w:t>(b)</w:t>
      </w:r>
      <w:r>
        <w:tab/>
        <w:t>a person who might become a supplier of port services and, for that purpose, provide related port facilities;</w:t>
      </w:r>
    </w:p>
    <w:p>
      <w:pPr>
        <w:pStyle w:val="BlankClose"/>
      </w:pPr>
    </w:p>
    <w:p>
      <w:pPr>
        <w:pStyle w:val="nzSubsection"/>
      </w:pPr>
      <w:r>
        <w:tab/>
        <w:t>(2)</w:t>
      </w:r>
      <w:r>
        <w:tab/>
        <w:t xml:space="preserve">In section 3(1) in the definition of </w:t>
      </w:r>
      <w:r>
        <w:rPr>
          <w:b/>
          <w:i/>
        </w:rPr>
        <w:t>member of staff</w:t>
      </w:r>
      <w:r>
        <w:t xml:space="preserve"> delete “section 16;” and insert:</w:t>
      </w:r>
    </w:p>
    <w:p>
      <w:pPr>
        <w:pStyle w:val="BlankOpen"/>
      </w:pPr>
    </w:p>
    <w:p>
      <w:pPr>
        <w:pStyle w:val="nzSubsection"/>
      </w:pPr>
      <w:r>
        <w:tab/>
      </w:r>
      <w:r>
        <w:tab/>
        <w:t>section 16 or who becomes a member of staff by operation of this Act;</w:t>
      </w:r>
    </w:p>
    <w:p>
      <w:pPr>
        <w:pStyle w:val="BlankClose"/>
      </w:pPr>
    </w:p>
    <w:p>
      <w:pPr>
        <w:pStyle w:val="nzSubsection"/>
      </w:pPr>
      <w:r>
        <w:tab/>
        <w:t>(4)</w:t>
      </w:r>
      <w:r>
        <w:tab/>
        <w:t xml:space="preserve">In section 3(1) in the definition of </w:t>
      </w:r>
      <w:r>
        <w:rPr>
          <w:b/>
          <w:i/>
        </w:rPr>
        <w:t>port</w:t>
      </w:r>
      <w:r>
        <w:rPr>
          <w:i/>
        </w:rPr>
        <w:t xml:space="preserve"> </w:t>
      </w:r>
      <w:r>
        <w:t>after “Schedule 1” insert:</w:t>
      </w:r>
    </w:p>
    <w:p>
      <w:pPr>
        <w:pStyle w:val="BlankOpen"/>
      </w:pPr>
    </w:p>
    <w:p>
      <w:pPr>
        <w:pStyle w:val="nzSubsection"/>
      </w:pPr>
      <w:r>
        <w:tab/>
      </w:r>
      <w:r>
        <w:tab/>
        <w:t>or placed under the control and management of a port authority by regulations in accordance with Schedule 9</w:t>
      </w:r>
    </w:p>
    <w:p>
      <w:pPr>
        <w:pStyle w:val="BlankClose"/>
      </w:pPr>
    </w:p>
    <w:p>
      <w:pPr>
        <w:pStyle w:val="nzHeading5"/>
      </w:pPr>
      <w:r>
        <w:rPr>
          <w:rStyle w:val="CharSectno"/>
        </w:rPr>
        <w:t>5</w:t>
      </w:r>
      <w:r>
        <w:t>.</w:t>
      </w:r>
      <w:r>
        <w:tab/>
        <w:t>Section 4 amended</w:t>
      </w:r>
    </w:p>
    <w:p>
      <w:pPr>
        <w:pStyle w:val="nzSubsection"/>
      </w:pPr>
      <w:r>
        <w:tab/>
        <w:t>(2)</w:t>
      </w:r>
      <w:r>
        <w:tab/>
        <w:t>Delete section 4(2A) as inserted by subsection (1) and insert:</w:t>
      </w:r>
    </w:p>
    <w:p>
      <w:pPr>
        <w:pStyle w:val="BlankOpen"/>
      </w:pPr>
    </w:p>
    <w:p>
      <w:pPr>
        <w:pStyle w:val="nzSubsection"/>
      </w:pPr>
      <w:r>
        <w:tab/>
        <w:t>(2A)</w:t>
      </w:r>
      <w:r>
        <w:tab/>
        <w:t xml:space="preserve">A port authority named in column 2 of an item in Schedule 1 is to control and manage — </w:t>
      </w:r>
    </w:p>
    <w:p>
      <w:pPr>
        <w:pStyle w:val="nzIndenta"/>
      </w:pPr>
      <w:r>
        <w:tab/>
        <w:t>(a)</w:t>
      </w:r>
      <w:r>
        <w:tab/>
        <w:t>any port named in column 3 of that item</w:t>
      </w:r>
      <w:r>
        <w:rPr>
          <w:snapToGrid w:val="0"/>
        </w:rPr>
        <w:t>; and</w:t>
      </w:r>
    </w:p>
    <w:p>
      <w:pPr>
        <w:pStyle w:val="nzIndenta"/>
      </w:pPr>
      <w:r>
        <w:tab/>
        <w:t>(b)</w:t>
      </w:r>
      <w:r>
        <w:tab/>
        <w:t xml:space="preserve">any port placed under the control and management of the port authority </w:t>
      </w:r>
      <w:r>
        <w:rPr>
          <w:snapToGrid w:val="0"/>
        </w:rPr>
        <w:t>by regulations in accordance with Schedule 9.</w:t>
      </w:r>
    </w:p>
    <w:p>
      <w:pPr>
        <w:pStyle w:val="BlankClose"/>
        <w:keepNext/>
        <w:widowControl w:val="0"/>
      </w:pPr>
    </w:p>
    <w:p>
      <w:pPr>
        <w:pStyle w:val="nzHeading5"/>
      </w:pPr>
      <w:r>
        <w:rPr>
          <w:rStyle w:val="CharSectno"/>
        </w:rPr>
        <w:t>6</w:t>
      </w:r>
      <w:r>
        <w:t>.</w:t>
      </w:r>
      <w:r>
        <w:tab/>
        <w:t>Section 5 amended</w:t>
      </w:r>
    </w:p>
    <w:p>
      <w:pPr>
        <w:pStyle w:val="nzSubsection"/>
      </w:pPr>
      <w:r>
        <w:tab/>
      </w:r>
      <w:r>
        <w:tab/>
        <w:t>In section 5 delete “</w:t>
      </w:r>
      <w:r>
        <w:rPr>
          <w:snapToGrid w:val="0"/>
        </w:rPr>
        <w:t>A port authority is not</w:t>
      </w:r>
      <w:r>
        <w:t>” and insert:</w:t>
      </w:r>
    </w:p>
    <w:p>
      <w:pPr>
        <w:pStyle w:val="BlankOpen"/>
      </w:pPr>
    </w:p>
    <w:p>
      <w:pPr>
        <w:pStyle w:val="nzSubsection"/>
      </w:pPr>
      <w:r>
        <w:tab/>
      </w:r>
      <w:r>
        <w:tab/>
        <w:t>For the purposes of any law of the State, a port authority is to be regarded as not being</w:t>
      </w:r>
    </w:p>
    <w:p>
      <w:pPr>
        <w:pStyle w:val="BlankClose"/>
        <w:keepNext/>
        <w:widowControl w:val="0"/>
      </w:pPr>
    </w:p>
    <w:p>
      <w:pPr>
        <w:tabs>
          <w:tab w:val="left" w:pos="851"/>
        </w:tabs>
        <w:spacing w:before="160"/>
        <w:ind w:left="1418" w:hanging="1418"/>
        <w:rPr>
          <w:sz w:val="18"/>
        </w:rPr>
      </w:pPr>
      <w:r>
        <w:rPr>
          <w:rFonts w:ascii="Arial" w:hAnsi="Arial"/>
          <w:sz w:val="18"/>
        </w:rPr>
        <w:tab/>
        <w:t>Note:</w:t>
      </w:r>
      <w:r>
        <w:rPr>
          <w:rFonts w:ascii="Arial" w:hAnsi="Arial"/>
          <w:sz w:val="18"/>
        </w:rPr>
        <w:tab/>
        <w:t>The heading to amended section 5 is to read</w:t>
      </w:r>
      <w:r>
        <w:rPr>
          <w:sz w:val="18"/>
        </w:rPr>
        <w:t>:</w:t>
      </w:r>
    </w:p>
    <w:p>
      <w:pPr>
        <w:tabs>
          <w:tab w:val="left" w:pos="851"/>
        </w:tabs>
        <w:spacing w:before="160"/>
        <w:ind w:left="1418" w:hanging="1418"/>
        <w:rPr>
          <w:rFonts w:ascii="Arial" w:hAnsi="Arial"/>
          <w:b/>
          <w:snapToGrid w:val="0"/>
          <w:sz w:val="18"/>
        </w:rPr>
      </w:pPr>
      <w:r>
        <w:rPr>
          <w:sz w:val="18"/>
        </w:rPr>
        <w:tab/>
      </w:r>
      <w:r>
        <w:rPr>
          <w:sz w:val="18"/>
        </w:rPr>
        <w:tab/>
      </w:r>
      <w:r>
        <w:rPr>
          <w:rFonts w:ascii="Arial" w:hAnsi="Arial"/>
          <w:b/>
          <w:snapToGrid w:val="0"/>
          <w:sz w:val="18"/>
        </w:rPr>
        <w:t>Port authorities not to be regarded as agents of Crown for purposes of State laws</w:t>
      </w:r>
    </w:p>
    <w:p>
      <w:pPr>
        <w:pStyle w:val="nzHeading5"/>
      </w:pPr>
      <w:r>
        <w:rPr>
          <w:rStyle w:val="CharSectno"/>
        </w:rPr>
        <w:t>7</w:t>
      </w:r>
      <w:r>
        <w:t>.</w:t>
      </w:r>
      <w:r>
        <w:tab/>
        <w:t>Section 7 amended</w:t>
      </w:r>
    </w:p>
    <w:p>
      <w:pPr>
        <w:pStyle w:val="nzSubsection"/>
      </w:pPr>
      <w:r>
        <w:tab/>
        <w:t>(2)</w:t>
      </w:r>
      <w:r>
        <w:tab/>
        <w:t>Delete section 7(4).</w:t>
      </w:r>
    </w:p>
    <w:p>
      <w:pPr>
        <w:pStyle w:val="nzHeading5"/>
      </w:pPr>
      <w:r>
        <w:rPr>
          <w:rStyle w:val="CharSectno"/>
        </w:rPr>
        <w:t>8</w:t>
      </w:r>
      <w:r>
        <w:t>.</w:t>
      </w:r>
      <w:r>
        <w:tab/>
        <w:t>Section 13 amended</w:t>
      </w:r>
    </w:p>
    <w:p>
      <w:pPr>
        <w:pStyle w:val="nzSubsection"/>
      </w:pPr>
      <w:r>
        <w:tab/>
      </w:r>
      <w:r>
        <w:tab/>
        <w:t>After section 13(4) insert:</w:t>
      </w:r>
    </w:p>
    <w:p>
      <w:pPr>
        <w:pStyle w:val="BlankOpen"/>
      </w:pPr>
    </w:p>
    <w:p>
      <w:pPr>
        <w:pStyle w:val="nzSubsection"/>
      </w:pPr>
      <w:r>
        <w:tab/>
        <w:t>(5)</w:t>
      </w:r>
      <w:r>
        <w:tab/>
        <w:t xml:space="preserve">The port authority is to provide a committee with such — </w:t>
      </w:r>
    </w:p>
    <w:p>
      <w:pPr>
        <w:pStyle w:val="nzIndenta"/>
      </w:pPr>
      <w:r>
        <w:tab/>
        <w:t>(a)</w:t>
      </w:r>
      <w:r>
        <w:tab/>
        <w:t>administrative support; and</w:t>
      </w:r>
    </w:p>
    <w:p>
      <w:pPr>
        <w:pStyle w:val="nzIndenta"/>
      </w:pPr>
      <w:r>
        <w:tab/>
        <w:t>(b)</w:t>
      </w:r>
      <w:r>
        <w:tab/>
        <w:t>facilities,</w:t>
      </w:r>
    </w:p>
    <w:p>
      <w:pPr>
        <w:pStyle w:val="nzSubsection"/>
      </w:pPr>
      <w:r>
        <w:tab/>
      </w:r>
      <w:r>
        <w:tab/>
        <w:t>as the committee may reasonably require for the performance of its functions.</w:t>
      </w:r>
    </w:p>
    <w:p>
      <w:pPr>
        <w:pStyle w:val="BlankClose"/>
      </w:pPr>
    </w:p>
    <w:p>
      <w:pPr>
        <w:pStyle w:val="nzHeading5"/>
      </w:pPr>
      <w:r>
        <w:rPr>
          <w:rStyle w:val="CharSectno"/>
        </w:rPr>
        <w:t>9</w:t>
      </w:r>
      <w:r>
        <w:t>.</w:t>
      </w:r>
      <w:r>
        <w:tab/>
        <w:t>Section 14A inserted</w:t>
      </w:r>
    </w:p>
    <w:p>
      <w:pPr>
        <w:pStyle w:val="nzSubsection"/>
      </w:pPr>
      <w:r>
        <w:tab/>
      </w:r>
      <w:r>
        <w:tab/>
        <w:t>At the end of Part 2 Division 2 insert:</w:t>
      </w:r>
    </w:p>
    <w:p>
      <w:pPr>
        <w:pStyle w:val="BlankOpen"/>
      </w:pPr>
    </w:p>
    <w:p>
      <w:pPr>
        <w:pStyle w:val="nzHeading5"/>
      </w:pPr>
      <w:r>
        <w:t>14A.</w:t>
      </w:r>
      <w:r>
        <w:tab/>
        <w:t>Community consultation committees</w:t>
      </w:r>
    </w:p>
    <w:p>
      <w:pPr>
        <w:pStyle w:val="nzSubsection"/>
      </w:pPr>
      <w:r>
        <w:tab/>
        <w:t>(1)</w:t>
      </w:r>
      <w:r>
        <w:tab/>
        <w:t xml:space="preserve">In this section — </w:t>
      </w:r>
    </w:p>
    <w:p>
      <w:pPr>
        <w:pStyle w:val="nzDefstart"/>
      </w:pPr>
      <w:r>
        <w:tab/>
      </w:r>
      <w:r>
        <w:rPr>
          <w:rStyle w:val="CharDefText"/>
        </w:rPr>
        <w:t>consultation committee</w:t>
      </w:r>
      <w:r>
        <w:t xml:space="preserve"> means the committee established as required by subsection (2).</w:t>
      </w:r>
    </w:p>
    <w:p>
      <w:pPr>
        <w:pStyle w:val="nz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nzSubsection"/>
      </w:pPr>
      <w:r>
        <w:tab/>
        <w:t>(3)</w:t>
      </w:r>
      <w:r>
        <w:tab/>
        <w:t>A local government that has electors who are or may be affected by port operations at the port is to be represented on the consultation committee.</w:t>
      </w:r>
    </w:p>
    <w:p>
      <w:pPr>
        <w:pStyle w:val="nzSubsection"/>
      </w:pPr>
      <w:r>
        <w:tab/>
        <w:t>(4)</w:t>
      </w:r>
      <w:r>
        <w:tab/>
        <w:t>Minutes of the proceedings of the consultation committee are to be made available on the port authority’s website or in a prescribed manner.</w:t>
      </w:r>
    </w:p>
    <w:p>
      <w:pPr>
        <w:pStyle w:val="nzSubsection"/>
      </w:pPr>
      <w:r>
        <w:tab/>
        <w:t>(5)</w:t>
      </w:r>
      <w:r>
        <w:tab/>
        <w:t>Subsection (2) does not apply if the regulations exempt the port from the operation of this section.</w:t>
      </w:r>
    </w:p>
    <w:p>
      <w:pPr>
        <w:pStyle w:val="BlankClose"/>
      </w:pPr>
    </w:p>
    <w:p>
      <w:pPr>
        <w:pStyle w:val="nzHeading5"/>
      </w:pPr>
      <w:r>
        <w:rPr>
          <w:rStyle w:val="CharSectno"/>
        </w:rPr>
        <w:t>11</w:t>
      </w:r>
      <w:r>
        <w:t>.</w:t>
      </w:r>
      <w:r>
        <w:tab/>
        <w:t>Section 29A inserted</w:t>
      </w:r>
    </w:p>
    <w:p>
      <w:pPr>
        <w:pStyle w:val="nzSubsection"/>
      </w:pPr>
      <w:r>
        <w:tab/>
      </w:r>
      <w:r>
        <w:tab/>
        <w:t>After section 28 insert:</w:t>
      </w:r>
    </w:p>
    <w:p>
      <w:pPr>
        <w:pStyle w:val="BlankOpen"/>
      </w:pPr>
    </w:p>
    <w:p>
      <w:pPr>
        <w:pStyle w:val="nzHeading5"/>
      </w:pPr>
      <w:r>
        <w:t>29A.</w:t>
      </w:r>
      <w:r>
        <w:tab/>
        <w:t xml:space="preserve">Operation of </w:t>
      </w:r>
      <w:r>
        <w:rPr>
          <w:i/>
        </w:rPr>
        <w:t>Planning and Development Act 2005</w:t>
      </w:r>
      <w:r>
        <w:t xml:space="preserve"> section 136 modified</w:t>
      </w:r>
    </w:p>
    <w:p>
      <w:pPr>
        <w:pStyle w:val="nz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BlankClose"/>
      </w:pPr>
    </w:p>
    <w:p>
      <w:pPr>
        <w:pStyle w:val="nzHeading5"/>
      </w:pPr>
      <w:r>
        <w:rPr>
          <w:rStyle w:val="CharSectno"/>
        </w:rPr>
        <w:t>12</w:t>
      </w:r>
      <w:r>
        <w:t>.</w:t>
      </w:r>
      <w:r>
        <w:tab/>
        <w:t>Section 30 amended</w:t>
      </w:r>
    </w:p>
    <w:p>
      <w:pPr>
        <w:pStyle w:val="nzSubsection"/>
      </w:pPr>
      <w:r>
        <w:tab/>
      </w:r>
      <w:r>
        <w:tab/>
        <w:t>In section 30(1):</w:t>
      </w:r>
    </w:p>
    <w:p>
      <w:pPr>
        <w:pStyle w:val="nzIndenta"/>
      </w:pPr>
      <w:r>
        <w:tab/>
        <w:t>(a)</w:t>
      </w:r>
      <w:r>
        <w:tab/>
        <w:t>delete paragraph (e) and insert:</w:t>
      </w:r>
    </w:p>
    <w:p>
      <w:pPr>
        <w:pStyle w:val="BlankOpen"/>
      </w:pPr>
    </w:p>
    <w:p>
      <w:pPr>
        <w:pStyle w:val="nzIndenta"/>
      </w:pPr>
      <w:r>
        <w:tab/>
        <w:t>(e)</w:t>
      </w:r>
      <w:r>
        <w:tab/>
        <w:t>to be responsible for maintaining port property; and</w:t>
      </w:r>
    </w:p>
    <w:p>
      <w:pPr>
        <w:pStyle w:val="nzIndenta"/>
      </w:pPr>
      <w:r>
        <w:tab/>
        <w:t>(fa)</w:t>
      </w:r>
      <w:r>
        <w:tab/>
        <w:t>to be responsible for port security; and</w:t>
      </w:r>
    </w:p>
    <w:p>
      <w:pPr>
        <w:pStyle w:val="BlankClose"/>
      </w:pPr>
    </w:p>
    <w:p>
      <w:pPr>
        <w:pStyle w:val="nzIndenta"/>
      </w:pPr>
      <w:r>
        <w:tab/>
        <w:t>(b)</w:t>
      </w:r>
      <w:r>
        <w:tab/>
        <w:t>in paragraph (f) delete “activities” and insert:</w:t>
      </w:r>
    </w:p>
    <w:p>
      <w:pPr>
        <w:pStyle w:val="BlankOpen"/>
      </w:pPr>
    </w:p>
    <w:p>
      <w:pPr>
        <w:pStyle w:val="nzIndenta"/>
      </w:pPr>
      <w:r>
        <w:tab/>
      </w:r>
      <w:r>
        <w:tab/>
        <w:t>operations</w:t>
      </w:r>
    </w:p>
    <w:p>
      <w:pPr>
        <w:pStyle w:val="BlankClose"/>
      </w:pPr>
    </w:p>
    <w:p>
      <w:pPr>
        <w:pStyle w:val="nzHeading5"/>
      </w:pPr>
      <w:r>
        <w:rPr>
          <w:rStyle w:val="CharSectno"/>
        </w:rPr>
        <w:t>13</w:t>
      </w:r>
      <w:r>
        <w:t>.</w:t>
      </w:r>
      <w:r>
        <w:tab/>
        <w:t>Section 31 amended</w:t>
      </w:r>
    </w:p>
    <w:p>
      <w:pPr>
        <w:pStyle w:val="nzSubsection"/>
      </w:pPr>
      <w:r>
        <w:tab/>
      </w:r>
      <w:r>
        <w:tab/>
        <w:t>In section 31(2) delete “activities.” and insert:</w:t>
      </w:r>
    </w:p>
    <w:p>
      <w:pPr>
        <w:pStyle w:val="BlankOpen"/>
      </w:pPr>
    </w:p>
    <w:p>
      <w:pPr>
        <w:pStyle w:val="nzSubsection"/>
      </w:pPr>
      <w:r>
        <w:tab/>
      </w:r>
      <w:r>
        <w:tab/>
        <w:t>operations.</w:t>
      </w:r>
    </w:p>
    <w:p>
      <w:pPr>
        <w:pStyle w:val="BlankClose"/>
      </w:pPr>
    </w:p>
    <w:p>
      <w:pPr>
        <w:pStyle w:val="nzHeading5"/>
      </w:pPr>
      <w:r>
        <w:rPr>
          <w:rStyle w:val="CharSectno"/>
        </w:rPr>
        <w:t>14</w:t>
      </w:r>
      <w:r>
        <w:t>.</w:t>
      </w:r>
      <w:r>
        <w:tab/>
        <w:t>Section 33 amended</w:t>
      </w:r>
    </w:p>
    <w:p>
      <w:pPr>
        <w:pStyle w:val="nzSubsection"/>
      </w:pPr>
      <w:r>
        <w:tab/>
      </w:r>
      <w:r>
        <w:tab/>
        <w:t>In section 33 delete “A” and insert:</w:t>
      </w:r>
    </w:p>
    <w:p>
      <w:pPr>
        <w:pStyle w:val="BlankOpen"/>
      </w:pPr>
    </w:p>
    <w:p>
      <w:pPr>
        <w:pStyle w:val="nzSubsection"/>
      </w:pPr>
      <w:r>
        <w:tab/>
      </w:r>
      <w:r>
        <w:tab/>
        <w:t>Subject to section 34A, a</w:t>
      </w:r>
    </w:p>
    <w:p>
      <w:pPr>
        <w:pStyle w:val="BlankClose"/>
        <w:keepNext/>
      </w:pPr>
    </w:p>
    <w:p>
      <w:pPr>
        <w:pStyle w:val="nzHeading5"/>
      </w:pPr>
      <w:r>
        <w:rPr>
          <w:rStyle w:val="CharSectno"/>
        </w:rPr>
        <w:t>15</w:t>
      </w:r>
      <w:r>
        <w:t>.</w:t>
      </w:r>
      <w:r>
        <w:tab/>
        <w:t>Section 34A inserted</w:t>
      </w:r>
    </w:p>
    <w:p>
      <w:pPr>
        <w:pStyle w:val="nzSubsection"/>
      </w:pPr>
      <w:r>
        <w:tab/>
      </w:r>
      <w:r>
        <w:tab/>
        <w:t>After section 33 insert:</w:t>
      </w:r>
    </w:p>
    <w:p>
      <w:pPr>
        <w:pStyle w:val="BlankOpen"/>
      </w:pPr>
    </w:p>
    <w:p>
      <w:pPr>
        <w:pStyle w:val="nzHeading5"/>
      </w:pPr>
      <w:r>
        <w:t>34A.</w:t>
      </w:r>
      <w:r>
        <w:tab/>
        <w:t>Duty to comply with State budgetary requirements</w:t>
      </w:r>
    </w:p>
    <w:p>
      <w:pPr>
        <w:pStyle w:val="nzSubsection"/>
      </w:pPr>
      <w:r>
        <w:tab/>
        <w:t>(1)</w:t>
      </w:r>
      <w:r>
        <w:tab/>
        <w:t xml:space="preserve">In this section — </w:t>
      </w:r>
    </w:p>
    <w:p>
      <w:pPr>
        <w:pStyle w:val="nzDefstart"/>
      </w:pPr>
      <w:r>
        <w:tab/>
      </w:r>
      <w:r>
        <w:rPr>
          <w:rStyle w:val="CharDefText"/>
        </w:rPr>
        <w:t>approved</w:t>
      </w:r>
      <w:r>
        <w:t xml:space="preserve"> means approved from time to time by the Government for the port authority and communicated in writing by the Treasurer to the port authority;</w:t>
      </w:r>
    </w:p>
    <w:p>
      <w:pPr>
        <w:pStyle w:val="nzDefstart"/>
      </w:pPr>
      <w:r>
        <w:tab/>
      </w:r>
      <w:r>
        <w:rPr>
          <w:rStyle w:val="CharDefText"/>
        </w:rPr>
        <w:t>Government</w:t>
      </w:r>
      <w:r>
        <w:t xml:space="preserve"> includes — </w:t>
      </w:r>
    </w:p>
    <w:p>
      <w:pPr>
        <w:pStyle w:val="nzDefpara"/>
      </w:pPr>
      <w:r>
        <w:tab/>
        <w:t>(a)</w:t>
      </w:r>
      <w:r>
        <w:tab/>
        <w:t>Cabinet; and</w:t>
      </w:r>
    </w:p>
    <w:p>
      <w:pPr>
        <w:pStyle w:val="nzDefpara"/>
      </w:pPr>
      <w:r>
        <w:tab/>
        <w:t>(b)</w:t>
      </w:r>
      <w:r>
        <w:tab/>
        <w:t>a committee of Cabinet; and</w:t>
      </w:r>
    </w:p>
    <w:p>
      <w:pPr>
        <w:pStyle w:val="nzDefpara"/>
      </w:pPr>
      <w:r>
        <w:tab/>
        <w:t>(c)</w:t>
      </w:r>
      <w:r>
        <w:tab/>
        <w:t>a subcommittee of a committee of Cabinet; and</w:t>
      </w:r>
    </w:p>
    <w:p>
      <w:pPr>
        <w:pStyle w:val="nzDefpara"/>
      </w:pPr>
      <w:r>
        <w:tab/>
        <w:t>(d)</w:t>
      </w:r>
      <w:r>
        <w:tab/>
        <w:t>the Treasurer.</w:t>
      </w:r>
    </w:p>
    <w:p>
      <w:pPr>
        <w:pStyle w:val="nzSubsection"/>
      </w:pPr>
      <w:r>
        <w:tab/>
        <w:t>(2)</w:t>
      </w:r>
      <w:r>
        <w:tab/>
      </w:r>
      <w:r>
        <w:rPr>
          <w:snapToGrid w:val="0"/>
        </w:rPr>
        <w:t xml:space="preserve">A port authority in performing its functions </w:t>
      </w:r>
      <w:r>
        <w:t xml:space="preserve">must — </w:t>
      </w:r>
    </w:p>
    <w:p>
      <w:pPr>
        <w:pStyle w:val="nzIndenta"/>
      </w:pPr>
      <w:r>
        <w:tab/>
        <w:t>(a)</w:t>
      </w:r>
      <w:r>
        <w:tab/>
        <w:t>comply with approved requirements as to capital works expenditure limits and associated funding; and</w:t>
      </w:r>
    </w:p>
    <w:p>
      <w:pPr>
        <w:pStyle w:val="nzIndenta"/>
      </w:pPr>
      <w:r>
        <w:tab/>
        <w:t>(b)</w:t>
      </w:r>
      <w:r>
        <w:tab/>
        <w:t>endeavour to achieve financial outcomes that are consistent with forecasts contained in approved income and cash flow statements and approved statements of financial position.</w:t>
      </w:r>
    </w:p>
    <w:p>
      <w:pPr>
        <w:pStyle w:val="nz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BlankClose"/>
        <w:rPr>
          <w:snapToGrid w:val="0"/>
        </w:rPr>
      </w:pPr>
    </w:p>
    <w:p>
      <w:pPr>
        <w:pStyle w:val="nzHeading5"/>
      </w:pPr>
      <w:r>
        <w:rPr>
          <w:rStyle w:val="CharSectno"/>
        </w:rPr>
        <w:t>16</w:t>
      </w:r>
      <w:r>
        <w:t>.</w:t>
      </w:r>
      <w:r>
        <w:tab/>
        <w:t>Section 35 amended</w:t>
      </w:r>
    </w:p>
    <w:p>
      <w:pPr>
        <w:pStyle w:val="nzSubsection"/>
      </w:pPr>
      <w:r>
        <w:tab/>
      </w:r>
      <w:r>
        <w:tab/>
        <w:t>After section 35(8) insert:</w:t>
      </w:r>
    </w:p>
    <w:p>
      <w:pPr>
        <w:pStyle w:val="BlankOpen"/>
      </w:pPr>
    </w:p>
    <w:p>
      <w:pPr>
        <w:pStyle w:val="nzSubsection"/>
      </w:pPr>
      <w:r>
        <w:tab/>
        <w:t>(9A)</w:t>
      </w:r>
      <w:r>
        <w:tab/>
        <w:t xml:space="preserve">Subject to the </w:t>
      </w:r>
      <w:r>
        <w:rPr>
          <w:i/>
        </w:rPr>
        <w:t>Environmental Protection Act 1986</w:t>
      </w:r>
      <w:r>
        <w:t>, port operations may take place on any day and at any time.</w:t>
      </w:r>
    </w:p>
    <w:p>
      <w:pPr>
        <w:pStyle w:val="BlankClose"/>
      </w:pPr>
    </w:p>
    <w:p>
      <w:pPr>
        <w:pStyle w:val="nzHeading5"/>
      </w:pPr>
      <w:r>
        <w:rPr>
          <w:rStyle w:val="CharSectno"/>
        </w:rPr>
        <w:t>17</w:t>
      </w:r>
      <w:r>
        <w:t>.</w:t>
      </w:r>
      <w:r>
        <w:tab/>
        <w:t>Section 51 amended</w:t>
      </w:r>
    </w:p>
    <w:p>
      <w:pPr>
        <w:pStyle w:val="nzSubsection"/>
      </w:pPr>
      <w:r>
        <w:tab/>
      </w:r>
      <w:r>
        <w:tab/>
        <w:t>In section 51(2)(a) after “effectiveness,” insert:</w:t>
      </w:r>
    </w:p>
    <w:p>
      <w:pPr>
        <w:pStyle w:val="BlankOpen"/>
      </w:pPr>
    </w:p>
    <w:p>
      <w:pPr>
        <w:pStyle w:val="nzSubsection"/>
      </w:pPr>
      <w:r>
        <w:tab/>
      </w:r>
      <w:r>
        <w:tab/>
        <w:t>participation of potential suppliers,</w:t>
      </w:r>
    </w:p>
    <w:p>
      <w:pPr>
        <w:pStyle w:val="BlankClose"/>
        <w:keepNext/>
      </w:pPr>
    </w:p>
    <w:p>
      <w:pPr>
        <w:pStyle w:val="nzHeading5"/>
      </w:pPr>
      <w:r>
        <w:rPr>
          <w:rStyle w:val="CharSectno"/>
        </w:rPr>
        <w:t>18</w:t>
      </w:r>
      <w:r>
        <w:t>.</w:t>
      </w:r>
      <w:r>
        <w:tab/>
        <w:t>Section 57 amended</w:t>
      </w:r>
    </w:p>
    <w:p>
      <w:pPr>
        <w:pStyle w:val="nzSubsection"/>
      </w:pPr>
      <w:r>
        <w:tab/>
        <w:t>(1)</w:t>
      </w:r>
      <w:r>
        <w:tab/>
        <w:t>In section 57 delete “The” and insert:</w:t>
      </w:r>
    </w:p>
    <w:p>
      <w:pPr>
        <w:pStyle w:val="BlankOpen"/>
      </w:pPr>
    </w:p>
    <w:p>
      <w:pPr>
        <w:pStyle w:val="nzSubsection"/>
      </w:pPr>
      <w:r>
        <w:tab/>
        <w:t>(1)</w:t>
      </w:r>
      <w:r>
        <w:tab/>
        <w:t>The</w:t>
      </w:r>
    </w:p>
    <w:p>
      <w:pPr>
        <w:pStyle w:val="BlankClose"/>
        <w:keepNext/>
      </w:pPr>
    </w:p>
    <w:p>
      <w:pPr>
        <w:pStyle w:val="nzSubsection"/>
      </w:pPr>
      <w:r>
        <w:tab/>
        <w:t>(2)</w:t>
      </w:r>
      <w:r>
        <w:tab/>
        <w:t>At the end of section 57 insert:</w:t>
      </w:r>
    </w:p>
    <w:p>
      <w:pPr>
        <w:pStyle w:val="BlankOpen"/>
      </w:pPr>
    </w:p>
    <w:p>
      <w:pPr>
        <w:pStyle w:val="nzSubsection"/>
      </w:pPr>
      <w:r>
        <w:tab/>
        <w:t>(2)</w:t>
      </w:r>
      <w:r>
        <w:tab/>
        <w:t xml:space="preserve">Without limiting section 34A, any agreement or concurrence mentioned in subsection (1) has effect subject to the reservation that the port authority must — </w:t>
      </w:r>
    </w:p>
    <w:p>
      <w:pPr>
        <w:pStyle w:val="nzIndenta"/>
      </w:pPr>
      <w:r>
        <w:tab/>
        <w:t>(a)</w:t>
      </w:r>
      <w:r>
        <w:tab/>
        <w:t>comply with the requirements mentioned in section 34A(2)(a); and</w:t>
      </w:r>
    </w:p>
    <w:p>
      <w:pPr>
        <w:pStyle w:val="nzIndenta"/>
      </w:pPr>
      <w:r>
        <w:tab/>
        <w:t>(b)</w:t>
      </w:r>
      <w:r>
        <w:tab/>
        <w:t>endeavour to achieve the financial outcomes mentioned in section 34A(2)(b),</w:t>
      </w:r>
    </w:p>
    <w:p>
      <w:pPr>
        <w:pStyle w:val="nzSubsection"/>
      </w:pPr>
      <w:r>
        <w:tab/>
      </w:r>
      <w:r>
        <w:tab/>
        <w:t>whether or not they are consistent with the strategic development plan or modified strategic development plan, as the case may be.</w:t>
      </w:r>
    </w:p>
    <w:p>
      <w:pPr>
        <w:pStyle w:val="BlankClose"/>
        <w:keepNext/>
      </w:pPr>
    </w:p>
    <w:p>
      <w:pPr>
        <w:pStyle w:val="nzHeading5"/>
      </w:pPr>
      <w:r>
        <w:rPr>
          <w:rStyle w:val="CharSectno"/>
        </w:rPr>
        <w:t>19</w:t>
      </w:r>
      <w:r>
        <w:t>.</w:t>
      </w:r>
      <w:r>
        <w:tab/>
        <w:t>Section 60 amended</w:t>
      </w:r>
    </w:p>
    <w:p>
      <w:pPr>
        <w:pStyle w:val="nzSubsection"/>
      </w:pPr>
      <w:r>
        <w:tab/>
      </w:r>
      <w:r>
        <w:tab/>
        <w:t>After section 60(2)(j) insert:</w:t>
      </w:r>
    </w:p>
    <w:p>
      <w:pPr>
        <w:pStyle w:val="BlankOpen"/>
      </w:pPr>
    </w:p>
    <w:p>
      <w:pPr>
        <w:pStyle w:val="nzIndenta"/>
      </w:pPr>
      <w:r>
        <w:tab/>
        <w:t>(ka)</w:t>
      </w:r>
      <w:r>
        <w:tab/>
        <w:t>proposed arrangements to facilitate the participation of potential suppliers in the provision of port services or, if no arrangements are proposed, the reason and justification for their absence; and</w:t>
      </w:r>
    </w:p>
    <w:p>
      <w:pPr>
        <w:pStyle w:val="BlankClose"/>
      </w:pPr>
    </w:p>
    <w:p>
      <w:pPr>
        <w:pStyle w:val="nzHeading5"/>
      </w:pPr>
      <w:r>
        <w:rPr>
          <w:rStyle w:val="CharSectno"/>
        </w:rPr>
        <w:t>20</w:t>
      </w:r>
      <w:r>
        <w:t>.</w:t>
      </w:r>
      <w:r>
        <w:tab/>
        <w:t>Section 66 amended</w:t>
      </w:r>
    </w:p>
    <w:p>
      <w:pPr>
        <w:pStyle w:val="nzSubsection"/>
      </w:pPr>
      <w:r>
        <w:tab/>
        <w:t>(1)</w:t>
      </w:r>
      <w:r>
        <w:tab/>
        <w:t>In section 66 delete “The” and insert:</w:t>
      </w:r>
    </w:p>
    <w:p>
      <w:pPr>
        <w:pStyle w:val="BlankOpen"/>
      </w:pPr>
    </w:p>
    <w:p>
      <w:pPr>
        <w:pStyle w:val="nzSubsection"/>
      </w:pPr>
      <w:r>
        <w:tab/>
        <w:t>(1)</w:t>
      </w:r>
      <w:r>
        <w:tab/>
        <w:t>The</w:t>
      </w:r>
    </w:p>
    <w:p>
      <w:pPr>
        <w:pStyle w:val="BlankClose"/>
        <w:keepNext/>
      </w:pPr>
    </w:p>
    <w:p>
      <w:pPr>
        <w:pStyle w:val="nzSubsection"/>
      </w:pPr>
      <w:r>
        <w:tab/>
        <w:t>(2)</w:t>
      </w:r>
      <w:r>
        <w:tab/>
        <w:t>At the end of section 66 insert:</w:t>
      </w:r>
    </w:p>
    <w:p>
      <w:pPr>
        <w:pStyle w:val="BlankOpen"/>
      </w:pPr>
    </w:p>
    <w:p>
      <w:pPr>
        <w:pStyle w:val="nzSubsection"/>
      </w:pPr>
      <w:r>
        <w:tab/>
        <w:t>(2)</w:t>
      </w:r>
      <w:r>
        <w:tab/>
        <w:t xml:space="preserve">Without limiting section 34A, any agreement or concurrence mentioned in subsection (1) has effect subject to the reservation that the port authority must — </w:t>
      </w:r>
    </w:p>
    <w:p>
      <w:pPr>
        <w:pStyle w:val="nzIndenta"/>
      </w:pPr>
      <w:r>
        <w:tab/>
        <w:t>(a)</w:t>
      </w:r>
      <w:r>
        <w:tab/>
        <w:t>comply with the requirements mentioned in section 34A(2)(a); and</w:t>
      </w:r>
    </w:p>
    <w:p>
      <w:pPr>
        <w:pStyle w:val="nzIndenta"/>
      </w:pPr>
      <w:r>
        <w:tab/>
        <w:t>(b)</w:t>
      </w:r>
      <w:r>
        <w:tab/>
        <w:t>endeavour to achieve the financial outcomes mentioned in section 34A(2)(b),</w:t>
      </w:r>
    </w:p>
    <w:p>
      <w:pPr>
        <w:pStyle w:val="nzSubsection"/>
      </w:pPr>
      <w:r>
        <w:tab/>
      </w:r>
      <w:r>
        <w:tab/>
        <w:t>whether or not they are consistent with the statement of corporate intent or modified statement of corporate intent, as the case may be.</w:t>
      </w:r>
    </w:p>
    <w:p>
      <w:pPr>
        <w:pStyle w:val="BlankClose"/>
        <w:keepNext/>
      </w:pPr>
    </w:p>
    <w:p>
      <w:pPr>
        <w:pStyle w:val="nzHeading5"/>
      </w:pPr>
      <w:r>
        <w:rPr>
          <w:rStyle w:val="CharSectno"/>
        </w:rPr>
        <w:t>21</w:t>
      </w:r>
      <w:r>
        <w:t>.</w:t>
      </w:r>
      <w:r>
        <w:tab/>
        <w:t>Section 84 amended</w:t>
      </w:r>
    </w:p>
    <w:p>
      <w:pPr>
        <w:pStyle w:val="nzSubsection"/>
      </w:pPr>
      <w:r>
        <w:tab/>
        <w:t>(1)</w:t>
      </w:r>
      <w:r>
        <w:tab/>
        <w:t>After section 84(1)(a)(i) insert:</w:t>
      </w:r>
    </w:p>
    <w:p>
      <w:pPr>
        <w:pStyle w:val="BlankOpen"/>
        <w:widowControl w:val="0"/>
      </w:pPr>
    </w:p>
    <w:p>
      <w:pPr>
        <w:pStyle w:val="nzIndenti"/>
      </w:pPr>
      <w:r>
        <w:tab/>
        <w:t>(iia)</w:t>
      </w:r>
      <w:r>
        <w:tab/>
        <w:t>any interim dividend paid to the Treasurer in relation to that financial year in accordance with subsections (5) to (8); and</w:t>
      </w:r>
    </w:p>
    <w:p>
      <w:pPr>
        <w:pStyle w:val="BlankClose"/>
        <w:keepNext/>
        <w:widowControl w:val="0"/>
      </w:pPr>
    </w:p>
    <w:p>
      <w:pPr>
        <w:pStyle w:val="nzSubsection"/>
      </w:pPr>
      <w:r>
        <w:tab/>
        <w:t>(2)</w:t>
      </w:r>
      <w:r>
        <w:tab/>
        <w:t>After section 84(1) insert:</w:t>
      </w:r>
    </w:p>
    <w:p>
      <w:pPr>
        <w:pStyle w:val="BlankOpen"/>
      </w:pPr>
    </w:p>
    <w:p>
      <w:pPr>
        <w:pStyle w:val="nz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nzSubsection"/>
      </w:pPr>
      <w:r>
        <w:tab/>
        <w:t>(2B)</w:t>
      </w:r>
      <w:r>
        <w:tab/>
        <w:t>A declaration under subsection (2A) can be made before or after the payment is received by the port authority.</w:t>
      </w:r>
    </w:p>
    <w:p>
      <w:pPr>
        <w:pStyle w:val="BlankClose"/>
      </w:pPr>
    </w:p>
    <w:p>
      <w:pPr>
        <w:pStyle w:val="nzSubsection"/>
      </w:pPr>
      <w:r>
        <w:tab/>
        <w:t>(3)</w:t>
      </w:r>
      <w:r>
        <w:tab/>
        <w:t>In section 84(3)(b) delete “is to” (1</w:t>
      </w:r>
      <w:r>
        <w:rPr>
          <w:vertAlign w:val="superscript"/>
        </w:rPr>
        <w:t>st</w:t>
      </w:r>
      <w:r>
        <w:t xml:space="preserve"> occurrence) and insert:</w:t>
      </w:r>
    </w:p>
    <w:p>
      <w:pPr>
        <w:pStyle w:val="BlankOpen"/>
      </w:pPr>
    </w:p>
    <w:p>
      <w:pPr>
        <w:pStyle w:val="nzSubsection"/>
      </w:pPr>
      <w:r>
        <w:tab/>
      </w:r>
      <w:r>
        <w:tab/>
        <w:t>may</w:t>
      </w:r>
    </w:p>
    <w:p>
      <w:pPr>
        <w:pStyle w:val="BlankClose"/>
      </w:pPr>
    </w:p>
    <w:p>
      <w:pPr>
        <w:pStyle w:val="nzSubsection"/>
      </w:pPr>
      <w:r>
        <w:tab/>
        <w:t>(4)</w:t>
      </w:r>
      <w:r>
        <w:tab/>
        <w:t>Delete section 84(5) and insert:</w:t>
      </w:r>
    </w:p>
    <w:p>
      <w:pPr>
        <w:pStyle w:val="BlankOpen"/>
      </w:pPr>
    </w:p>
    <w:p>
      <w:pPr>
        <w:pStyle w:val="nz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nz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nzSubsection"/>
      </w:pPr>
      <w:r>
        <w:tab/>
        <w:t>(7)</w:t>
      </w:r>
      <w:r>
        <w:tab/>
        <w:t xml:space="preserve">The Minister, with the Treasurer’s concurrence — </w:t>
      </w:r>
    </w:p>
    <w:p>
      <w:pPr>
        <w:pStyle w:val="nzIndenta"/>
      </w:pPr>
      <w:r>
        <w:tab/>
        <w:t>(a)</w:t>
      </w:r>
      <w:r>
        <w:tab/>
        <w:t>may accept a recommendation under subsection (6); or</w:t>
      </w:r>
    </w:p>
    <w:p>
      <w:pPr>
        <w:pStyle w:val="nzIndenta"/>
      </w:pPr>
      <w:r>
        <w:tab/>
        <w:t>(b)</w:t>
      </w:r>
      <w:r>
        <w:tab/>
        <w:t>after consultation with the board, may direct that the amount of the interim dividend is to be some other amount.</w:t>
      </w:r>
    </w:p>
    <w:p>
      <w:pPr>
        <w:pStyle w:val="nzSubsection"/>
      </w:pPr>
      <w:r>
        <w:tab/>
        <w:t>(8)</w:t>
      </w:r>
      <w:r>
        <w:tab/>
        <w:t xml:space="preserve">A port authority is to pay the interim dividend — </w:t>
      </w:r>
    </w:p>
    <w:p>
      <w:pPr>
        <w:pStyle w:val="nzIndenta"/>
      </w:pPr>
      <w:r>
        <w:tab/>
        <w:t>(a)</w:t>
      </w:r>
      <w:r>
        <w:tab/>
        <w:t>as soon as practicable after the amount is fixed under subsection (7); and</w:t>
      </w:r>
    </w:p>
    <w:p>
      <w:pPr>
        <w:pStyle w:val="nzIndenta"/>
      </w:pPr>
      <w:r>
        <w:tab/>
        <w:t>(b)</w:t>
      </w:r>
      <w:r>
        <w:tab/>
        <w:t>in any case not later than the end of the financial year to which the interim dividend relates.</w:t>
      </w:r>
    </w:p>
    <w:p>
      <w:pPr>
        <w:pStyle w:val="nzSubsection"/>
      </w:pPr>
      <w:r>
        <w:tab/>
        <w:t>(9)</w:t>
      </w:r>
      <w:r>
        <w:tab/>
        <w:t>The Minister must within 14 days after a direction is given under subsection (3) or (7) cause a copy of it to be laid before each House of Parliament or dealt with in accordance with section 133.</w:t>
      </w:r>
    </w:p>
    <w:p>
      <w:pPr>
        <w:pStyle w:val="BlankClose"/>
      </w:pPr>
    </w:p>
    <w:p>
      <w:pPr>
        <w:pStyle w:val="nzHeading5"/>
      </w:pPr>
      <w:r>
        <w:rPr>
          <w:rStyle w:val="CharSectno"/>
        </w:rPr>
        <w:t>22</w:t>
      </w:r>
      <w:r>
        <w:t>.</w:t>
      </w:r>
      <w:r>
        <w:tab/>
        <w:t>Section 87 amended</w:t>
      </w:r>
    </w:p>
    <w:p>
      <w:pPr>
        <w:pStyle w:val="nzSubsection"/>
      </w:pPr>
      <w:r>
        <w:tab/>
      </w:r>
      <w:r>
        <w:tab/>
        <w:t>Delete section 87(2) and insert:</w:t>
      </w:r>
    </w:p>
    <w:p>
      <w:pPr>
        <w:pStyle w:val="BlankOpen"/>
      </w:pPr>
    </w:p>
    <w:p>
      <w:pPr>
        <w:pStyle w:val="nz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nzIndenta"/>
      </w:pPr>
      <w:r>
        <w:tab/>
        <w:t>(a)</w:t>
      </w:r>
      <w:r>
        <w:tab/>
        <w:t>identifies, considers and takes steps to minimise any foreign exchange risks before entering into the hedging arrangement; and</w:t>
      </w:r>
    </w:p>
    <w:p>
      <w:pPr>
        <w:pStyle w:val="nzIndenta"/>
      </w:pPr>
      <w:r>
        <w:tab/>
        <w:t>(b)</w:t>
      </w:r>
      <w:r>
        <w:tab/>
        <w:t>monitors any foreign exchange risks that may result from entering into the hedging arrangement.</w:t>
      </w:r>
    </w:p>
    <w:p>
      <w:pPr>
        <w:pStyle w:val="nzSubsection"/>
      </w:pPr>
      <w:r>
        <w:tab/>
        <w:t>(3)</w:t>
      </w:r>
      <w:r>
        <w:tab/>
        <w:t xml:space="preserve">In this section — </w:t>
      </w:r>
    </w:p>
    <w:p>
      <w:pPr>
        <w:pStyle w:val="nzDefstart"/>
      </w:pPr>
      <w:r>
        <w:tab/>
      </w:r>
      <w:r>
        <w:rPr>
          <w:rStyle w:val="CharDefText"/>
        </w:rPr>
        <w:t xml:space="preserve">hedging arrangement </w:t>
      </w:r>
      <w:r>
        <w:t>means an agreement or arrangement described in subsection (1)(a) or (b);</w:t>
      </w:r>
    </w:p>
    <w:p>
      <w:pPr>
        <w:pStyle w:val="nzDefstart"/>
      </w:pPr>
      <w:r>
        <w:rPr>
          <w:b/>
        </w:rPr>
        <w:tab/>
      </w:r>
      <w:r>
        <w:rPr>
          <w:rStyle w:val="CharDefText"/>
        </w:rPr>
        <w:t>interest rate</w:t>
      </w:r>
      <w:r>
        <w:t xml:space="preserve"> includes coupon rate, discount rate and yield;</w:t>
      </w:r>
    </w:p>
    <w:p>
      <w:pPr>
        <w:pStyle w:val="nz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BlankClose"/>
        <w:keepNext/>
      </w:pPr>
    </w:p>
    <w:p>
      <w:pPr>
        <w:pStyle w:val="nzHeading5"/>
      </w:pPr>
      <w:r>
        <w:rPr>
          <w:rStyle w:val="CharSectno"/>
        </w:rPr>
        <w:t>23</w:t>
      </w:r>
      <w:r>
        <w:t>.</w:t>
      </w:r>
      <w:r>
        <w:tab/>
        <w:t>Section 96 amended</w:t>
      </w:r>
    </w:p>
    <w:p>
      <w:pPr>
        <w:pStyle w:val="nzSubsection"/>
      </w:pPr>
      <w:r>
        <w:tab/>
      </w:r>
      <w:r>
        <w:tab/>
        <w:t>In section 96(7):</w:t>
      </w:r>
    </w:p>
    <w:p>
      <w:pPr>
        <w:pStyle w:val="nzIndenta"/>
      </w:pPr>
      <w:r>
        <w:tab/>
        <w:t>(a)</w:t>
      </w:r>
      <w:r>
        <w:tab/>
        <w:t>delete “Despite section 37,” and insert:</w:t>
      </w:r>
    </w:p>
    <w:p>
      <w:pPr>
        <w:pStyle w:val="BlankOpen"/>
      </w:pPr>
    </w:p>
    <w:p>
      <w:pPr>
        <w:pStyle w:val="nzIndenta"/>
      </w:pPr>
      <w:r>
        <w:tab/>
      </w:r>
      <w:r>
        <w:tab/>
        <w:t>Subject to subsection (8),</w:t>
      </w:r>
    </w:p>
    <w:p>
      <w:pPr>
        <w:pStyle w:val="BlankClose"/>
      </w:pPr>
    </w:p>
    <w:p>
      <w:pPr>
        <w:pStyle w:val="nzIndenta"/>
      </w:pPr>
      <w:r>
        <w:tab/>
        <w:t>(b)</w:t>
      </w:r>
      <w:r>
        <w:tab/>
        <w:t>in paragraph (a) delete “in accordance with the regulations; and” and insert:</w:t>
      </w:r>
    </w:p>
    <w:p>
      <w:pPr>
        <w:pStyle w:val="BlankOpen"/>
      </w:pPr>
    </w:p>
    <w:p>
      <w:pPr>
        <w:pStyle w:val="nzIndenta"/>
      </w:pPr>
      <w:r>
        <w:tab/>
      </w:r>
      <w:r>
        <w:tab/>
        <w:t>under section 37; and</w:t>
      </w:r>
    </w:p>
    <w:p>
      <w:pPr>
        <w:pStyle w:val="BlankClose"/>
      </w:pPr>
    </w:p>
    <w:p>
      <w:pPr>
        <w:pStyle w:val="nzHeading5"/>
      </w:pPr>
      <w:r>
        <w:rPr>
          <w:rStyle w:val="CharSectno"/>
        </w:rPr>
        <w:t>24</w:t>
      </w:r>
      <w:r>
        <w:t>.</w:t>
      </w:r>
      <w:r>
        <w:tab/>
        <w:t>Section 100 amended</w:t>
      </w:r>
    </w:p>
    <w:p>
      <w:pPr>
        <w:pStyle w:val="nzSubsection"/>
      </w:pPr>
      <w:r>
        <w:tab/>
      </w:r>
      <w:r>
        <w:tab/>
        <w:t>Delete section 100(1) and insert:</w:t>
      </w:r>
    </w:p>
    <w:p>
      <w:pPr>
        <w:pStyle w:val="BlankOpen"/>
      </w:pPr>
    </w:p>
    <w:p>
      <w:pPr>
        <w:pStyle w:val="nzSubsection"/>
        <w:rPr>
          <w:snapToGrid w:val="0"/>
        </w:rPr>
      </w:pPr>
      <w:r>
        <w:tab/>
        <w:t>(1)</w:t>
      </w:r>
      <w:r>
        <w:tab/>
      </w:r>
      <w:r>
        <w:rPr>
          <w:snapToGrid w:val="0"/>
        </w:rPr>
        <w:t xml:space="preserve">Neither the State nor the port authority is liable for any loss or damage resulting from — </w:t>
      </w:r>
    </w:p>
    <w:p>
      <w:pPr>
        <w:pStyle w:val="nz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nz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BlankClose"/>
      </w:pPr>
    </w:p>
    <w:p>
      <w:pPr>
        <w:tabs>
          <w:tab w:val="left" w:pos="851"/>
        </w:tabs>
        <w:spacing w:before="120"/>
        <w:ind w:left="1418" w:hanging="1418"/>
        <w:rPr>
          <w:sz w:val="18"/>
        </w:rPr>
      </w:pPr>
      <w:r>
        <w:rPr>
          <w:rFonts w:ascii="Arial" w:hAnsi="Arial"/>
          <w:sz w:val="18"/>
        </w:rPr>
        <w:tab/>
        <w:t>Note:</w:t>
      </w:r>
      <w:r>
        <w:rPr>
          <w:rFonts w:ascii="Arial" w:hAnsi="Arial"/>
          <w:sz w:val="18"/>
        </w:rPr>
        <w:tab/>
        <w:t>The heading to amended section 100 is to read</w:t>
      </w:r>
      <w:r>
        <w:rPr>
          <w:sz w:val="18"/>
        </w:rPr>
        <w:t>:</w:t>
      </w:r>
    </w:p>
    <w:p>
      <w:pPr>
        <w:tabs>
          <w:tab w:val="left" w:pos="851"/>
        </w:tabs>
        <w:spacing w:before="120"/>
        <w:ind w:left="1418" w:hanging="1418"/>
        <w:rPr>
          <w:rFonts w:ascii="Arial" w:hAnsi="Arial"/>
          <w:b/>
          <w:snapToGrid w:val="0"/>
          <w:sz w:val="18"/>
        </w:rPr>
      </w:pPr>
      <w:r>
        <w:rPr>
          <w:sz w:val="18"/>
        </w:rPr>
        <w:tab/>
      </w:r>
      <w:r>
        <w:rPr>
          <w:sz w:val="18"/>
        </w:rPr>
        <w:tab/>
      </w:r>
      <w:r>
        <w:rPr>
          <w:rFonts w:ascii="Arial" w:hAnsi="Arial"/>
          <w:b/>
          <w:snapToGrid w:val="0"/>
          <w:sz w:val="18"/>
        </w:rPr>
        <w:t>Immunity from liability for negligent provision of pilotage services</w:t>
      </w:r>
    </w:p>
    <w:p>
      <w:pPr>
        <w:pStyle w:val="nzHeading5"/>
      </w:pPr>
      <w:r>
        <w:rPr>
          <w:rStyle w:val="CharSectno"/>
        </w:rPr>
        <w:t>25</w:t>
      </w:r>
      <w:r>
        <w:t>.</w:t>
      </w:r>
      <w:r>
        <w:tab/>
        <w:t>Section 113 amended</w:t>
      </w:r>
    </w:p>
    <w:p>
      <w:pPr>
        <w:pStyle w:val="nzSubsection"/>
      </w:pPr>
      <w:r>
        <w:tab/>
        <w:t>(1)</w:t>
      </w:r>
      <w:r>
        <w:tab/>
        <w:t>At the beginning of section 113 insert:</w:t>
      </w:r>
    </w:p>
    <w:p>
      <w:pPr>
        <w:pStyle w:val="BlankOpen"/>
      </w:pPr>
    </w:p>
    <w:p>
      <w:pPr>
        <w:pStyle w:val="nzSubsection"/>
      </w:pPr>
      <w:r>
        <w:tab/>
        <w:t>(1A)</w:t>
      </w:r>
      <w:r>
        <w:tab/>
        <w:t xml:space="preserve">In this section — </w:t>
      </w:r>
    </w:p>
    <w:p>
      <w:pPr>
        <w:pStyle w:val="nzDefstart"/>
      </w:pPr>
      <w:r>
        <w:tab/>
      </w:r>
      <w:r>
        <w:rPr>
          <w:rStyle w:val="CharDefText"/>
        </w:rPr>
        <w:t>prescribed thing</w:t>
      </w:r>
      <w:r>
        <w:t xml:space="preserve"> means — </w:t>
      </w:r>
    </w:p>
    <w:p>
      <w:pPr>
        <w:pStyle w:val="nzDefpara"/>
      </w:pPr>
      <w:r>
        <w:tab/>
        <w:t>(a)</w:t>
      </w:r>
      <w:r>
        <w:tab/>
        <w:t>any floating object; or</w:t>
      </w:r>
    </w:p>
    <w:p>
      <w:pPr>
        <w:pStyle w:val="nzDefpara"/>
      </w:pPr>
      <w:r>
        <w:tab/>
        <w:t>(b)</w:t>
      </w:r>
      <w:r>
        <w:tab/>
        <w:t>any material, product or substance (whether solid, liquid or gas); or</w:t>
      </w:r>
    </w:p>
    <w:p>
      <w:pPr>
        <w:pStyle w:val="nzDefpara"/>
      </w:pPr>
      <w:r>
        <w:tab/>
        <w:t>(c)</w:t>
      </w:r>
      <w:r>
        <w:tab/>
        <w:t>any vehicle, plant, machinery, equipment or infrastructure.</w:t>
      </w:r>
    </w:p>
    <w:p>
      <w:pPr>
        <w:pStyle w:val="BlankClose"/>
      </w:pPr>
    </w:p>
    <w:p>
      <w:pPr>
        <w:pStyle w:val="nzSubsection"/>
      </w:pPr>
      <w:r>
        <w:tab/>
        <w:t>(2)</w:t>
      </w:r>
      <w:r>
        <w:tab/>
        <w:t>In section 113(1) delete paragraphs (b), (c) and (d) and insert:</w:t>
      </w:r>
    </w:p>
    <w:p>
      <w:pPr>
        <w:pStyle w:val="BlankOpen"/>
      </w:pPr>
    </w:p>
    <w:p>
      <w:pPr>
        <w:pStyle w:val="nzIndenta"/>
      </w:pPr>
      <w:r>
        <w:tab/>
        <w:t>(b)</w:t>
      </w:r>
      <w:r>
        <w:tab/>
        <w:t>a prescribed thing; or</w:t>
      </w:r>
    </w:p>
    <w:p>
      <w:pPr>
        <w:pStyle w:val="nzIndenta"/>
        <w:rPr>
          <w:snapToGrid w:val="0"/>
        </w:rPr>
      </w:pPr>
      <w:r>
        <w:tab/>
        <w:t>(c)</w:t>
      </w:r>
      <w:r>
        <w:tab/>
        <w:t xml:space="preserve">any person employed in, on or in relation to, a </w:t>
      </w:r>
      <w:r>
        <w:rPr>
          <w:snapToGrid w:val="0"/>
        </w:rPr>
        <w:t>vessel, or its equipment or cargo, or a prescribed thing.</w:t>
      </w:r>
    </w:p>
    <w:p>
      <w:pPr>
        <w:pStyle w:val="BlankClose"/>
      </w:pPr>
    </w:p>
    <w:p>
      <w:pPr>
        <w:pStyle w:val="nzSubsection"/>
        <w:rPr>
          <w:snapToGrid w:val="0"/>
        </w:rPr>
      </w:pPr>
      <w:r>
        <w:tab/>
        <w:t>(3)</w:t>
      </w:r>
      <w:r>
        <w:tab/>
        <w:t>In section 113(2) delete “</w:t>
      </w:r>
      <w:r>
        <w:rPr>
          <w:snapToGrid w:val="0"/>
        </w:rPr>
        <w:t>vessel, floating object or material” and insert:</w:t>
      </w:r>
    </w:p>
    <w:p>
      <w:pPr>
        <w:pStyle w:val="BlankOpen"/>
        <w:rPr>
          <w:snapToGrid w:val="0"/>
        </w:rPr>
      </w:pPr>
    </w:p>
    <w:p>
      <w:pPr>
        <w:pStyle w:val="nzSubsection"/>
        <w:rPr>
          <w:snapToGrid w:val="0"/>
        </w:rPr>
      </w:pPr>
      <w:r>
        <w:rPr>
          <w:snapToGrid w:val="0"/>
        </w:rPr>
        <w:tab/>
      </w:r>
      <w:r>
        <w:rPr>
          <w:snapToGrid w:val="0"/>
        </w:rPr>
        <w:tab/>
        <w:t>vessel or prescribed thing</w:t>
      </w:r>
    </w:p>
    <w:p>
      <w:pPr>
        <w:pStyle w:val="BlankClose"/>
      </w:pPr>
    </w:p>
    <w:p>
      <w:pPr>
        <w:pStyle w:val="nzSubsection"/>
        <w:rPr>
          <w:snapToGrid w:val="0"/>
        </w:rPr>
      </w:pPr>
      <w:r>
        <w:tab/>
        <w:t>(4)</w:t>
      </w:r>
      <w:r>
        <w:tab/>
        <w:t>In section 113(3) delete “</w:t>
      </w:r>
      <w:r>
        <w:rPr>
          <w:snapToGrid w:val="0"/>
        </w:rPr>
        <w:t>of the floating object or the material,” and insert:</w:t>
      </w:r>
    </w:p>
    <w:p>
      <w:pPr>
        <w:pStyle w:val="BlankOpen"/>
        <w:rPr>
          <w:snapToGrid w:val="0"/>
        </w:rPr>
      </w:pPr>
    </w:p>
    <w:p>
      <w:pPr>
        <w:pStyle w:val="nzSubsection"/>
        <w:rPr>
          <w:snapToGrid w:val="0"/>
        </w:rPr>
      </w:pPr>
      <w:r>
        <w:rPr>
          <w:snapToGrid w:val="0"/>
        </w:rPr>
        <w:tab/>
      </w:r>
      <w:r>
        <w:rPr>
          <w:snapToGrid w:val="0"/>
        </w:rPr>
        <w:tab/>
        <w:t>or control of the prescribed thing,</w:t>
      </w:r>
    </w:p>
    <w:p>
      <w:pPr>
        <w:pStyle w:val="BlankClose"/>
      </w:pPr>
    </w:p>
    <w:p>
      <w:pPr>
        <w:pStyle w:val="nzSubsection"/>
      </w:pPr>
      <w:r>
        <w:tab/>
        <w:t>(5)</w:t>
      </w:r>
      <w:r>
        <w:tab/>
        <w:t>In section 113(5) delete “</w:t>
      </w:r>
      <w:r>
        <w:rPr>
          <w:snapToGrid w:val="0"/>
        </w:rPr>
        <w:t xml:space="preserve">vessel, floating object or material —” </w:t>
      </w:r>
      <w:r>
        <w:t>and insert:</w:t>
      </w:r>
    </w:p>
    <w:p>
      <w:pPr>
        <w:pStyle w:val="BlankOpen"/>
        <w:rPr>
          <w:snapToGrid w:val="0"/>
        </w:rPr>
      </w:pPr>
    </w:p>
    <w:p>
      <w:pPr>
        <w:pStyle w:val="nzSubsection"/>
        <w:rPr>
          <w:snapToGrid w:val="0"/>
        </w:rPr>
      </w:pPr>
      <w:r>
        <w:rPr>
          <w:snapToGrid w:val="0"/>
        </w:rPr>
        <w:tab/>
      </w:r>
      <w:r>
        <w:rPr>
          <w:snapToGrid w:val="0"/>
        </w:rPr>
        <w:tab/>
        <w:t xml:space="preserve">vessel or prescribed thing — </w:t>
      </w:r>
    </w:p>
    <w:p>
      <w:pPr>
        <w:pStyle w:val="BlankClose"/>
      </w:pPr>
    </w:p>
    <w:p>
      <w:pPr>
        <w:pStyle w:val="nzHeading5"/>
      </w:pPr>
      <w:r>
        <w:rPr>
          <w:rStyle w:val="CharSectno"/>
        </w:rPr>
        <w:t>26</w:t>
      </w:r>
      <w:r>
        <w:t>.</w:t>
      </w:r>
      <w:r>
        <w:tab/>
        <w:t>Section 114EA inserted</w:t>
      </w:r>
    </w:p>
    <w:p>
      <w:pPr>
        <w:pStyle w:val="nzSubsection"/>
      </w:pPr>
      <w:r>
        <w:tab/>
      </w:r>
      <w:r>
        <w:tab/>
        <w:t>After section 114D insert:</w:t>
      </w:r>
    </w:p>
    <w:p>
      <w:pPr>
        <w:pStyle w:val="BlankOpen"/>
      </w:pPr>
    </w:p>
    <w:p>
      <w:pPr>
        <w:pStyle w:val="nzHeading5"/>
      </w:pPr>
      <w:r>
        <w:t>114EA.</w:t>
      </w:r>
      <w:r>
        <w:tab/>
        <w:t>Immunity from liability for acts or omissions of port users</w:t>
      </w:r>
    </w:p>
    <w:p>
      <w:pPr>
        <w:pStyle w:val="nzSubsection"/>
      </w:pPr>
      <w:r>
        <w:tab/>
        <w:t>(1)</w:t>
      </w:r>
      <w:r>
        <w:tab/>
        <w:t>A port authority is not liable for any loss or damage resulting from an act or omission of a person who is, or is acting on behalf of, a user of its port.</w:t>
      </w:r>
    </w:p>
    <w:p>
      <w:pPr>
        <w:pStyle w:val="nzSubsection"/>
      </w:pPr>
      <w:r>
        <w:tab/>
        <w:t>(2)</w:t>
      </w:r>
      <w:r>
        <w:tab/>
        <w:t>Subsection (1) does not affect any liability a port authority might have for breach of contract.</w:t>
      </w:r>
    </w:p>
    <w:p>
      <w:pPr>
        <w:pStyle w:val="BlankClose"/>
      </w:pPr>
    </w:p>
    <w:p>
      <w:pPr>
        <w:pStyle w:val="nzHeading5"/>
      </w:pPr>
      <w:r>
        <w:rPr>
          <w:rStyle w:val="CharSectno"/>
        </w:rPr>
        <w:t>27</w:t>
      </w:r>
      <w:r>
        <w:t>.</w:t>
      </w:r>
      <w:r>
        <w:tab/>
        <w:t>Section 133 amended</w:t>
      </w:r>
    </w:p>
    <w:p>
      <w:pPr>
        <w:pStyle w:val="nzSubsection"/>
      </w:pPr>
      <w:r>
        <w:tab/>
      </w:r>
      <w:r>
        <w:tab/>
        <w:t>In section 133(1)(a) delete “84(5)” and insert:</w:t>
      </w:r>
    </w:p>
    <w:p>
      <w:pPr>
        <w:pStyle w:val="BlankOpen"/>
      </w:pPr>
    </w:p>
    <w:p>
      <w:pPr>
        <w:pStyle w:val="nzSubsection"/>
      </w:pPr>
      <w:r>
        <w:tab/>
      </w:r>
      <w:r>
        <w:tab/>
        <w:t>84(9)</w:t>
      </w:r>
    </w:p>
    <w:p>
      <w:pPr>
        <w:pStyle w:val="BlankClose"/>
      </w:pPr>
    </w:p>
    <w:p>
      <w:pPr>
        <w:pStyle w:val="nzHeading5"/>
      </w:pPr>
      <w:r>
        <w:rPr>
          <w:rStyle w:val="CharSectno"/>
        </w:rPr>
        <w:t>28</w:t>
      </w:r>
      <w:r>
        <w:t>.</w:t>
      </w:r>
      <w:r>
        <w:tab/>
        <w:t>Section 138 replaced</w:t>
      </w:r>
    </w:p>
    <w:p>
      <w:pPr>
        <w:pStyle w:val="nzSubsection"/>
      </w:pPr>
      <w:r>
        <w:tab/>
        <w:t>(2)</w:t>
      </w:r>
      <w:r>
        <w:tab/>
        <w:t>In section 138 as inserted by subsection (1):</w:t>
      </w:r>
    </w:p>
    <w:p>
      <w:pPr>
        <w:pStyle w:val="nzIndenta"/>
      </w:pPr>
      <w:r>
        <w:tab/>
        <w:t>(a)</w:t>
      </w:r>
      <w:r>
        <w:tab/>
        <w:t>in paragraph (b) delete “clause 45.” and insert:</w:t>
      </w:r>
    </w:p>
    <w:p>
      <w:pPr>
        <w:pStyle w:val="BlankOpen"/>
      </w:pPr>
    </w:p>
    <w:p>
      <w:pPr>
        <w:pStyle w:val="nzIndenta"/>
      </w:pPr>
      <w:r>
        <w:tab/>
      </w:r>
      <w:r>
        <w:tab/>
        <w:t>clause 45; or</w:t>
      </w:r>
    </w:p>
    <w:p>
      <w:pPr>
        <w:pStyle w:val="BlankClose"/>
      </w:pPr>
    </w:p>
    <w:p>
      <w:pPr>
        <w:pStyle w:val="nzIndenta"/>
      </w:pPr>
      <w:r>
        <w:tab/>
        <w:t>(b)</w:t>
      </w:r>
      <w:r>
        <w:tab/>
        <w:t>after paragraph (b) insert:</w:t>
      </w:r>
    </w:p>
    <w:p>
      <w:pPr>
        <w:pStyle w:val="BlankOpen"/>
      </w:pPr>
    </w:p>
    <w:p>
      <w:pPr>
        <w:pStyle w:val="nzIndenta"/>
      </w:pPr>
      <w:r>
        <w:tab/>
        <w:t>(c)</w:t>
      </w:r>
      <w:r>
        <w:tab/>
        <w:t>Schedule 9 or regulations referred to in Schedule 9.</w:t>
      </w:r>
    </w:p>
    <w:p>
      <w:pPr>
        <w:pStyle w:val="BlankClose"/>
      </w:pPr>
    </w:p>
    <w:p>
      <w:pPr>
        <w:pStyle w:val="nzHeading5"/>
      </w:pPr>
      <w:r>
        <w:rPr>
          <w:rStyle w:val="CharSectno"/>
        </w:rPr>
        <w:t>31</w:t>
      </w:r>
      <w:r>
        <w:t>.</w:t>
      </w:r>
      <w:r>
        <w:tab/>
        <w:t>Schedule 1 amended</w:t>
      </w:r>
    </w:p>
    <w:p>
      <w:pPr>
        <w:pStyle w:val="nzSubsection"/>
      </w:pPr>
      <w:r>
        <w:tab/>
        <w:t>(1)</w:t>
      </w:r>
      <w:r>
        <w:tab/>
        <w:t>In Schedule 1:</w:t>
      </w:r>
    </w:p>
    <w:p>
      <w:pPr>
        <w:pStyle w:val="nzIndenta"/>
      </w:pPr>
      <w:r>
        <w:tab/>
        <w:t>(a)</w:t>
      </w:r>
      <w:r>
        <w:tab/>
        <w:t>in item 3 column 2 delete “</w:t>
      </w:r>
      <w:r>
        <w:rPr>
          <w:sz w:val="22"/>
          <w:szCs w:val="22"/>
        </w:rPr>
        <w:t>Bunbury Port Authority</w:t>
      </w:r>
      <w:r>
        <w:t>” and insert:</w:t>
      </w:r>
    </w:p>
    <w:p>
      <w:pPr>
        <w:pStyle w:val="BlankOpen"/>
      </w:pPr>
    </w:p>
    <w:p>
      <w:pPr>
        <w:pStyle w:val="nzIndenta"/>
      </w:pPr>
      <w:r>
        <w:rPr>
          <w:sz w:val="22"/>
          <w:szCs w:val="22"/>
        </w:rPr>
        <w:tab/>
      </w:r>
      <w:r>
        <w:rPr>
          <w:sz w:val="22"/>
          <w:szCs w:val="22"/>
        </w:rPr>
        <w:tab/>
        <w:t>Southern Ports Authority</w:t>
      </w:r>
    </w:p>
    <w:p>
      <w:pPr>
        <w:pStyle w:val="BlankClose"/>
      </w:pPr>
    </w:p>
    <w:p>
      <w:pPr>
        <w:pStyle w:val="nzIndenta"/>
      </w:pPr>
      <w:r>
        <w:tab/>
        <w:t>(b)</w:t>
      </w:r>
      <w:r>
        <w:tab/>
        <w:t>in item 3 column 3 above “</w:t>
      </w:r>
      <w:r>
        <w:rPr>
          <w:sz w:val="22"/>
          <w:szCs w:val="22"/>
        </w:rPr>
        <w:t>Port of Bunbury</w:t>
      </w:r>
      <w:r>
        <w:t>” insert:</w:t>
      </w:r>
    </w:p>
    <w:p>
      <w:pPr>
        <w:pStyle w:val="BlankOpen"/>
      </w:pPr>
    </w:p>
    <w:p>
      <w:pPr>
        <w:pStyle w:val="nzIndenta"/>
      </w:pPr>
      <w:r>
        <w:rPr>
          <w:sz w:val="22"/>
          <w:szCs w:val="22"/>
        </w:rPr>
        <w:tab/>
      </w:r>
      <w:r>
        <w:rPr>
          <w:sz w:val="22"/>
          <w:szCs w:val="22"/>
        </w:rPr>
        <w:tab/>
        <w:t>Port of Albany</w:t>
      </w:r>
    </w:p>
    <w:p>
      <w:pPr>
        <w:pStyle w:val="BlankClose"/>
      </w:pPr>
    </w:p>
    <w:p>
      <w:pPr>
        <w:pStyle w:val="nzIndenta"/>
      </w:pPr>
      <w:r>
        <w:tab/>
        <w:t>(c)</w:t>
      </w:r>
      <w:r>
        <w:tab/>
        <w:t>in item 3 column 3 below “</w:t>
      </w:r>
      <w:r>
        <w:rPr>
          <w:sz w:val="22"/>
          <w:szCs w:val="22"/>
        </w:rPr>
        <w:t>Port of Bunbury</w:t>
      </w:r>
      <w:r>
        <w:t>” insert:</w:t>
      </w:r>
    </w:p>
    <w:p>
      <w:pPr>
        <w:pStyle w:val="BlankOpen"/>
      </w:pPr>
    </w:p>
    <w:p>
      <w:pPr>
        <w:pStyle w:val="nzIndenta"/>
      </w:pPr>
      <w:r>
        <w:rPr>
          <w:sz w:val="22"/>
          <w:szCs w:val="22"/>
        </w:rPr>
        <w:tab/>
      </w:r>
      <w:r>
        <w:rPr>
          <w:sz w:val="22"/>
          <w:szCs w:val="22"/>
        </w:rPr>
        <w:tab/>
        <w:t>Port of Esperance</w:t>
      </w:r>
    </w:p>
    <w:p>
      <w:pPr>
        <w:pStyle w:val="BlankClose"/>
      </w:pPr>
    </w:p>
    <w:p>
      <w:pPr>
        <w:pStyle w:val="nzIndenta"/>
      </w:pPr>
      <w:r>
        <w:tab/>
        <w:t>(d)</w:t>
      </w:r>
      <w:r>
        <w:tab/>
        <w:t>delete items 2 and 4.</w:t>
      </w:r>
    </w:p>
    <w:p>
      <w:pPr>
        <w:pStyle w:val="nzSubsection"/>
      </w:pPr>
      <w:r>
        <w:tab/>
        <w:t>(2)</w:t>
      </w:r>
      <w:r>
        <w:tab/>
        <w:t>In Schedule 1 item 5 column 2 delete “</w:t>
      </w:r>
      <w:r>
        <w:rPr>
          <w:sz w:val="22"/>
          <w:szCs w:val="22"/>
        </w:rPr>
        <w:t>Geraldton Port Authority</w:t>
      </w:r>
      <w:r>
        <w:t>” and insert:</w:t>
      </w:r>
    </w:p>
    <w:p>
      <w:pPr>
        <w:pStyle w:val="BlankOpen"/>
      </w:pPr>
    </w:p>
    <w:p>
      <w:pPr>
        <w:pStyle w:val="nzSubsection"/>
      </w:pPr>
      <w:r>
        <w:rPr>
          <w:sz w:val="22"/>
          <w:szCs w:val="22"/>
        </w:rPr>
        <w:tab/>
      </w:r>
      <w:r>
        <w:rPr>
          <w:sz w:val="22"/>
          <w:szCs w:val="22"/>
        </w:rPr>
        <w:tab/>
        <w:t>Mid West Ports Authority</w:t>
      </w:r>
    </w:p>
    <w:p>
      <w:pPr>
        <w:pStyle w:val="BlankClose"/>
        <w:keepNext/>
      </w:pPr>
    </w:p>
    <w:p>
      <w:pPr>
        <w:pStyle w:val="nzSubsection"/>
      </w:pPr>
      <w:r>
        <w:tab/>
        <w:t>(3)</w:t>
      </w:r>
      <w:r>
        <w:tab/>
        <w:t>In Schedule 1:</w:t>
      </w:r>
    </w:p>
    <w:p>
      <w:pPr>
        <w:pStyle w:val="nzIndenta"/>
      </w:pPr>
      <w:r>
        <w:tab/>
        <w:t>(a)</w:t>
      </w:r>
      <w:r>
        <w:tab/>
        <w:t>delete item 6;</w:t>
      </w:r>
    </w:p>
    <w:p>
      <w:pPr>
        <w:pStyle w:val="nzIndenta"/>
      </w:pPr>
      <w:r>
        <w:tab/>
        <w:t>(b)</w:t>
      </w:r>
      <w:r>
        <w:tab/>
        <w:t>in item 7 column 2 delete “</w:t>
      </w:r>
      <w:r>
        <w:rPr>
          <w:sz w:val="22"/>
          <w:szCs w:val="22"/>
        </w:rPr>
        <w:t>Port Hedland Port Authority</w:t>
      </w:r>
      <w:r>
        <w:t>” and insert:</w:t>
      </w:r>
    </w:p>
    <w:p>
      <w:pPr>
        <w:pStyle w:val="BlankOpen"/>
      </w:pPr>
    </w:p>
    <w:p>
      <w:pPr>
        <w:pStyle w:val="nzIndenta"/>
      </w:pPr>
      <w:r>
        <w:rPr>
          <w:sz w:val="22"/>
          <w:szCs w:val="22"/>
        </w:rPr>
        <w:tab/>
      </w:r>
      <w:r>
        <w:rPr>
          <w:sz w:val="22"/>
          <w:szCs w:val="22"/>
        </w:rPr>
        <w:tab/>
        <w:t>Pilbara Ports Authority</w:t>
      </w:r>
    </w:p>
    <w:p>
      <w:pPr>
        <w:pStyle w:val="BlankClose"/>
      </w:pPr>
    </w:p>
    <w:p>
      <w:pPr>
        <w:pStyle w:val="nzIndenta"/>
      </w:pPr>
      <w:r>
        <w:tab/>
        <w:t>(c)</w:t>
      </w:r>
      <w:r>
        <w:tab/>
        <w:t>in item 7 column 3 above “</w:t>
      </w:r>
      <w:r>
        <w:rPr>
          <w:sz w:val="22"/>
          <w:szCs w:val="22"/>
        </w:rPr>
        <w:t>Port of Port Hedland</w:t>
      </w:r>
      <w:r>
        <w:t>” insert:</w:t>
      </w:r>
    </w:p>
    <w:p>
      <w:pPr>
        <w:pStyle w:val="BlankOpen"/>
      </w:pPr>
    </w:p>
    <w:p>
      <w:pPr>
        <w:pStyle w:val="nzIndenta"/>
      </w:pPr>
      <w:r>
        <w:rPr>
          <w:sz w:val="22"/>
          <w:szCs w:val="22"/>
        </w:rPr>
        <w:tab/>
      </w:r>
      <w:r>
        <w:rPr>
          <w:sz w:val="22"/>
          <w:szCs w:val="22"/>
        </w:rPr>
        <w:tab/>
        <w:t>Port of Ashburton</w:t>
      </w:r>
    </w:p>
    <w:p>
      <w:pPr>
        <w:pStyle w:val="nzIndenta"/>
        <w:rPr>
          <w:sz w:val="22"/>
          <w:szCs w:val="22"/>
        </w:rPr>
      </w:pPr>
      <w:r>
        <w:tab/>
      </w:r>
      <w:r>
        <w:tab/>
      </w:r>
      <w:r>
        <w:rPr>
          <w:sz w:val="22"/>
          <w:szCs w:val="22"/>
        </w:rPr>
        <w:t>Port of Dampier</w:t>
      </w:r>
    </w:p>
    <w:p>
      <w:pPr>
        <w:pStyle w:val="BlankClose"/>
      </w:pPr>
    </w:p>
    <w:p>
      <w:pPr>
        <w:pStyle w:val="nzSubsection"/>
      </w:pPr>
      <w:r>
        <w:tab/>
        <w:t>(4)</w:t>
      </w:r>
      <w:r>
        <w:tab/>
        <w:t>In Schedule 1 item 8 column 2 delete “</w:t>
      </w:r>
      <w:r>
        <w:rPr>
          <w:sz w:val="22"/>
          <w:szCs w:val="22"/>
        </w:rPr>
        <w:t>Broome Port Authority</w:t>
      </w:r>
      <w:r>
        <w:t>” and insert:</w:t>
      </w:r>
    </w:p>
    <w:p>
      <w:pPr>
        <w:pStyle w:val="BlankOpen"/>
      </w:pPr>
    </w:p>
    <w:p>
      <w:pPr>
        <w:pStyle w:val="nzSubsection"/>
        <w:rPr>
          <w:sz w:val="22"/>
          <w:szCs w:val="22"/>
        </w:rPr>
      </w:pPr>
      <w:r>
        <w:rPr>
          <w:sz w:val="22"/>
          <w:szCs w:val="22"/>
        </w:rPr>
        <w:tab/>
      </w:r>
      <w:r>
        <w:rPr>
          <w:sz w:val="22"/>
          <w:szCs w:val="22"/>
        </w:rPr>
        <w:tab/>
        <w:t>Kimberley Ports Authority</w:t>
      </w:r>
    </w:p>
    <w:p>
      <w:pPr>
        <w:pStyle w:val="BlankClose"/>
      </w:pPr>
    </w:p>
    <w:p>
      <w:pPr>
        <w:pStyle w:val="nzHeading5"/>
      </w:pPr>
      <w:r>
        <w:rPr>
          <w:rStyle w:val="CharSectno"/>
        </w:rPr>
        <w:t>33</w:t>
      </w:r>
      <w:r>
        <w:t>.</w:t>
      </w:r>
      <w:r>
        <w:tab/>
        <w:t>Schedule 6 amended</w:t>
      </w:r>
    </w:p>
    <w:p>
      <w:pPr>
        <w:pStyle w:val="nzSubsection"/>
      </w:pPr>
      <w:r>
        <w:tab/>
        <w:t>(1)</w:t>
      </w:r>
      <w:r>
        <w:tab/>
        <w:t>In Schedule 6 clause 1.2 delete the definitions of:</w:t>
      </w:r>
    </w:p>
    <w:p>
      <w:pPr>
        <w:pStyle w:val="DeleteListSub"/>
        <w:rPr>
          <w:b/>
          <w:i/>
          <w:sz w:val="22"/>
          <w:szCs w:val="22"/>
        </w:rPr>
      </w:pPr>
      <w:r>
        <w:rPr>
          <w:b/>
          <w:i/>
          <w:sz w:val="22"/>
          <w:szCs w:val="22"/>
        </w:rPr>
        <w:t>Company appointee</w:t>
      </w:r>
    </w:p>
    <w:p>
      <w:pPr>
        <w:pStyle w:val="DeleteListSub"/>
        <w:rPr>
          <w:b/>
          <w:i/>
          <w:sz w:val="22"/>
          <w:szCs w:val="22"/>
        </w:rPr>
      </w:pPr>
      <w:r>
        <w:rPr>
          <w:b/>
          <w:i/>
          <w:sz w:val="22"/>
          <w:szCs w:val="22"/>
        </w:rPr>
        <w:t>Joint Venturers appointee</w:t>
      </w:r>
    </w:p>
    <w:p>
      <w:pPr>
        <w:pStyle w:val="DeleteListSub"/>
        <w:rPr>
          <w:b/>
          <w:i/>
          <w:sz w:val="22"/>
          <w:szCs w:val="22"/>
        </w:rPr>
      </w:pPr>
      <w:r>
        <w:rPr>
          <w:b/>
          <w:i/>
          <w:sz w:val="22"/>
          <w:szCs w:val="22"/>
        </w:rPr>
        <w:t>Ministerial appointee</w:t>
      </w:r>
    </w:p>
    <w:p>
      <w:pPr>
        <w:pStyle w:val="nzSubsection"/>
      </w:pPr>
      <w:r>
        <w:tab/>
        <w:t>(2)</w:t>
      </w:r>
      <w:r>
        <w:tab/>
        <w:t>Delete Schedule 6 clauses 1.4 to 1.7.</w:t>
      </w:r>
    </w:p>
    <w:p>
      <w:pPr>
        <w:pStyle w:val="nzSubsection"/>
      </w:pPr>
      <w:r>
        <w:tab/>
        <w:t>(3)</w:t>
      </w:r>
      <w:r>
        <w:tab/>
        <w:t>Delete Schedule 6 clauses 2.2 and 2.4 to 2.7.</w:t>
      </w:r>
    </w:p>
    <w:p>
      <w:pPr>
        <w:pStyle w:val="nzHeading5"/>
      </w:pPr>
      <w:r>
        <w:rPr>
          <w:rStyle w:val="CharSectno"/>
        </w:rPr>
        <w:t>34</w:t>
      </w:r>
      <w:r>
        <w:t>.</w:t>
      </w:r>
      <w:r>
        <w:tab/>
        <w:t>Schedule 6 further amended</w:t>
      </w:r>
    </w:p>
    <w:p>
      <w:pPr>
        <w:pStyle w:val="nzSubsection"/>
      </w:pPr>
      <w:r>
        <w:tab/>
        <w:t>(1)</w:t>
      </w:r>
      <w:r>
        <w:tab/>
        <w:t>In the heading to Schedule 6 delete “</w:t>
      </w:r>
      <w:r>
        <w:rPr>
          <w:b/>
          <w:sz w:val="28"/>
          <w:szCs w:val="28"/>
        </w:rPr>
        <w:t>particular port authorities</w:t>
      </w:r>
      <w:r>
        <w:t>” and insert:</w:t>
      </w:r>
    </w:p>
    <w:p>
      <w:pPr>
        <w:pStyle w:val="BlankOpen"/>
      </w:pPr>
    </w:p>
    <w:p>
      <w:pPr>
        <w:pStyle w:val="nzSubsection"/>
      </w:pPr>
      <w:r>
        <w:tab/>
      </w:r>
      <w:r>
        <w:tab/>
      </w:r>
      <w:r>
        <w:rPr>
          <w:b/>
          <w:sz w:val="28"/>
          <w:szCs w:val="28"/>
        </w:rPr>
        <w:t>Pilbara Ports Authority</w:t>
      </w:r>
    </w:p>
    <w:p>
      <w:pPr>
        <w:pStyle w:val="BlankClose"/>
      </w:pPr>
    </w:p>
    <w:p>
      <w:pPr>
        <w:pStyle w:val="nzSubsection"/>
      </w:pPr>
      <w:r>
        <w:tab/>
        <w:t>(2)</w:t>
      </w:r>
      <w:r>
        <w:tab/>
        <w:t>In the heading to Schedule 6 Division 1 delete “</w:t>
      </w:r>
      <w:r>
        <w:rPr>
          <w:b/>
        </w:rPr>
        <w:t>Dampier Port Authority</w:t>
      </w:r>
      <w:r>
        <w:t>” and insert:</w:t>
      </w:r>
    </w:p>
    <w:p>
      <w:pPr>
        <w:pStyle w:val="BlankOpen"/>
      </w:pPr>
    </w:p>
    <w:p>
      <w:pPr>
        <w:pStyle w:val="nzSubsection"/>
      </w:pPr>
      <w:r>
        <w:tab/>
      </w:r>
      <w:r>
        <w:tab/>
      </w:r>
      <w:r>
        <w:rPr>
          <w:b/>
        </w:rPr>
        <w:t>Port of Dampier</w:t>
      </w:r>
    </w:p>
    <w:p>
      <w:pPr>
        <w:pStyle w:val="BlankClose"/>
        <w:keepNext/>
      </w:pPr>
    </w:p>
    <w:p>
      <w:pPr>
        <w:pStyle w:val="nzSubsection"/>
      </w:pPr>
      <w:r>
        <w:tab/>
        <w:t>(3)</w:t>
      </w:r>
      <w:r>
        <w:tab/>
        <w:t>In Schedule 6 clause 1.1 delete “</w:t>
      </w:r>
      <w:r>
        <w:rPr>
          <w:snapToGrid w:val="0"/>
          <w:sz w:val="22"/>
          <w:szCs w:val="22"/>
        </w:rPr>
        <w:t>Dampier Port</w:t>
      </w:r>
      <w:r>
        <w:t>” and insert:</w:t>
      </w:r>
    </w:p>
    <w:p>
      <w:pPr>
        <w:pStyle w:val="BlankOpen"/>
        <w:widowControl w:val="0"/>
      </w:pPr>
    </w:p>
    <w:p>
      <w:pPr>
        <w:pStyle w:val="nzSubsection"/>
      </w:pPr>
      <w:r>
        <w:tab/>
      </w:r>
      <w:r>
        <w:tab/>
      </w:r>
      <w:r>
        <w:rPr>
          <w:sz w:val="22"/>
          <w:szCs w:val="22"/>
        </w:rPr>
        <w:t>Pilbara Ports</w:t>
      </w:r>
    </w:p>
    <w:p>
      <w:pPr>
        <w:pStyle w:val="BlankClose"/>
        <w:keepNext/>
        <w:widowControl w:val="0"/>
      </w:pPr>
    </w:p>
    <w:p>
      <w:pPr>
        <w:pStyle w:val="nzSubsection"/>
      </w:pPr>
      <w:r>
        <w:tab/>
        <w:t>(4)</w:t>
      </w:r>
      <w:r>
        <w:tab/>
        <w:t>In the heading to Schedule 6 Division 2 delete “</w:t>
      </w:r>
      <w:r>
        <w:rPr>
          <w:b/>
        </w:rPr>
        <w:t>Port Hedland Port Authority</w:t>
      </w:r>
      <w:r>
        <w:t>” and insert:</w:t>
      </w:r>
    </w:p>
    <w:p>
      <w:pPr>
        <w:pStyle w:val="BlankOpen"/>
      </w:pPr>
    </w:p>
    <w:p>
      <w:pPr>
        <w:pStyle w:val="nzSubsection"/>
      </w:pPr>
      <w:r>
        <w:tab/>
      </w:r>
      <w:r>
        <w:tab/>
      </w:r>
      <w:r>
        <w:rPr>
          <w:b/>
        </w:rPr>
        <w:t>Port of Port Hedland</w:t>
      </w:r>
    </w:p>
    <w:p>
      <w:pPr>
        <w:pStyle w:val="BlankClose"/>
      </w:pPr>
    </w:p>
    <w:p>
      <w:pPr>
        <w:pStyle w:val="nzSubsection"/>
      </w:pPr>
      <w:r>
        <w:tab/>
        <w:t>(5)</w:t>
      </w:r>
      <w:r>
        <w:tab/>
        <w:t>In Schedule 6 clause 2.1 delete “</w:t>
      </w:r>
      <w:r>
        <w:rPr>
          <w:snapToGrid w:val="0"/>
          <w:sz w:val="22"/>
          <w:szCs w:val="22"/>
        </w:rPr>
        <w:t>Port Hedland Port</w:t>
      </w:r>
      <w:r>
        <w:t>” and insert:</w:t>
      </w:r>
    </w:p>
    <w:p>
      <w:pPr>
        <w:pStyle w:val="BlankOpen"/>
      </w:pPr>
    </w:p>
    <w:p>
      <w:pPr>
        <w:pStyle w:val="nzSubsection"/>
      </w:pPr>
      <w:r>
        <w:tab/>
      </w:r>
      <w:r>
        <w:tab/>
      </w:r>
      <w:r>
        <w:rPr>
          <w:sz w:val="22"/>
          <w:szCs w:val="22"/>
        </w:rPr>
        <w:t>Pilbara Ports</w:t>
      </w:r>
    </w:p>
    <w:p>
      <w:pPr>
        <w:pStyle w:val="BlankClose"/>
      </w:pPr>
    </w:p>
    <w:p>
      <w:pPr>
        <w:pStyle w:val="nzHeading5"/>
      </w:pPr>
      <w:r>
        <w:rPr>
          <w:rStyle w:val="CharSectno"/>
        </w:rPr>
        <w:t>36</w:t>
      </w:r>
      <w:r>
        <w:t>.</w:t>
      </w:r>
      <w:r>
        <w:tab/>
        <w:t>Schedule 9 inserted</w:t>
      </w:r>
    </w:p>
    <w:p>
      <w:pPr>
        <w:pStyle w:val="nzSubsection"/>
      </w:pPr>
      <w:r>
        <w:tab/>
      </w:r>
      <w:r>
        <w:tab/>
        <w:t>After the last Schedule insert:</w:t>
      </w:r>
    </w:p>
    <w:p>
      <w:pPr>
        <w:pStyle w:val="BlankOpen"/>
      </w:pPr>
    </w:p>
    <w:p>
      <w:pPr>
        <w:pStyle w:val="nzHeading2"/>
      </w:pPr>
      <w:r>
        <w:t xml:space="preserve">Schedule 9 — Placing additional ports under a port authority’s control and management </w:t>
      </w:r>
    </w:p>
    <w:p>
      <w:pPr>
        <w:pStyle w:val="nzMiscellaneousBody"/>
        <w:jc w:val="right"/>
      </w:pPr>
      <w:r>
        <w:t>[s. 4(2A)(b)]</w:t>
      </w:r>
    </w:p>
    <w:p>
      <w:pPr>
        <w:pStyle w:val="nzHeading5"/>
      </w:pPr>
      <w:r>
        <w:t>1.</w:t>
      </w:r>
      <w:r>
        <w:tab/>
        <w:t>Terms used</w:t>
      </w:r>
    </w:p>
    <w:p>
      <w:pPr>
        <w:pStyle w:val="nzSubsection"/>
      </w:pPr>
      <w:r>
        <w:tab/>
      </w:r>
      <w:r>
        <w:tab/>
        <w:t xml:space="preserve">In this Schedule — </w:t>
      </w:r>
    </w:p>
    <w:p>
      <w:pPr>
        <w:pStyle w:val="nzDefstart"/>
      </w:pPr>
      <w:r>
        <w:tab/>
      </w:r>
      <w:r>
        <w:rPr>
          <w:rStyle w:val="CharDefText"/>
        </w:rPr>
        <w:t>Government agreement</w:t>
      </w:r>
      <w:r>
        <w:t xml:space="preserve"> has the meaning given in Schedule 8 clause 1;</w:t>
      </w:r>
    </w:p>
    <w:p>
      <w:pPr>
        <w:pStyle w:val="nzDefstart"/>
      </w:pPr>
      <w:r>
        <w:tab/>
      </w:r>
      <w:r>
        <w:rPr>
          <w:rStyle w:val="CharDefText"/>
        </w:rPr>
        <w:t xml:space="preserve">port </w:t>
      </w:r>
      <w:r>
        <w:t>means a port other than a port named in regulations referred to in the</w:t>
      </w:r>
      <w:r>
        <w:rPr>
          <w:i/>
        </w:rPr>
        <w:t xml:space="preserve"> Shipping and Pilotage Act 1967 </w:t>
      </w:r>
      <w:r>
        <w:t>section 10(1a);</w:t>
      </w:r>
    </w:p>
    <w:p>
      <w:pPr>
        <w:pStyle w:val="nzDefstart"/>
      </w:pPr>
      <w:r>
        <w:rPr>
          <w:rStyle w:val="CharDefText"/>
          <w:b w:val="0"/>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p>
    <w:p>
      <w:pPr>
        <w:pStyle w:val="nzHeading5"/>
      </w:pPr>
      <w:r>
        <w:t>2.</w:t>
      </w:r>
      <w:r>
        <w:tab/>
        <w:t>Regulations may place a port under the control and management of a port authority</w:t>
      </w:r>
    </w:p>
    <w:p>
      <w:pPr>
        <w:pStyle w:val="nzSubsection"/>
      </w:pPr>
      <w:r>
        <w:tab/>
        <w:t>(1)</w:t>
      </w:r>
      <w:r>
        <w:tab/>
        <w:t>Regulations may place a port specified in the regulations under the control and management of a port authority specified in the regulations.</w:t>
      </w:r>
    </w:p>
    <w:p>
      <w:pPr>
        <w:pStyle w:val="nzSubsection"/>
      </w:pPr>
      <w:r>
        <w:tab/>
        <w:t>(2)</w:t>
      </w:r>
      <w:r>
        <w:tab/>
        <w:t>Regulations may prescribe any matter that may be necessary or expedient to provide for, implement or facilitate a port addition.</w:t>
      </w:r>
    </w:p>
    <w:p>
      <w:pPr>
        <w:pStyle w:val="nzHeading5"/>
      </w:pPr>
      <w:r>
        <w:t>3.</w:t>
      </w:r>
      <w:r>
        <w:tab/>
        <w:t>Port authority to implement or facilitate port addition</w:t>
      </w:r>
    </w:p>
    <w:p>
      <w:pPr>
        <w:pStyle w:val="nz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nzSubsection"/>
      </w:pPr>
      <w:r>
        <w:tab/>
        <w:t>(2)</w:t>
      </w:r>
      <w:r>
        <w:tab/>
        <w:t>The function conferred on a port authority by subclause (1) is in addition to any other function that it has.</w:t>
      </w:r>
    </w:p>
    <w:p>
      <w:pPr>
        <w:pStyle w:val="nzHeading5"/>
      </w:pPr>
      <w:r>
        <w:t>4.</w:t>
      </w:r>
      <w:r>
        <w:tab/>
        <w:t>Government agreements not affected</w:t>
      </w:r>
    </w:p>
    <w:p>
      <w:pPr>
        <w:pStyle w:val="nzSubsection"/>
      </w:pPr>
      <w:r>
        <w:tab/>
        <w:t>(1)</w:t>
      </w:r>
      <w:r>
        <w:tab/>
        <w:t>The provisions of this Schedule or regulations referred to in this Schedule do not prejudice or in any way affect any right or obligation of a party to a Government agreement.</w:t>
      </w:r>
    </w:p>
    <w:p>
      <w:pPr>
        <w:pStyle w:val="nzSubsection"/>
      </w:pPr>
      <w:r>
        <w:tab/>
        <w:t>(2)</w:t>
      </w:r>
      <w:r>
        <w:tab/>
        <w:t>This clause does not limit or otherwise affect the operation of Schedule 6 clauses 1.3 and 2.3.</w:t>
      </w:r>
    </w:p>
    <w:p>
      <w:pPr>
        <w:pStyle w:val="BlankClose"/>
      </w:pPr>
    </w:p>
    <w:p>
      <w:pPr>
        <w:pStyle w:val="BlankOpen"/>
        <w:rPr>
          <w:snapToGrid w:val="0"/>
        </w:rPr>
      </w:pPr>
    </w:p>
    <w:p>
      <w:pPr>
        <w:rPr>
          <w:sz w:val="20"/>
        </w:rPr>
      </w:pPr>
    </w:p>
    <w:p>
      <w:pPr>
        <w:rPr>
          <w:sz w:val="20"/>
        </w:rPr>
        <w:sectPr>
          <w:headerReference w:type="even" r:id="rId42"/>
          <w:headerReference w:type="default" r:id="rId43"/>
          <w:pgSz w:w="11906" w:h="16838" w:code="9"/>
          <w:pgMar w:top="2376" w:right="2404" w:bottom="3544" w:left="2404" w:header="720" w:footer="3380" w:gutter="0"/>
          <w:cols w:space="720"/>
          <w:noEndnote/>
          <w:docGrid w:linePitch="326"/>
        </w:sectPr>
      </w:pPr>
    </w:p>
    <w:p>
      <w:pPr>
        <w:pStyle w:val="nHeading2"/>
        <w:rPr>
          <w:sz w:val="28"/>
        </w:rPr>
      </w:pPr>
      <w:bookmarkStart w:id="437" w:name="_Toc388863157"/>
      <w:r>
        <w:rPr>
          <w:sz w:val="28"/>
        </w:rPr>
        <w:t>Defined terms</w:t>
      </w:r>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8" w:name="DefinedTerms"/>
      <w:bookmarkEnd w:id="438"/>
      <w:r>
        <w:t>account</w:t>
      </w:r>
      <w:r>
        <w:tab/>
        <w:t>79(1)</w:t>
      </w:r>
    </w:p>
    <w:p>
      <w:pPr>
        <w:pStyle w:val="DefinedTerms"/>
      </w:pPr>
      <w:r>
        <w:t>accounting standard</w:t>
      </w:r>
      <w:r>
        <w:tab/>
        <w:t>Sch. 5 cl. 1(2)</w:t>
      </w:r>
    </w:p>
    <w:p>
      <w:pPr>
        <w:pStyle w:val="DefinedTerms"/>
      </w:pPr>
      <w:r>
        <w:t>affecting provisions</w:t>
      </w:r>
      <w:r>
        <w:tab/>
        <w:t>Sch. 8 cl. 45</w:t>
      </w:r>
    </w:p>
    <w:p>
      <w:pPr>
        <w:pStyle w:val="DefinedTerms"/>
      </w:pPr>
      <w:r>
        <w:t>agreement</w:t>
      </w:r>
      <w:r>
        <w:tab/>
        <w:t>Sch. 8 cl. 1</w:t>
      </w:r>
    </w:p>
    <w:p>
      <w:pPr>
        <w:pStyle w:val="DefinedTerms"/>
      </w:pPr>
      <w:r>
        <w:t>amending Act</w:t>
      </w:r>
      <w:r>
        <w:tab/>
        <w:t>Sch. 8 cl. 1</w:t>
      </w:r>
    </w:p>
    <w:p>
      <w:pPr>
        <w:pStyle w:val="DefinedTerms"/>
      </w:pPr>
      <w:r>
        <w:t>approved</w:t>
      </w:r>
      <w:r>
        <w:tab/>
        <w:t>95(1)</w:t>
      </w:r>
    </w:p>
    <w:p>
      <w:pPr>
        <w:pStyle w:val="DefinedTerms"/>
      </w:pPr>
      <w:r>
        <w:t>area</w:t>
      </w:r>
      <w:r>
        <w:tab/>
        <w:t>24(3)</w:t>
      </w:r>
    </w:p>
    <w:p>
      <w:pPr>
        <w:pStyle w:val="DefinedTerms"/>
      </w:pPr>
      <w:r>
        <w:t>asset</w:t>
      </w:r>
      <w:r>
        <w:tab/>
        <w:t>Sch. 8 cl. 1</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commencement</w:t>
      </w:r>
      <w:r>
        <w:tab/>
        <w:t>Sch. 8 cl. 44(1)</w:t>
      </w:r>
    </w:p>
    <w:p>
      <w:pPr>
        <w:pStyle w:val="DefinedTerms"/>
      </w:pPr>
      <w:r>
        <w:t>company</w:t>
      </w:r>
      <w:r>
        <w:tab/>
        <w:t>Sch. 5 cl. 1(2)</w:t>
      </w:r>
    </w:p>
    <w:p>
      <w:pPr>
        <w:pStyle w:val="DefinedTerms"/>
      </w:pPr>
      <w:r>
        <w:t>Company</w:t>
      </w:r>
      <w:r>
        <w:tab/>
        <w:t>Sch. 6 cl. 1</w:t>
      </w:r>
    </w:p>
    <w:p>
      <w:pPr>
        <w:pStyle w:val="DefinedTerms"/>
      </w:pPr>
      <w:r>
        <w:t>Company appointee</w:t>
      </w:r>
      <w:r>
        <w:tab/>
        <w:t>Sch. 6 cl. 1</w:t>
      </w:r>
    </w:p>
    <w:p>
      <w:pPr>
        <w:pStyle w:val="DefinedTerms"/>
      </w:pPr>
      <w:r>
        <w:t>continuing authority</w:t>
      </w:r>
      <w:r>
        <w:tab/>
        <w:t>Sch. 8 cl. 2, cl. 23</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dividend function</w:t>
      </w:r>
      <w:r>
        <w:tab/>
        <w:t>Sch. 8 cl. 14(1), cl. 35(1)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records</w:t>
      </w:r>
      <w:r>
        <w:tab/>
        <w:t>Sch. 5 cl. 1(2)</w:t>
      </w:r>
    </w:p>
    <w:p>
      <w:pPr>
        <w:pStyle w:val="DefinedTerms"/>
      </w:pPr>
      <w:r>
        <w:t>financial year</w:t>
      </w:r>
      <w:r>
        <w:tab/>
        <w:t>Sch. 5 cl. 1(1)</w:t>
      </w:r>
    </w:p>
    <w:p>
      <w:pPr>
        <w:pStyle w:val="DefinedTerms"/>
      </w:pPr>
      <w:r>
        <w:t>first lessee</w:t>
      </w:r>
      <w:r>
        <w:tab/>
        <w:t>Sch. 6 cl. 2</w:t>
      </w:r>
    </w:p>
    <w:p>
      <w:pPr>
        <w:pStyle w:val="DefinedTerms"/>
      </w:pPr>
      <w:r>
        <w:t>first lessee appointee</w:t>
      </w:r>
      <w:r>
        <w:tab/>
        <w:t>Sch. 6 cl. 2</w:t>
      </w:r>
    </w:p>
    <w:p>
      <w:pPr>
        <w:pStyle w:val="DefinedTerms"/>
      </w:pPr>
      <w:r>
        <w:t>former directors</w:t>
      </w:r>
      <w:r>
        <w:tab/>
        <w:t>Sch. 8 cl. 13(1), cl. 34(1)</w:t>
      </w:r>
    </w:p>
    <w:p>
      <w:pPr>
        <w:pStyle w:val="DefinedTerms"/>
      </w:pPr>
      <w:r>
        <w:t>former name</w:t>
      </w:r>
      <w:r>
        <w:tab/>
        <w:t>Sch. 8 cl. 11(1), cl. 20(1), cl. 32(1), cl. 41(1)</w:t>
      </w:r>
    </w:p>
    <w:p>
      <w:pPr>
        <w:pStyle w:val="DefinedTerms"/>
      </w:pPr>
      <w:r>
        <w:t>goods</w:t>
      </w:r>
      <w:r>
        <w:tab/>
        <w:t>3(1)</w:t>
      </w:r>
    </w:p>
    <w:p>
      <w:pPr>
        <w:pStyle w:val="DefinedTerms"/>
      </w:pPr>
      <w:r>
        <w:t>Government agreement</w:t>
      </w:r>
      <w:r>
        <w:tab/>
        <w:t>Sch. 8 cl. 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r>
        <w:t>Iron Ore (Hamersley Range) Agreement</w:t>
      </w:r>
      <w:r>
        <w:tab/>
        <w:t>Sch. 6 cl. 1</w:t>
      </w:r>
    </w:p>
    <w:p>
      <w:pPr>
        <w:pStyle w:val="DefinedTerms"/>
      </w:pPr>
      <w:r>
        <w:t>jetty</w:t>
      </w:r>
      <w:r>
        <w:tab/>
        <w:t>3(1)</w:t>
      </w:r>
    </w:p>
    <w:p>
      <w:pPr>
        <w:pStyle w:val="DefinedTerms"/>
      </w:pPr>
      <w:r>
        <w:t>Joint Venturers</w:t>
      </w:r>
      <w:r>
        <w:tab/>
        <w:t>Sch. 6 cl. 1</w:t>
      </w:r>
    </w:p>
    <w:p>
      <w:pPr>
        <w:pStyle w:val="DefinedTerms"/>
      </w:pPr>
      <w:r>
        <w:t>Joint Venturers appointee</w:t>
      </w:r>
      <w:r>
        <w:tab/>
        <w:t>Sch. 6 cl. 1</w:t>
      </w:r>
    </w:p>
    <w:p>
      <w:pPr>
        <w:pStyle w:val="DefinedTerms"/>
      </w:pPr>
      <w:r>
        <w:t>KPA</w:t>
      </w:r>
      <w:r>
        <w:tab/>
        <w:t>Sch. 8 cl. 37</w:t>
      </w:r>
    </w:p>
    <w:p>
      <w:pPr>
        <w:pStyle w:val="DefinedTerms"/>
      </w:pPr>
      <w:r>
        <w:t>last financial year</w:t>
      </w:r>
      <w:r>
        <w:tab/>
        <w:t>Sch. 8 cl. 13(5), cl. 34(5)</w:t>
      </w:r>
    </w:p>
    <w:p>
      <w:pPr>
        <w:pStyle w:val="DefinedTerms"/>
      </w:pPr>
      <w:r>
        <w:t>latest draft plan</w:t>
      </w:r>
      <w:r>
        <w:tab/>
        <w:t>54(2)</w:t>
      </w:r>
    </w:p>
    <w:p>
      <w:pPr>
        <w:pStyle w:val="DefinedTerms"/>
      </w:pPr>
      <w:r>
        <w:t>latest draft statement</w:t>
      </w:r>
      <w:r>
        <w:tab/>
        <w:t>63(2)</w:t>
      </w:r>
    </w:p>
    <w:p>
      <w:pPr>
        <w:pStyle w:val="DefinedTerms"/>
      </w:pPr>
      <w:r>
        <w:t>liability</w:t>
      </w:r>
      <w:r>
        <w:tab/>
        <w:t>Sch. 8 cl. 1</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 of staff</w:t>
      </w:r>
      <w:r>
        <w:tab/>
        <w:t>3(1)</w:t>
      </w:r>
    </w:p>
    <w:p>
      <w:pPr>
        <w:pStyle w:val="DefinedTerms"/>
      </w:pPr>
      <w:r>
        <w:t>members of staff</w:t>
      </w:r>
      <w:r>
        <w:tab/>
        <w:t>19(3), 21(4)</w:t>
      </w:r>
    </w:p>
    <w:p>
      <w:pPr>
        <w:pStyle w:val="DefinedTerms"/>
      </w:pPr>
      <w:r>
        <w:t>merger</w:t>
      </w:r>
      <w:r>
        <w:tab/>
        <w:t>Sch. 8 cl. 2, cl. 23</w:t>
      </w:r>
    </w:p>
    <w:p>
      <w:pPr>
        <w:pStyle w:val="DefinedTerms"/>
      </w:pPr>
      <w:r>
        <w:t>merger time</w:t>
      </w:r>
      <w:r>
        <w:tab/>
        <w:t>Sch. 8 cl. 2, cl. 23</w:t>
      </w:r>
    </w:p>
    <w:p>
      <w:pPr>
        <w:pStyle w:val="DefinedTerms"/>
      </w:pPr>
      <w:r>
        <w:t>merging authority</w:t>
      </w:r>
      <w:r>
        <w:tab/>
        <w:t>Sch. 8 cl. 2, cl. 23</w:t>
      </w:r>
    </w:p>
    <w:p>
      <w:pPr>
        <w:pStyle w:val="DefinedTerms"/>
      </w:pPr>
      <w:r>
        <w:t>Ministerial appointee</w:t>
      </w:r>
      <w:r>
        <w:tab/>
        <w:t>Sch. 6 cl. 1, cl. 2</w:t>
      </w:r>
    </w:p>
    <w:p>
      <w:pPr>
        <w:pStyle w:val="DefinedTerms"/>
      </w:pPr>
      <w:r>
        <w:t>mooring</w:t>
      </w:r>
      <w:r>
        <w:tab/>
        <w:t>3(1)</w:t>
      </w:r>
    </w:p>
    <w:p>
      <w:pPr>
        <w:pStyle w:val="DefinedTerms"/>
      </w:pPr>
      <w:r>
        <w:t>movement</w:t>
      </w:r>
      <w:r>
        <w:tab/>
        <w:t>3(1)</w:t>
      </w:r>
    </w:p>
    <w:p>
      <w:pPr>
        <w:pStyle w:val="DefinedTerms"/>
      </w:pPr>
      <w:r>
        <w:t>MWPA</w:t>
      </w:r>
      <w:r>
        <w:tab/>
        <w:t>Sch. 8 cl. 16</w:t>
      </w:r>
    </w:p>
    <w:p>
      <w:pPr>
        <w:pStyle w:val="DefinedTerms"/>
      </w:pPr>
      <w:r>
        <w:t>navigational aid</w:t>
      </w:r>
      <w:r>
        <w:tab/>
        <w:t>3(1)</w:t>
      </w:r>
    </w:p>
    <w:p>
      <w:pPr>
        <w:pStyle w:val="DefinedTerms"/>
      </w:pPr>
      <w:r>
        <w:t>new board</w:t>
      </w:r>
      <w:r>
        <w:tab/>
        <w:t>Sch. 8 cl. 2, cl. 16, cl. 23, cl. 37, cl. 45</w:t>
      </w:r>
    </w:p>
    <w:p>
      <w:pPr>
        <w:pStyle w:val="DefinedTerms"/>
      </w:pPr>
      <w:r>
        <w:t>new name</w:t>
      </w:r>
      <w:r>
        <w:tab/>
        <w:t>Sch. 8 cl. 11(1), 8 cl. 20(1), cl. 32(1), cl. 41(1)</w:t>
      </w:r>
    </w:p>
    <w:p>
      <w:pPr>
        <w:pStyle w:val="DefinedTerms"/>
      </w:pPr>
      <w:r>
        <w:t>new owner</w:t>
      </w:r>
      <w:r>
        <w:tab/>
        <w:t>46(1)</w:t>
      </w:r>
    </w:p>
    <w:p>
      <w:pPr>
        <w:pStyle w:val="DefinedTerms"/>
      </w:pPr>
      <w:r>
        <w:t>North West Gas Development (Woodside) Agreement</w:t>
      </w:r>
      <w:r>
        <w:tab/>
        <w:t>Sch. 6 cl. 1</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port</w:t>
      </w:r>
      <w:r>
        <w:tab/>
        <w:t>3(1), Sch. 6 cl. 2</w:t>
      </w:r>
    </w:p>
    <w:p>
      <w:pPr>
        <w:pStyle w:val="DefinedTerms"/>
      </w:pPr>
      <w:r>
        <w:t>port activities</w:t>
      </w:r>
      <w:r>
        <w:tab/>
        <w:t>3(1), 35(9)</w:t>
      </w:r>
    </w:p>
    <w:p>
      <w:pPr>
        <w:pStyle w:val="DefinedTerms"/>
      </w:pPr>
      <w:r>
        <w:t>port authority</w:t>
      </w:r>
      <w:r>
        <w:tab/>
        <w:t>3(1), 38(1), 123, Sch. 8 cl. 16, cl. 37</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PPA</w:t>
      </w:r>
      <w:r>
        <w:tab/>
        <w:t>Sch. 8 cl. 23</w:t>
      </w:r>
    </w:p>
    <w:p>
      <w:pPr>
        <w:pStyle w:val="DefinedTerms"/>
      </w:pPr>
      <w:r>
        <w:t>prescribed day</w:t>
      </w:r>
      <w:r>
        <w:tab/>
        <w:t>Sch. 5 cl. 34(1)</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relevant act</w:t>
      </w:r>
      <w:r>
        <w:tab/>
        <w:t>Sch. 8 cl. 10(1), cl. 31(1)</w:t>
      </w:r>
    </w:p>
    <w:p>
      <w:pPr>
        <w:pStyle w:val="DefinedTerms"/>
      </w:pPr>
      <w:r>
        <w:t>relevant officials</w:t>
      </w:r>
      <w:r>
        <w:tab/>
        <w:t>Sch. 8 cl. 45</w:t>
      </w:r>
    </w:p>
    <w:p>
      <w:pPr>
        <w:pStyle w:val="DefinedTerms"/>
      </w:pPr>
      <w:r>
        <w:t>renaming</w:t>
      </w:r>
      <w:r>
        <w:tab/>
        <w:t>Sch. 8 cl. 16, cl. 37</w:t>
      </w:r>
    </w:p>
    <w:p>
      <w:pPr>
        <w:pStyle w:val="DefinedTerms"/>
      </w:pPr>
      <w:r>
        <w:t>renaming time</w:t>
      </w:r>
      <w:r>
        <w:tab/>
        <w:t>Sch. 8 cl. 16, cl. 37</w:t>
      </w:r>
    </w:p>
    <w:p>
      <w:pPr>
        <w:pStyle w:val="DefinedTerms"/>
      </w:pPr>
      <w:r>
        <w:t>reporting board</w:t>
      </w:r>
      <w:r>
        <w:tab/>
        <w:t>Sch. 8 cl. 34(1)</w:t>
      </w:r>
    </w:p>
    <w:p>
      <w:pPr>
        <w:pStyle w:val="DefinedTerms"/>
      </w:pPr>
      <w:r>
        <w:t>reporting board,</w:t>
      </w:r>
      <w:r>
        <w:tab/>
        <w:t>Sch. 8 cl. 13(1)</w:t>
      </w:r>
    </w:p>
    <w:p>
      <w:pPr>
        <w:pStyle w:val="DefinedTerms"/>
      </w:pPr>
      <w:r>
        <w:t>reporting provisions</w:t>
      </w:r>
      <w:r>
        <w:tab/>
        <w:t>Sch. 8 cl. 13(1), cl. 34(1)</w:t>
      </w:r>
    </w:p>
    <w:p>
      <w:pPr>
        <w:pStyle w:val="DefinedTerms"/>
      </w:pPr>
      <w:r>
        <w:t>right</w:t>
      </w:r>
      <w:r>
        <w:tab/>
        <w:t>Sch. 8 cl. 1</w:t>
      </w:r>
    </w:p>
    <w:p>
      <w:pPr>
        <w:pStyle w:val="DefinedTerms"/>
      </w:pPr>
      <w:r>
        <w:t>Salt Company</w:t>
      </w:r>
      <w:r>
        <w:tab/>
        <w:t>Sch. 6 cl. 1</w:t>
      </w:r>
    </w:p>
    <w:p>
      <w:pPr>
        <w:pStyle w:val="DefinedTerms"/>
      </w:pPr>
      <w:r>
        <w:t>second lessee</w:t>
      </w:r>
      <w:r>
        <w:tab/>
        <w:t>Sch. 6 cl. 2</w:t>
      </w:r>
    </w:p>
    <w:p>
      <w:pPr>
        <w:pStyle w:val="DefinedTerms"/>
      </w:pPr>
      <w:r>
        <w:t>second lessee appointee</w:t>
      </w:r>
      <w:r>
        <w:tab/>
        <w:t>Sch. 6 cl. 2</w:t>
      </w:r>
    </w:p>
    <w:p>
      <w:pPr>
        <w:pStyle w:val="DefinedTerms"/>
      </w:pPr>
      <w:r>
        <w:t>sell</w:t>
      </w:r>
      <w:r>
        <w:tab/>
        <w:t>27(3)</w:t>
      </w:r>
    </w:p>
    <w:p>
      <w:pPr>
        <w:pStyle w:val="DefinedTerms"/>
      </w:pPr>
      <w:r>
        <w:t>SPA</w:t>
      </w:r>
      <w:r>
        <w:tab/>
        <w:t>Sch. 8 cl. 2</w:t>
      </w:r>
    </w:p>
    <w:p>
      <w:pPr>
        <w:pStyle w:val="DefinedTerms"/>
      </w:pPr>
      <w:r>
        <w:t>State tax</w:t>
      </w:r>
      <w:r>
        <w:tab/>
        <w:t>Sch. 8 cl. 45</w:t>
      </w:r>
    </w:p>
    <w:p>
      <w:pPr>
        <w:pStyle w:val="DefinedTerms"/>
      </w:pPr>
      <w:r>
        <w:t>subsidiary</w:t>
      </w:r>
      <w:r>
        <w:tab/>
        <w:t>3(1)</w:t>
      </w:r>
    </w:p>
    <w:p>
      <w:pPr>
        <w:pStyle w:val="DefinedTerms"/>
      </w:pPr>
      <w:r>
        <w:t>subsisting</w:t>
      </w:r>
      <w:r>
        <w:tab/>
        <w:t>Sch. 8 cl. 11(1), Sch. 8 cl. 32(1)</w:t>
      </w:r>
    </w:p>
    <w:p>
      <w:pPr>
        <w:pStyle w:val="DefinedTerms"/>
      </w:pPr>
      <w:r>
        <w:t xml:space="preserve"> third party</w:t>
      </w:r>
      <w:r>
        <w:tab/>
        <w:t>46(1)</w:t>
      </w:r>
    </w:p>
    <w:p>
      <w:pPr>
        <w:pStyle w:val="DefinedTerms"/>
      </w:pPr>
      <w:r>
        <w:t>transaction</w:t>
      </w:r>
      <w:r>
        <w:tab/>
        <w:t>42</w:t>
      </w:r>
    </w:p>
    <w:p>
      <w:pPr>
        <w:pStyle w:val="DefinedTerms"/>
      </w:pPr>
      <w:r>
        <w:t>transitional regulations</w:t>
      </w:r>
      <w:r>
        <w:tab/>
        <w:t>Sch. 8 cl. 2, cl. 15(1), cl. 16, cl. 22(1),</w:t>
      </w:r>
      <w:r>
        <w:br/>
      </w:r>
      <w:r>
        <w:tab/>
        <w:t>cl. 23, cl. 36(1), cl. 37, cl. 43(1), cl. 45</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Pr>
        <w:rPr>
          <w:sz w:val="20"/>
        </w:rPr>
      </w:pPr>
    </w:p>
    <w:p>
      <w:pPr>
        <w:rPr>
          <w:sz w:val="20"/>
        </w:r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4" w:bottom="3544" w:left="2404" w:header="720" w:footer="3380" w:gutter="0"/>
          <w:cols w:space="720"/>
          <w:noEndnote/>
          <w:docGrid w:linePitch="326"/>
        </w:sectPr>
      </w:pPr>
    </w:p>
    <w:p>
      <w:pPr>
        <w:rPr>
          <w:sz w:val="20"/>
        </w:rPr>
      </w:pPr>
    </w:p>
    <w:sectPr>
      <w:headerReference w:type="even" r:id="rId50"/>
      <w:headerReference w:type="default" r:id="rId51"/>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 authorities and ports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 authorities and ports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Purposes for which, or matters about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Purposes for which, or matters about which, regulations may be made</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p>
      </w:tc>
    </w:tr>
  </w:tbl>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Text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c>
        <w:tcPr>
          <w:tcW w:w="7160" w:type="dxa"/>
          <w:gridSpan w:val="2"/>
        </w:tcPr>
        <w:p>
          <w:pPr>
            <w:pStyle w:val="HeaderNumberRight"/>
          </w:pPr>
          <w:r>
            <w:t>Defined terms</w:t>
          </w:r>
        </w:p>
      </w:tc>
    </w:tr>
  </w:tbl>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Right"/>
            <w:ind w:right="17"/>
            <w:jc w:val="left"/>
          </w:pPr>
          <w:r>
            <w:t>Defined Terms</w:t>
          </w:r>
        </w:p>
      </w:tc>
    </w:tr>
  </w:tbl>
  <w:p>
    <w:pPr>
      <w:pStyle w:val="HeaderText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gridCol w:w="152"/>
    </w:tblGrid>
    <w:tr>
      <w:trPr>
        <w:gridAfter w:val="1"/>
        <w:wAfter w:w="152" w:type="dxa"/>
        <w:cantSplit/>
      </w:trPr>
      <w:tc>
        <w:tcPr>
          <w:tcW w:w="7160" w:type="dxa"/>
          <w:gridSpan w:val="2"/>
        </w:tcPr>
        <w:p>
          <w:pPr>
            <w:pStyle w:val="HeaderActNameRight"/>
          </w:pPr>
          <w:fldSimple w:instr=" Styleref &quot;Name of Act/Reg&quot; ">
            <w:r>
              <w:rPr>
                <w:noProof/>
              </w:rPr>
              <w:t>Port Authorities Act 1999</w:t>
            </w:r>
          </w:fldSimple>
        </w:p>
      </w:tc>
    </w:tr>
    <w:tr>
      <w:trPr>
        <w:gridAfter w:val="1"/>
        <w:wAfter w:w="152" w:type="dxa"/>
      </w:trPr>
      <w:tc>
        <w:tcPr>
          <w:tcW w:w="5760" w:type="dxa"/>
        </w:tcPr>
        <w:p>
          <w:pPr>
            <w:pStyle w:val="HeaderTextRight"/>
          </w:pPr>
        </w:p>
      </w:tc>
      <w:tc>
        <w:tcPr>
          <w:tcW w:w="1400" w:type="dxa"/>
        </w:tcPr>
        <w:p>
          <w:pPr>
            <w:pStyle w:val="HeaderNumberRight"/>
          </w:pPr>
        </w:p>
      </w:tc>
    </w:tr>
    <w:tr>
      <w:trPr>
        <w:gridAfter w:val="1"/>
        <w:wAfter w:w="152" w:type="dxa"/>
      </w:trPr>
      <w:tc>
        <w:tcPr>
          <w:tcW w:w="5760" w:type="dxa"/>
        </w:tcPr>
        <w:p>
          <w:pPr>
            <w:pStyle w:val="HeaderTextRight"/>
          </w:pPr>
        </w:p>
      </w:tc>
      <w:tc>
        <w:tcPr>
          <w:tcW w:w="1400" w:type="dxa"/>
        </w:tcPr>
        <w:p>
          <w:pPr>
            <w:pStyle w:val="HeaderNumberRight"/>
          </w:pPr>
        </w:p>
      </w:tc>
    </w:tr>
    <w:tr>
      <w:trPr>
        <w:cantSplit/>
      </w:trPr>
      <w:tc>
        <w:tcPr>
          <w:tcW w:w="7312" w:type="dxa"/>
          <w:gridSpan w:val="3"/>
        </w:tcPr>
        <w:p>
          <w:pPr>
            <w:pStyle w:val="HeaderSectionRight"/>
          </w:pPr>
          <w:r>
            <w:t>Defined Terms</w:t>
          </w:r>
        </w:p>
      </w:tc>
    </w:tr>
  </w:tbl>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FC3E8A"/>
    <w:multiLevelType w:val="multilevel"/>
    <w:tmpl w:val="05B0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8"/>
  </w:num>
  <w:num w:numId="14">
    <w:abstractNumId w:val="18"/>
  </w:num>
  <w:num w:numId="15">
    <w:abstractNumId w:val="14"/>
  </w:num>
  <w:num w:numId="16">
    <w:abstractNumId w:val="15"/>
  </w:num>
  <w:num w:numId="17">
    <w:abstractNumId w:val="19"/>
  </w:num>
  <w:num w:numId="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547"/>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11.xml"/><Relationship Id="rId50"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49463</Words>
  <Characters>234457</Characters>
  <Application>Microsoft Office Word</Application>
  <DocSecurity>0</DocSecurity>
  <Lines>6336</Lines>
  <Paragraphs>4055</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279865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1999 - 03-b0-03</dc:title>
  <dc:subject/>
  <dc:creator/>
  <cp:keywords/>
  <dc:description/>
  <cp:lastModifiedBy>svcMRProcess</cp:lastModifiedBy>
  <cp:revision>4</cp:revision>
  <cp:lastPrinted>2012-09-11T05:57:00Z</cp:lastPrinted>
  <dcterms:created xsi:type="dcterms:W3CDTF">2018-09-06T21:11:00Z</dcterms:created>
  <dcterms:modified xsi:type="dcterms:W3CDTF">2018-09-06T21:11:00Z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20140521</vt:lpwstr>
  </property>
  <property fmtid="{D5CDD505-2E9C-101B-9397-08002B2CF9AE}" pid="4" name="DocumentType">
    <vt:lpwstr>Act</vt:lpwstr>
  </property>
  <property fmtid="{D5CDD505-2E9C-101B-9397-08002B2CF9AE}" pid="5" name="OwlsUID">
    <vt:i4>1946</vt:i4>
  </property>
  <property fmtid="{D5CDD505-2E9C-101B-9397-08002B2CF9AE}" pid="6" name="AsAtDate">
    <vt:lpwstr>21 May 2014</vt:lpwstr>
  </property>
  <property fmtid="{D5CDD505-2E9C-101B-9397-08002B2CF9AE}" pid="7" name="Suffix">
    <vt:lpwstr>03-b0-03</vt:lpwstr>
  </property>
  <property fmtid="{D5CDD505-2E9C-101B-9397-08002B2CF9AE}" pid="8" name="ReprintNo">
    <vt:lpwstr>3</vt:lpwstr>
  </property>
  <property fmtid="{D5CDD505-2E9C-101B-9397-08002B2CF9AE}" pid="9" name="ReprintedAsAt">
    <vt:filetime>2012-09-06T16:00:00Z</vt:filetime>
  </property>
</Properties>
</file>