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Commission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Agricultural Produce (Pork Production Industry)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(Pork Production Industry)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_Toc412556665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_Toc412556666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_Toc412556667 \h </w:instrText>
      </w:r>
      <w:r>
        <w:fldChar w:fldCharType="separate"/>
      </w:r>
      <w:r>
        <w:t>1</w:t>
      </w:r>
      <w:r>
        <w:fldChar w:fldCharType="end"/>
      </w:r>
    </w:p>
    <w:p>
      <w:pPr>
        <w:pStyle w:val="TOC8"/>
        <w:rPr>
          <w:rFonts w:asciiTheme="minorHAnsi" w:eastAsiaTheme="minorEastAsia" w:hAnsiTheme="minorHAnsi" w:cstheme="minorBidi"/>
          <w:szCs w:val="22"/>
        </w:rPr>
      </w:pPr>
      <w:r>
        <w:t>4.</w:t>
      </w:r>
      <w:r>
        <w:tab/>
        <w:t>Collection of charges</w:t>
      </w:r>
      <w:r>
        <w:tab/>
      </w:r>
      <w:r>
        <w:fldChar w:fldCharType="begin"/>
      </w:r>
      <w:r>
        <w:instrText xml:space="preserve"> PAGEREF _Toc412556668 \h </w:instrText>
      </w:r>
      <w:r>
        <w:fldChar w:fldCharType="separate"/>
      </w:r>
      <w:r>
        <w:t>2</w:t>
      </w:r>
      <w:r>
        <w:fldChar w:fldCharType="end"/>
      </w:r>
    </w:p>
    <w:p>
      <w:pPr>
        <w:pStyle w:val="TOC8"/>
        <w:rPr>
          <w:rFonts w:asciiTheme="minorHAnsi" w:eastAsiaTheme="minorEastAsia" w:hAnsiTheme="minorHAnsi" w:cstheme="minorBidi"/>
          <w:szCs w:val="22"/>
        </w:rPr>
      </w:pPr>
      <w:r>
        <w:t>5.</w:t>
      </w:r>
      <w:r>
        <w:tab/>
        <w:t>Information to be furnished by owners</w:t>
      </w:r>
      <w:r>
        <w:tab/>
      </w:r>
      <w:r>
        <w:fldChar w:fldCharType="begin"/>
      </w:r>
      <w:r>
        <w:instrText xml:space="preserve"> PAGEREF _Toc412556669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statistical information</w:t>
      </w:r>
      <w:r>
        <w:tab/>
      </w:r>
      <w:r>
        <w:fldChar w:fldCharType="begin"/>
      </w:r>
      <w:r>
        <w:instrText xml:space="preserve"> PAGEREF _Toc412556670 \h </w:instrText>
      </w:r>
      <w:r>
        <w:fldChar w:fldCharType="separate"/>
      </w:r>
      <w:r>
        <w:t>2</w:t>
      </w:r>
      <w:r>
        <w:fldChar w:fldCharType="end"/>
      </w:r>
    </w:p>
    <w:p>
      <w:pPr>
        <w:pStyle w:val="TOC8"/>
        <w:rPr>
          <w:rFonts w:asciiTheme="minorHAnsi" w:eastAsiaTheme="minorEastAsia" w:hAnsiTheme="minorHAnsi" w:cstheme="minorBidi"/>
          <w:szCs w:val="22"/>
        </w:rPr>
      </w:pPr>
      <w:r>
        <w:t>7.</w:t>
      </w:r>
      <w:r>
        <w:tab/>
        <w:t>Publication of section 14 notices</w:t>
      </w:r>
      <w:r>
        <w:tab/>
      </w:r>
      <w:r>
        <w:fldChar w:fldCharType="begin"/>
      </w:r>
      <w:r>
        <w:instrText xml:space="preserve"> PAGEREF _Toc412556671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_Toc412556673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Agricultural Produce Commission Act 1988</w:t>
      </w:r>
    </w:p>
    <w:p>
      <w:pPr>
        <w:pStyle w:val="NameofActReg"/>
      </w:pPr>
      <w:r>
        <w:t>Agricultural Produce (Pork Production Industry) Regulations 2004</w:t>
      </w:r>
    </w:p>
    <w:p>
      <w:pPr>
        <w:pStyle w:val="Heading5"/>
      </w:pPr>
      <w:bookmarkStart w:id="3" w:name="_Toc377740289"/>
      <w:bookmarkStart w:id="4" w:name="_Toc377740502"/>
      <w:bookmarkStart w:id="5" w:name="_Toc412556665"/>
      <w:r>
        <w:rPr>
          <w:rStyle w:val="CharSectno"/>
        </w:rPr>
        <w:t>1</w:t>
      </w:r>
      <w:r>
        <w:t>.</w:t>
      </w:r>
      <w:r>
        <w:tab/>
        <w:t>Citation</w:t>
      </w:r>
      <w:bookmarkEnd w:id="3"/>
      <w:bookmarkEnd w:id="4"/>
      <w:bookmarkEnd w:id="5"/>
    </w:p>
    <w:p>
      <w:pPr>
        <w:pStyle w:val="Subsection"/>
      </w:pPr>
      <w:r>
        <w:tab/>
      </w:r>
      <w:r>
        <w:tab/>
      </w:r>
      <w:r>
        <w:rPr>
          <w:spacing w:val="-2"/>
        </w:rPr>
        <w:t>These</w:t>
      </w:r>
      <w:r>
        <w:t xml:space="preserve"> </w:t>
      </w:r>
      <w:r>
        <w:rPr>
          <w:spacing w:val="-2"/>
        </w:rPr>
        <w:t>regulations</w:t>
      </w:r>
      <w:r>
        <w:t xml:space="preserve"> are the </w:t>
      </w:r>
      <w:r>
        <w:rPr>
          <w:i/>
        </w:rPr>
        <w:t>Agricultural Produce (Pork Production Industry) Regulations 2004</w:t>
      </w:r>
      <w:r>
        <w:t>.</w:t>
      </w:r>
    </w:p>
    <w:p>
      <w:pPr>
        <w:pStyle w:val="Heading5"/>
      </w:pPr>
      <w:bookmarkStart w:id="6" w:name="_Toc377740290"/>
      <w:bookmarkStart w:id="7" w:name="_Toc377740503"/>
      <w:bookmarkStart w:id="8" w:name="_Toc412556666"/>
      <w:r>
        <w:rPr>
          <w:rStyle w:val="CharSectno"/>
        </w:rPr>
        <w:t>2</w:t>
      </w:r>
      <w:r>
        <w:t>.</w:t>
      </w:r>
      <w:r>
        <w:tab/>
        <w:t>Commencement</w:t>
      </w:r>
      <w:bookmarkEnd w:id="6"/>
      <w:bookmarkEnd w:id="7"/>
      <w:bookmarkEnd w:id="8"/>
    </w:p>
    <w:p>
      <w:pPr>
        <w:pStyle w:val="Subsection"/>
      </w:pPr>
      <w:r>
        <w:tab/>
      </w:r>
      <w:r>
        <w:tab/>
        <w:t xml:space="preserve">These regulations come into operation on the day on which the </w:t>
      </w:r>
      <w:r>
        <w:rPr>
          <w:i/>
          <w:iCs/>
        </w:rPr>
        <w:t>Pig, Potato and Poultry Industries (Compensation Legislation) Repeal Act 2004</w:t>
      </w:r>
      <w:r>
        <w:t xml:space="preserve"> comes into operation.</w:t>
      </w:r>
    </w:p>
    <w:p>
      <w:pPr>
        <w:pStyle w:val="Heading5"/>
      </w:pPr>
      <w:bookmarkStart w:id="9" w:name="_Toc377740291"/>
      <w:bookmarkStart w:id="10" w:name="_Toc377740504"/>
      <w:bookmarkStart w:id="11" w:name="_Toc412556667"/>
      <w:r>
        <w:rPr>
          <w:rStyle w:val="CharSectno"/>
        </w:rPr>
        <w:t>3</w:t>
      </w:r>
      <w:r>
        <w:t>.</w:t>
      </w:r>
      <w:r>
        <w:tab/>
        <w:t>Terms used in these regulations</w:t>
      </w:r>
      <w:bookmarkEnd w:id="9"/>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abattoir</w:t>
      </w:r>
      <w:r>
        <w:t xml:space="preserve"> means any premises or place used for, or in connection with, the slaughtering of pigs;</w:t>
      </w:r>
    </w:p>
    <w:p>
      <w:pPr>
        <w:pStyle w:val="Defstart"/>
      </w:pPr>
      <w:r>
        <w:rPr>
          <w:b/>
        </w:rPr>
        <w:tab/>
      </w:r>
      <w:r>
        <w:rPr>
          <w:rStyle w:val="CharDefText"/>
        </w:rPr>
        <w:t>charge</w:t>
      </w:r>
      <w:r>
        <w:t xml:space="preserve"> means a charge imposed on pork producers under section 14 of the Act;</w:t>
      </w:r>
    </w:p>
    <w:p>
      <w:pPr>
        <w:pStyle w:val="Defstart"/>
      </w:pPr>
      <w:r>
        <w:rPr>
          <w:b/>
        </w:rPr>
        <w:tab/>
      </w:r>
      <w:r>
        <w:rPr>
          <w:rStyle w:val="CharDefText"/>
        </w:rPr>
        <w:t>owner</w:t>
      </w:r>
      <w:r>
        <w:t xml:space="preserve"> means a person who owns an abattoir;</w:t>
      </w:r>
    </w:p>
    <w:p>
      <w:pPr>
        <w:pStyle w:val="Defstart"/>
      </w:pPr>
      <w:r>
        <w:tab/>
      </w:r>
      <w:r>
        <w:rPr>
          <w:rStyle w:val="CharDefText"/>
        </w:rPr>
        <w:t>pig</w:t>
      </w:r>
      <w:r>
        <w:t xml:space="preserve"> means a boar, sow, barrow or gilt;</w:t>
      </w:r>
    </w:p>
    <w:p>
      <w:pPr>
        <w:pStyle w:val="Defstart"/>
      </w:pPr>
      <w:r>
        <w:rPr>
          <w:b/>
        </w:rPr>
        <w:tab/>
      </w:r>
      <w:r>
        <w:rPr>
          <w:rStyle w:val="CharDefText"/>
        </w:rPr>
        <w:t>pork producer</w:t>
      </w:r>
      <w:r>
        <w:t xml:space="preserve"> means a person whose business is or includes the growing of pigs for the purpose of sale for slaughter and processing;</w:t>
      </w:r>
    </w:p>
    <w:p>
      <w:pPr>
        <w:pStyle w:val="Defstart"/>
      </w:pPr>
      <w:r>
        <w:tab/>
      </w:r>
      <w:r>
        <w:rPr>
          <w:rStyle w:val="CharDefText"/>
        </w:rPr>
        <w:t>section 14 notice</w:t>
      </w:r>
      <w:r>
        <w:t xml:space="preserve"> means notice of a charge.</w:t>
      </w:r>
    </w:p>
    <w:p>
      <w:pPr>
        <w:pStyle w:val="Heading5"/>
      </w:pPr>
      <w:bookmarkStart w:id="12" w:name="_Toc377740292"/>
      <w:bookmarkStart w:id="13" w:name="_Toc377740505"/>
      <w:bookmarkStart w:id="14" w:name="_Toc412556668"/>
      <w:r>
        <w:rPr>
          <w:rStyle w:val="CharSectno"/>
        </w:rPr>
        <w:t>4.</w:t>
      </w:r>
      <w:r>
        <w:rPr>
          <w:rStyle w:val="CharSectno"/>
        </w:rPr>
        <w:tab/>
      </w:r>
      <w:r>
        <w:t>Collection of charges</w:t>
      </w:r>
      <w:bookmarkEnd w:id="12"/>
      <w:bookmarkEnd w:id="13"/>
      <w:bookmarkEnd w:id="14"/>
    </w:p>
    <w:p>
      <w:pPr>
        <w:pStyle w:val="Subsection"/>
      </w:pPr>
      <w:r>
        <w:tab/>
        <w:t>(1)</w:t>
      </w:r>
      <w:r>
        <w:tab/>
        <w:t>An owner must collect from a pork producer who sells pigs to the owner for slaughter the charge payable by that pork producer.</w:t>
      </w:r>
    </w:p>
    <w:p>
      <w:pPr>
        <w:pStyle w:val="Penstart"/>
      </w:pPr>
      <w:r>
        <w:tab/>
        <w:t>Penalty: $2 000.</w:t>
      </w:r>
    </w:p>
    <w:p>
      <w:pPr>
        <w:pStyle w:val="Subsection"/>
      </w:pPr>
      <w:r>
        <w:tab/>
        <w:t>(2)</w:t>
      </w:r>
      <w:r>
        <w:tab/>
        <w:t>The charge may be collected by deducting the amount of the charge from the amount payable to the pork producer in respect of a sale referred to in subregulation (1).</w:t>
      </w:r>
    </w:p>
    <w:p>
      <w:pPr>
        <w:pStyle w:val="Subsection"/>
      </w:pPr>
      <w:r>
        <w:tab/>
        <w:t>(3)</w:t>
      </w:r>
      <w:r>
        <w:tab/>
        <w:t>An owner who collects a charge must pay the amount of the charge to the Commission within 14 days after the end of the month during which the charge was collected or within any longer period the Commission allows.</w:t>
      </w:r>
    </w:p>
    <w:p>
      <w:pPr>
        <w:pStyle w:val="Penstart"/>
      </w:pPr>
      <w:r>
        <w:tab/>
        <w:t>Penalty: $2 000.</w:t>
      </w:r>
    </w:p>
    <w:p>
      <w:pPr>
        <w:pStyle w:val="Heading5"/>
      </w:pPr>
      <w:bookmarkStart w:id="15" w:name="_Toc377740293"/>
      <w:bookmarkStart w:id="16" w:name="_Toc377740506"/>
      <w:bookmarkStart w:id="17" w:name="_Toc412556669"/>
      <w:r>
        <w:rPr>
          <w:rStyle w:val="CharSectno"/>
        </w:rPr>
        <w:t>5.</w:t>
      </w:r>
      <w:r>
        <w:rPr>
          <w:rStyle w:val="CharSectno"/>
        </w:rPr>
        <w:tab/>
      </w:r>
      <w:r>
        <w:t>Information to be furnished by owners</w:t>
      </w:r>
      <w:bookmarkEnd w:id="15"/>
      <w:bookmarkEnd w:id="16"/>
      <w:bookmarkEnd w:id="17"/>
    </w:p>
    <w:p>
      <w:pPr>
        <w:pStyle w:val="Subsection"/>
      </w:pPr>
      <w:r>
        <w:tab/>
        <w:t>(1)</w:t>
      </w:r>
      <w:r>
        <w:tab/>
        <w:t>An owner must, not later than 14 days after the end of each month during which the owner has purchased pigs for slaughter, furnish to the Commission a return in the form approved by the Commission showing all of those purchases.</w:t>
      </w:r>
    </w:p>
    <w:p>
      <w:pPr>
        <w:pStyle w:val="Penstart"/>
      </w:pPr>
      <w:r>
        <w:tab/>
        <w:t>Penalty: $2 000.</w:t>
      </w:r>
    </w:p>
    <w:p>
      <w:pPr>
        <w:pStyle w:val="Subsection"/>
      </w:pPr>
      <w:r>
        <w:tab/>
        <w:t>(2)</w:t>
      </w:r>
      <w:r>
        <w:tab/>
        <w:t>An owner referred to in subregulation (1), if requested to do so by the Commission, must furnish to the Commission the names of the pork producers with whom the owner dealt, and the quantity of pigs sold by each of those producers, during the period to which the return relates.</w:t>
      </w:r>
    </w:p>
    <w:p>
      <w:pPr>
        <w:pStyle w:val="Penstart"/>
      </w:pPr>
      <w:r>
        <w:tab/>
        <w:t>Penalty: $2 000.</w:t>
      </w:r>
    </w:p>
    <w:p>
      <w:pPr>
        <w:pStyle w:val="Heading5"/>
      </w:pPr>
      <w:bookmarkStart w:id="18" w:name="_Toc377740294"/>
      <w:bookmarkStart w:id="19" w:name="_Toc377740507"/>
      <w:bookmarkStart w:id="20" w:name="_Toc412556670"/>
      <w:r>
        <w:rPr>
          <w:rStyle w:val="CharSectno"/>
        </w:rPr>
        <w:t>6</w:t>
      </w:r>
      <w:r>
        <w:t>.</w:t>
      </w:r>
      <w:r>
        <w:tab/>
        <w:t>Prescribed statistical information</w:t>
      </w:r>
      <w:bookmarkEnd w:id="18"/>
      <w:bookmarkEnd w:id="19"/>
      <w:bookmarkEnd w:id="20"/>
    </w:p>
    <w:p>
      <w:pPr>
        <w:pStyle w:val="Subsection"/>
      </w:pPr>
      <w:r>
        <w:tab/>
        <w:t>(1)</w:t>
      </w:r>
      <w:r>
        <w:tab/>
        <w:t xml:space="preserve">In subregulation (2) — </w:t>
      </w:r>
    </w:p>
    <w:p>
      <w:pPr>
        <w:pStyle w:val="Defstart"/>
      </w:pPr>
      <w:r>
        <w:rPr>
          <w:b/>
        </w:rPr>
        <w:tab/>
      </w:r>
      <w:r>
        <w:rPr>
          <w:rStyle w:val="CharDefText"/>
        </w:rPr>
        <w:t>specified</w:t>
      </w:r>
      <w:r>
        <w:t xml:space="preserve"> means specified by the Commission in a notice served on a pork producer.</w:t>
      </w:r>
    </w:p>
    <w:p>
      <w:pPr>
        <w:pStyle w:val="Subsection"/>
      </w:pPr>
      <w:r>
        <w:tab/>
        <w:t>(2)</w:t>
      </w:r>
      <w:r>
        <w:tab/>
        <w:t xml:space="preserve">For the purposes of section 13 of the Act the following information is prescribed statistical information — </w:t>
      </w:r>
    </w:p>
    <w:p>
      <w:pPr>
        <w:pStyle w:val="Indenta"/>
      </w:pPr>
      <w:r>
        <w:tab/>
        <w:t>(a)</w:t>
      </w:r>
      <w:r>
        <w:tab/>
        <w:t>the quantity of pigs grown for sale by a pork producer in a specified period;</w:t>
      </w:r>
    </w:p>
    <w:p>
      <w:pPr>
        <w:pStyle w:val="Indenta"/>
      </w:pPr>
      <w:r>
        <w:tab/>
        <w:t>(b)</w:t>
      </w:r>
      <w:r>
        <w:tab/>
        <w:t>the abattoirs at which pigs grown by a pork producer were slaughtered in a specified period.</w:t>
      </w:r>
    </w:p>
    <w:p>
      <w:pPr>
        <w:pStyle w:val="Heading5"/>
      </w:pPr>
      <w:bookmarkStart w:id="21" w:name="_Toc377740295"/>
      <w:bookmarkStart w:id="22" w:name="_Toc377740508"/>
      <w:bookmarkStart w:id="23" w:name="_Toc412556671"/>
      <w:r>
        <w:rPr>
          <w:rStyle w:val="CharSectno"/>
        </w:rPr>
        <w:t>7</w:t>
      </w:r>
      <w:r>
        <w:t>.</w:t>
      </w:r>
      <w:r>
        <w:tab/>
        <w:t>Publication of section 14 notices</w:t>
      </w:r>
      <w:bookmarkEnd w:id="21"/>
      <w:bookmarkEnd w:id="22"/>
      <w:bookmarkEnd w:id="23"/>
    </w:p>
    <w:p>
      <w:pPr>
        <w:pStyle w:val="Subsection"/>
      </w:pPr>
      <w:r>
        <w:tab/>
      </w:r>
      <w:r>
        <w:tab/>
        <w:t>The Commission must cause each section 14 notice to be published in a newspaper circulating generally in the State.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7740296"/>
      <w:bookmarkStart w:id="25" w:name="_Toc377740490"/>
      <w:bookmarkStart w:id="26" w:name="_Toc377740509"/>
      <w:bookmarkStart w:id="27" w:name="_Toc412556640"/>
      <w:bookmarkStart w:id="28" w:name="_Toc412556672"/>
      <w:r>
        <w:t>Notes</w:t>
      </w:r>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(Pork Production Industry) Regulations 2004</w:t>
      </w:r>
      <w:r>
        <w:rPr>
          <w:snapToGrid w:val="0"/>
        </w:rPr>
        <w:t>.  The following table contains information about those regulations.</w:t>
      </w:r>
    </w:p>
    <w:p>
      <w:pPr>
        <w:pStyle w:val="nHeading3"/>
      </w:pPr>
      <w:bookmarkStart w:id="29" w:name="_Toc377740297"/>
      <w:bookmarkStart w:id="30" w:name="_Toc377740510"/>
      <w:bookmarkStart w:id="31" w:name="_Toc412556673"/>
      <w:r>
        <w:t>Compilation table</w:t>
      </w:r>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noProof/>
                <w:snapToGrid w:val="0"/>
              </w:rPr>
              <w:t>Agricultural Produce (Pork Production Industry) Regulations 2004</w:t>
            </w:r>
          </w:p>
        </w:tc>
        <w:tc>
          <w:tcPr>
            <w:tcW w:w="1276" w:type="dxa"/>
            <w:tcBorders>
              <w:top w:val="single" w:sz="8" w:space="0" w:color="auto"/>
              <w:bottom w:val="single" w:sz="4" w:space="0" w:color="auto"/>
            </w:tcBorders>
          </w:tcPr>
          <w:p>
            <w:pPr>
              <w:pStyle w:val="nTable"/>
            </w:pPr>
            <w:r>
              <w:t>7 Jan 2005 p. 54</w:t>
            </w:r>
            <w:r>
              <w:noBreakHyphen/>
              <w:t>5</w:t>
            </w:r>
          </w:p>
        </w:tc>
        <w:tc>
          <w:tcPr>
            <w:tcW w:w="2693" w:type="dxa"/>
            <w:tcBorders>
              <w:top w:val="single" w:sz="8" w:space="0" w:color="auto"/>
              <w:bottom w:val="single" w:sz="4" w:space="0" w:color="auto"/>
            </w:tcBorders>
          </w:tcPr>
          <w:p>
            <w:pPr>
              <w:pStyle w:val="nTable"/>
            </w:pPr>
            <w:r>
              <w:t xml:space="preserve">1 Feb 2005 (see r. 2 and </w:t>
            </w:r>
            <w:r>
              <w:rPr>
                <w:i/>
                <w:iCs/>
              </w:rPr>
              <w:t xml:space="preserve">Gazette </w:t>
            </w:r>
            <w:r>
              <w:t xml:space="preserve"> 7 Jan 2005 p. 53)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3" w:name="_Toc412556674"/>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charge</w:t>
      </w:r>
      <w:r>
        <w:tab/>
        <w:t>3</w:t>
      </w:r>
    </w:p>
    <w:p>
      <w:pPr>
        <w:pStyle w:val="DefinedTerms"/>
      </w:pPr>
      <w:r>
        <w:t>owner</w:t>
      </w:r>
      <w:r>
        <w:tab/>
        <w:t>3</w:t>
      </w:r>
    </w:p>
    <w:p>
      <w:pPr>
        <w:pStyle w:val="DefinedTerms"/>
      </w:pPr>
      <w:r>
        <w:t>pig</w:t>
      </w:r>
      <w:r>
        <w:tab/>
        <w:t>3</w:t>
      </w:r>
    </w:p>
    <w:p>
      <w:pPr>
        <w:pStyle w:val="DefinedTerms"/>
      </w:pPr>
      <w:r>
        <w:t>pork producer</w:t>
      </w:r>
      <w:r>
        <w:tab/>
        <w:t>3</w:t>
      </w:r>
    </w:p>
    <w:p>
      <w:pPr>
        <w:pStyle w:val="DefinedTerms"/>
      </w:pPr>
      <w:r>
        <w:t>section 14 notice</w:t>
      </w:r>
      <w:r>
        <w:tab/>
        <w:t>3</w:t>
      </w:r>
    </w:p>
    <w:p>
      <w:pPr>
        <w:pStyle w:val="DefinedTerms"/>
      </w:pPr>
      <w:r>
        <w:t>specified</w:t>
      </w:r>
      <w:r>
        <w:tab/>
        <w:t>6(1)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(Pork Production Industry)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(Pork Production Industry)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(Pork Production Industry)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(Pork Production Industry)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(Pork Production Industry)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(Pork Production Industry)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(Pork Production Industry)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(Pork Production Industry)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949"/>
    <w:docVar w:name="WAFER_20140117161133" w:val="RemoveTocBookmarks,RemoveUnusedBookmarks,RemoveLanguageTags,UsedStyles,ResetPageSize,UpdateArrangement"/>
    <w:docVar w:name="WAFER_20140117161133_GUID" w:val="391d5a03-7f65-4d79-b7df-87b79686215a"/>
    <w:docVar w:name="WAFER_20140117162406" w:val="RemoveTocBookmarks,RunningHeaders"/>
    <w:docVar w:name="WAFER_20140117162406_GUID" w:val="b9ce1d67-2098-40cd-a03d-5a629fa07625"/>
    <w:docVar w:name="WAFER_20140117163956" w:val="RemoveTocBookmarks,RunningHeaders"/>
    <w:docVar w:name="WAFER_20140117163956_GUID" w:val="00c8f477-2009-4e0e-94f7-046c3cc2c56d"/>
    <w:docVar w:name="WAFER_20150224155123" w:val="ResetPageSize,UpdateArrangement,UpdateNTable"/>
    <w:docVar w:name="WAFER_20150224155123_GUID" w:val="7f0ff178-6238-47a7-ae5a-c3f470a17050"/>
    <w:docVar w:name="WAFER_20150224155254" w:val="ResetPageSize,UpdateArrangement,UpdateNTable"/>
    <w:docVar w:name="WAFER_20150224155254_GUID" w:val="d1959287-dd0a-4af4-9a87-9a7f18dee65f"/>
    <w:docVar w:name="WAFER_20151102104949" w:val="UpdateStyles,UsedStyles"/>
    <w:docVar w:name="WAFER_20151102104949_GUID" w:val="a33cea08-3210-4177-907d-18e3d41836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733</Words>
  <Characters>3729</Characters>
  <Application>Microsoft Office Word</Application>
  <DocSecurity>0</DocSecurity>
  <Lines>133</Lines>
  <Paragraphs>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(Pork Production Industry) Regulations 2004 - 00-b0-12</dc:title>
  <dc:subject/>
  <dc:creator/>
  <cp:keywords/>
  <dc:description/>
  <cp:lastModifiedBy>svcMRProcess</cp:lastModifiedBy>
  <cp:revision>4</cp:revision>
  <cp:lastPrinted>2004-12-06T02:02:00Z</cp:lastPrinted>
  <dcterms:created xsi:type="dcterms:W3CDTF">2019-01-30T02:54:00Z</dcterms:created>
  <dcterms:modified xsi:type="dcterms:W3CDTF">2019-01-30T02:54:00Z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54-5</vt:lpwstr>
  </property>
  <property fmtid="{D5CDD505-2E9C-101B-9397-08002B2CF9AE}" pid="3" name="CommencementDate">
    <vt:lpwstr>20050201</vt:lpwstr>
  </property>
  <property fmtid="{D5CDD505-2E9C-101B-9397-08002B2CF9AE}" pid="4" name="DocumentType">
    <vt:lpwstr>Reg</vt:lpwstr>
  </property>
  <property fmtid="{D5CDD505-2E9C-101B-9397-08002B2CF9AE}" pid="5" name="AsAtDate">
    <vt:lpwstr>01 Feb 2005</vt:lpwstr>
  </property>
  <property fmtid="{D5CDD505-2E9C-101B-9397-08002B2CF9AE}" pid="6" name="Suffix">
    <vt:lpwstr>00-b0-12</vt:lpwstr>
  </property>
</Properties>
</file>