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Kennedy Development Agreement Act 1992</w:t>
      </w:r>
      <w:r>
        <w:rPr>
          <w:sz w:val="48"/>
        </w:rPr>
        <w:fldChar w:fldCharType="end"/>
      </w:r>
    </w:p>
    <w:p>
      <w:pPr>
        <w:pStyle w:val="ReprintNo"/>
        <w:outlineLvl w:val="9"/>
      </w:pPr>
      <w:r>
        <w:t>Reprint 2:  The Act as at 23 May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75pt" o:ole="" fillcolor="window">
            <v:imagedata r:id="rId9" o:title=""/>
          </v:shape>
          <o:OLEObject Type="Embed" ProgID="Word.Picture.8" ShapeID="_x0000_i1025" DrawAspect="Content" ObjectID="_1649076363"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May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_Toc389575060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_Toc389575061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_Toc389575062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_Toc389575064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Facilitation of development</w:t>
      </w:r>
    </w:p>
    <w:p>
      <w:pPr>
        <w:pStyle w:val="TOC8"/>
        <w:rPr>
          <w:rFonts w:asciiTheme="minorHAnsi" w:eastAsiaTheme="minorEastAsia" w:hAnsiTheme="minorHAnsi" w:cstheme="minorBidi"/>
          <w:szCs w:val="22"/>
        </w:rPr>
      </w:pPr>
      <w:r>
        <w:t>5</w:t>
      </w:r>
      <w:r>
        <w:rPr>
          <w:snapToGrid w:val="0"/>
        </w:rPr>
        <w:t>.</w:t>
      </w:r>
      <w:r>
        <w:rPr>
          <w:snapToGrid w:val="0"/>
        </w:rPr>
        <w:tab/>
        <w:t>Reserve cancelled, roads closed and land vested in Crown</w:t>
      </w:r>
      <w:r>
        <w:tab/>
      </w:r>
      <w:r>
        <w:fldChar w:fldCharType="begin"/>
      </w:r>
      <w:r>
        <w:instrText xml:space="preserve"> PAGEREF _Toc389575066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Area of Port Kennedy Land Conservation District amended</w:t>
      </w:r>
      <w:r>
        <w:tab/>
      </w:r>
      <w:r>
        <w:fldChar w:fldCharType="begin"/>
      </w:r>
      <w:r>
        <w:instrText xml:space="preserve"> PAGEREF _Toc389575067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unauthorised structures</w:t>
      </w:r>
      <w:r>
        <w:tab/>
      </w:r>
      <w:r>
        <w:fldChar w:fldCharType="begin"/>
      </w:r>
      <w:r>
        <w:instrText xml:space="preserve"> PAGEREF _Toc389575068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Subdivision, dedication and reservation of certain land in the development area</w:t>
      </w:r>
      <w:r>
        <w:tab/>
      </w:r>
      <w:r>
        <w:fldChar w:fldCharType="begin"/>
      </w:r>
      <w:r>
        <w:instrText xml:space="preserve"> PAGEREF _Toc389575069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Rezoning of land granted under Agreement</w:t>
      </w:r>
      <w:r>
        <w:tab/>
      </w:r>
      <w:r>
        <w:fldChar w:fldCharType="begin"/>
      </w:r>
      <w:r>
        <w:instrText xml:space="preserve"> PAGEREF _Toc389575070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Note regarding unexploded munitions to be endorsed on register</w:t>
      </w:r>
      <w:r>
        <w:tab/>
      </w:r>
      <w:r>
        <w:fldChar w:fldCharType="begin"/>
      </w:r>
      <w:r>
        <w:instrText xml:space="preserve"> PAGEREF _Toc389575071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 of Titles etc. shall give effect to Act</w:t>
      </w:r>
      <w:r>
        <w:tab/>
      </w:r>
      <w:r>
        <w:fldChar w:fldCharType="begin"/>
      </w:r>
      <w:r>
        <w:instrText xml:space="preserve"> PAGEREF _Toc389575072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Port Kennedy Management Board</w:t>
      </w:r>
    </w:p>
    <w:p>
      <w:pPr>
        <w:pStyle w:val="TOC8"/>
        <w:rPr>
          <w:rFonts w:asciiTheme="minorHAnsi" w:eastAsiaTheme="minorEastAsia" w:hAnsiTheme="minorHAnsi" w:cstheme="minorBidi"/>
          <w:szCs w:val="22"/>
        </w:rPr>
      </w:pPr>
      <w:r>
        <w:t>12</w:t>
      </w:r>
      <w:r>
        <w:rPr>
          <w:snapToGrid w:val="0"/>
        </w:rPr>
        <w:t>.</w:t>
      </w:r>
      <w:r>
        <w:rPr>
          <w:snapToGrid w:val="0"/>
        </w:rPr>
        <w:tab/>
        <w:t>Establishment and composition of Port Kennedy Management Board</w:t>
      </w:r>
      <w:r>
        <w:tab/>
      </w:r>
      <w:r>
        <w:fldChar w:fldCharType="begin"/>
      </w:r>
      <w:r>
        <w:instrText xml:space="preserve"> PAGEREF _Toc389575074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_Toc389575075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take into account advice of Board</w:t>
      </w:r>
      <w:r>
        <w:tab/>
      </w:r>
      <w:r>
        <w:fldChar w:fldCharType="begin"/>
      </w:r>
      <w:r>
        <w:instrText xml:space="preserve"> PAGEREF _Toc389575076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Chairperson</w:t>
      </w:r>
      <w:r>
        <w:tab/>
      </w:r>
      <w:r>
        <w:fldChar w:fldCharType="begin"/>
      </w:r>
      <w:r>
        <w:instrText xml:space="preserve"> PAGEREF _Toc389575077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Services and facilities</w:t>
      </w:r>
      <w:r>
        <w:tab/>
      </w:r>
      <w:r>
        <w:fldChar w:fldCharType="begin"/>
      </w:r>
      <w:r>
        <w:instrText xml:space="preserve"> PAGEREF _Toc389575078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w:t>
      </w:r>
      <w:r>
        <w:tab/>
      </w:r>
      <w:r>
        <w:fldChar w:fldCharType="begin"/>
      </w:r>
      <w:r>
        <w:instrText xml:space="preserve"> PAGEREF _Toc389575079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Protection of Board and members</w:t>
      </w:r>
      <w:r>
        <w:tab/>
      </w:r>
      <w:r>
        <w:fldChar w:fldCharType="begin"/>
      </w:r>
      <w:r>
        <w:instrText xml:space="preserve"> PAGEREF _Toc389575080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and proceedings</w:t>
      </w:r>
      <w:r>
        <w:tab/>
      </w:r>
      <w:r>
        <w:fldChar w:fldCharType="begin"/>
      </w:r>
      <w:r>
        <w:instrText xml:space="preserve"> PAGEREF _Toc389575081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of marina</w:t>
      </w:r>
      <w:r>
        <w:tab/>
      </w:r>
      <w:r>
        <w:fldChar w:fldCharType="begin"/>
      </w:r>
      <w:r>
        <w:instrText xml:space="preserve"> PAGEREF _Toc389575082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21</w:t>
      </w:r>
      <w:r>
        <w:rPr>
          <w:snapToGrid w:val="0"/>
        </w:rPr>
        <w:t>.</w:t>
      </w:r>
      <w:r>
        <w:rPr>
          <w:snapToGrid w:val="0"/>
        </w:rPr>
        <w:tab/>
        <w:t>Restriction upon development of land in stage 2 area</w:t>
      </w:r>
      <w:r>
        <w:tab/>
      </w:r>
      <w:r>
        <w:fldChar w:fldCharType="begin"/>
      </w:r>
      <w:r>
        <w:instrText xml:space="preserve"> PAGEREF _Toc389575084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_Toc389575085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Review</w:t>
      </w:r>
      <w:r>
        <w:tab/>
      </w:r>
      <w:r>
        <w:fldChar w:fldCharType="begin"/>
      </w:r>
      <w:r>
        <w:instrText xml:space="preserve"> PAGEREF _Toc389575086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1 — The Agreement</w:t>
      </w:r>
    </w:p>
    <w:p>
      <w:pPr>
        <w:pStyle w:val="TOC2"/>
        <w:tabs>
          <w:tab w:val="right" w:leader="dot" w:pos="7086"/>
        </w:tabs>
        <w:rPr>
          <w:rFonts w:asciiTheme="minorHAnsi" w:eastAsiaTheme="minorEastAsia" w:hAnsiTheme="minorHAnsi" w:cstheme="minorBidi"/>
          <w:b w:val="0"/>
          <w:sz w:val="22"/>
          <w:szCs w:val="22"/>
        </w:rPr>
      </w:pPr>
      <w:r>
        <w:t>Schedule 2 — Constitution and proceedings of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_Toc389575089 \h </w:instrText>
      </w:r>
      <w:r>
        <w:fldChar w:fldCharType="separate"/>
      </w:r>
      <w:r>
        <w:t>74</w:t>
      </w:r>
      <w:r>
        <w:fldChar w:fldCharType="end"/>
      </w:r>
    </w:p>
    <w:p>
      <w:pPr>
        <w:pStyle w:val="TOC8"/>
        <w:rPr>
          <w:rFonts w:asciiTheme="minorHAnsi" w:eastAsiaTheme="minorEastAsia" w:hAnsiTheme="minorHAnsi" w:cstheme="minorBidi"/>
          <w:szCs w:val="22"/>
        </w:rPr>
      </w:pPr>
      <w:r>
        <w:t>2.</w:t>
      </w:r>
      <w:r>
        <w:tab/>
        <w:t>Vacation of office by member</w:t>
      </w:r>
      <w:r>
        <w:tab/>
      </w:r>
      <w:r>
        <w:fldChar w:fldCharType="begin"/>
      </w:r>
      <w:r>
        <w:instrText xml:space="preserve"> PAGEREF _Toc389575090 \h </w:instrText>
      </w:r>
      <w:r>
        <w:fldChar w:fldCharType="separate"/>
      </w:r>
      <w:r>
        <w:t>74</w:t>
      </w:r>
      <w:r>
        <w:fldChar w:fldCharType="end"/>
      </w:r>
    </w:p>
    <w:p>
      <w:pPr>
        <w:pStyle w:val="TOC8"/>
        <w:rPr>
          <w:rFonts w:asciiTheme="minorHAnsi" w:eastAsiaTheme="minorEastAsia" w:hAnsiTheme="minorHAnsi" w:cstheme="minorBidi"/>
          <w:szCs w:val="22"/>
        </w:rPr>
      </w:pPr>
      <w:r>
        <w:t>3.</w:t>
      </w:r>
      <w:r>
        <w:tab/>
        <w:t>Proceedings of Board</w:t>
      </w:r>
      <w:r>
        <w:tab/>
      </w:r>
      <w:r>
        <w:fldChar w:fldCharType="begin"/>
      </w:r>
      <w:r>
        <w:instrText xml:space="preserve"> PAGEREF _Toc389575091 \h </w:instrText>
      </w:r>
      <w:r>
        <w:fldChar w:fldCharType="separate"/>
      </w:r>
      <w:r>
        <w:t>74</w:t>
      </w:r>
      <w:r>
        <w:fldChar w:fldCharType="end"/>
      </w:r>
    </w:p>
    <w:p>
      <w:pPr>
        <w:pStyle w:val="TOC8"/>
        <w:rPr>
          <w:rFonts w:asciiTheme="minorHAnsi" w:eastAsiaTheme="minorEastAsia" w:hAnsiTheme="minorHAnsi" w:cstheme="minorBidi"/>
          <w:szCs w:val="22"/>
        </w:rPr>
      </w:pPr>
      <w:r>
        <w:t>4.</w:t>
      </w:r>
      <w:r>
        <w:tab/>
        <w:t>Chairperson</w:t>
      </w:r>
      <w:r>
        <w:tab/>
      </w:r>
      <w:r>
        <w:fldChar w:fldCharType="begin"/>
      </w:r>
      <w:r>
        <w:instrText xml:space="preserve"> PAGEREF _Toc389575092 \h </w:instrText>
      </w:r>
      <w:r>
        <w:fldChar w:fldCharType="separate"/>
      </w:r>
      <w:r>
        <w:t>75</w:t>
      </w:r>
      <w:r>
        <w:fldChar w:fldCharType="end"/>
      </w:r>
    </w:p>
    <w:p>
      <w:pPr>
        <w:pStyle w:val="TOC8"/>
        <w:rPr>
          <w:rFonts w:asciiTheme="minorHAnsi" w:eastAsiaTheme="minorEastAsia" w:hAnsiTheme="minorHAnsi" w:cstheme="minorBidi"/>
          <w:szCs w:val="22"/>
        </w:rPr>
      </w:pPr>
      <w:r>
        <w:t>5.</w:t>
      </w:r>
      <w:r>
        <w:tab/>
        <w:t>Delegation by Board</w:t>
      </w:r>
      <w:r>
        <w:tab/>
      </w:r>
      <w:r>
        <w:fldChar w:fldCharType="begin"/>
      </w:r>
      <w:r>
        <w:instrText xml:space="preserve"> PAGEREF _Toc389575093 \h </w:instrText>
      </w:r>
      <w:r>
        <w:fldChar w:fldCharType="separate"/>
      </w:r>
      <w:r>
        <w:t>75</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_Toc389575094 \h </w:instrText>
      </w:r>
      <w:r>
        <w:fldChar w:fldCharType="separate"/>
      </w:r>
      <w:r>
        <w:t>75</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_Toc389575095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_Toc389575097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May 2014</w:t>
            </w:r>
          </w:p>
        </w:tc>
      </w:tr>
    </w:tbl>
    <w:p>
      <w:pPr>
        <w:pStyle w:val="WA"/>
        <w:spacing w:before="120"/>
      </w:pPr>
      <w:r>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389575059"/>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57506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3" w:name="_Toc38957506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 w:name="_Toc389575062"/>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5" w:name="_Toc389575063"/>
      <w:r>
        <w:rPr>
          <w:rStyle w:val="CharPartNo"/>
        </w:rPr>
        <w:t>Part 2</w:t>
      </w:r>
      <w:r>
        <w:rPr>
          <w:rStyle w:val="CharDivNo"/>
        </w:rPr>
        <w:t> </w:t>
      </w:r>
      <w:r>
        <w:t>—</w:t>
      </w:r>
      <w:r>
        <w:rPr>
          <w:rStyle w:val="CharDivText"/>
        </w:rPr>
        <w:t> </w:t>
      </w:r>
      <w:r>
        <w:rPr>
          <w:rStyle w:val="CharPartText"/>
        </w:rPr>
        <w:t>Ratification of Agreement</w:t>
      </w:r>
      <w:bookmarkEnd w:id="5"/>
      <w:r>
        <w:rPr>
          <w:rStyle w:val="CharPartText"/>
        </w:rPr>
        <w:t xml:space="preserve"> </w:t>
      </w:r>
    </w:p>
    <w:p>
      <w:pPr>
        <w:pStyle w:val="Heading5"/>
        <w:rPr>
          <w:snapToGrid w:val="0"/>
        </w:rPr>
      </w:pPr>
      <w:bookmarkStart w:id="6" w:name="_Toc389575064"/>
      <w:r>
        <w:rPr>
          <w:rStyle w:val="CharSectno"/>
        </w:rPr>
        <w:t>4</w:t>
      </w:r>
      <w:r>
        <w:rPr>
          <w:snapToGrid w:val="0"/>
        </w:rPr>
        <w:t>.</w:t>
      </w:r>
      <w:r>
        <w:rPr>
          <w:snapToGrid w:val="0"/>
        </w:rPr>
        <w:tab/>
        <w:t>Agreement ratified and implementation authorised</w:t>
      </w:r>
      <w:bookmarkEnd w:id="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7" w:name="_Toc389575065"/>
      <w:r>
        <w:rPr>
          <w:rStyle w:val="CharPartNo"/>
        </w:rPr>
        <w:t>Part 3</w:t>
      </w:r>
      <w:r>
        <w:rPr>
          <w:rStyle w:val="CharDivNo"/>
        </w:rPr>
        <w:t> </w:t>
      </w:r>
      <w:r>
        <w:t>—</w:t>
      </w:r>
      <w:r>
        <w:rPr>
          <w:rStyle w:val="CharDivText"/>
        </w:rPr>
        <w:t> </w:t>
      </w:r>
      <w:r>
        <w:rPr>
          <w:rStyle w:val="CharPartText"/>
        </w:rPr>
        <w:t>Facilitation of development</w:t>
      </w:r>
      <w:bookmarkEnd w:id="7"/>
      <w:r>
        <w:rPr>
          <w:rStyle w:val="CharPartText"/>
        </w:rPr>
        <w:t xml:space="preserve"> </w:t>
      </w:r>
    </w:p>
    <w:p>
      <w:pPr>
        <w:pStyle w:val="Heading5"/>
        <w:rPr>
          <w:snapToGrid w:val="0"/>
        </w:rPr>
      </w:pPr>
      <w:bookmarkStart w:id="8" w:name="_Toc389575066"/>
      <w:r>
        <w:rPr>
          <w:rStyle w:val="CharSectno"/>
        </w:rPr>
        <w:t>5</w:t>
      </w:r>
      <w:r>
        <w:rPr>
          <w:snapToGrid w:val="0"/>
        </w:rPr>
        <w:t>.</w:t>
      </w:r>
      <w:r>
        <w:rPr>
          <w:snapToGrid w:val="0"/>
        </w:rPr>
        <w:tab/>
        <w:t>Reserve cancelled, roads closed and land vested in Crown</w:t>
      </w:r>
      <w:bookmarkEnd w:id="8"/>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9" w:name="_Toc389575067"/>
      <w:r>
        <w:rPr>
          <w:rStyle w:val="CharSectno"/>
        </w:rPr>
        <w:t>6</w:t>
      </w:r>
      <w:r>
        <w:rPr>
          <w:snapToGrid w:val="0"/>
        </w:rPr>
        <w:t>.</w:t>
      </w:r>
      <w:r>
        <w:rPr>
          <w:snapToGrid w:val="0"/>
        </w:rPr>
        <w:tab/>
        <w:t>Area of Port Kennedy Land Conservation District amended</w:t>
      </w:r>
      <w:bookmarkEnd w:id="9"/>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10" w:name="_Toc389575068"/>
      <w:r>
        <w:rPr>
          <w:rStyle w:val="CharSectno"/>
        </w:rPr>
        <w:t>7</w:t>
      </w:r>
      <w:r>
        <w:rPr>
          <w:snapToGrid w:val="0"/>
        </w:rPr>
        <w:t>.</w:t>
      </w:r>
      <w:r>
        <w:rPr>
          <w:snapToGrid w:val="0"/>
        </w:rPr>
        <w:tab/>
        <w:t>Removal of unauthorised structures</w:t>
      </w:r>
      <w:bookmarkEnd w:id="10"/>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11" w:name="_Toc389575069"/>
      <w:r>
        <w:rPr>
          <w:rStyle w:val="CharSectno"/>
        </w:rPr>
        <w:t>8</w:t>
      </w:r>
      <w:r>
        <w:rPr>
          <w:snapToGrid w:val="0"/>
        </w:rPr>
        <w:t>.</w:t>
      </w:r>
      <w:r>
        <w:rPr>
          <w:snapToGrid w:val="0"/>
        </w:rPr>
        <w:tab/>
        <w:t>Subdivision, dedication and reservation of certain land in the development area</w:t>
      </w:r>
      <w:bookmarkEnd w:id="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12" w:name="_Toc389575070"/>
      <w:r>
        <w:rPr>
          <w:rStyle w:val="CharSectno"/>
        </w:rPr>
        <w:t>9</w:t>
      </w:r>
      <w:r>
        <w:rPr>
          <w:snapToGrid w:val="0"/>
        </w:rPr>
        <w:t>.</w:t>
      </w:r>
      <w:r>
        <w:rPr>
          <w:snapToGrid w:val="0"/>
        </w:rPr>
        <w:tab/>
        <w:t>Rezoning of land granted under Agreement</w:t>
      </w:r>
      <w:bookmarkEnd w:id="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13" w:name="_Toc389575071"/>
      <w:r>
        <w:rPr>
          <w:rStyle w:val="CharSectno"/>
        </w:rPr>
        <w:t>10</w:t>
      </w:r>
      <w:r>
        <w:rPr>
          <w:snapToGrid w:val="0"/>
        </w:rPr>
        <w:t>.</w:t>
      </w:r>
      <w:r>
        <w:rPr>
          <w:snapToGrid w:val="0"/>
        </w:rPr>
        <w:tab/>
        <w:t>Note regarding unexploded munitions to be endorsed on register</w:t>
      </w:r>
      <w:bookmarkEnd w:id="13"/>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14" w:name="_Toc389575072"/>
      <w:r>
        <w:rPr>
          <w:rStyle w:val="CharSectno"/>
        </w:rPr>
        <w:t>11</w:t>
      </w:r>
      <w:r>
        <w:rPr>
          <w:snapToGrid w:val="0"/>
        </w:rPr>
        <w:t>.</w:t>
      </w:r>
      <w:r>
        <w:rPr>
          <w:snapToGrid w:val="0"/>
        </w:rPr>
        <w:tab/>
        <w:t>Registrar of Titles etc. shall give effect to Act</w:t>
      </w:r>
      <w:bookmarkEnd w:id="14"/>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15" w:name="_Toc389575073"/>
      <w:r>
        <w:rPr>
          <w:rStyle w:val="CharPartNo"/>
        </w:rPr>
        <w:t>Part 4</w:t>
      </w:r>
      <w:r>
        <w:rPr>
          <w:rStyle w:val="CharDivNo"/>
        </w:rPr>
        <w:t> </w:t>
      </w:r>
      <w:r>
        <w:t>—</w:t>
      </w:r>
      <w:r>
        <w:rPr>
          <w:rStyle w:val="CharDivText"/>
        </w:rPr>
        <w:t> </w:t>
      </w:r>
      <w:r>
        <w:rPr>
          <w:rStyle w:val="CharPartText"/>
        </w:rPr>
        <w:t>Port Kennedy Management Board</w:t>
      </w:r>
      <w:bookmarkEnd w:id="15"/>
      <w:r>
        <w:rPr>
          <w:rStyle w:val="CharPartText"/>
        </w:rPr>
        <w:t xml:space="preserve"> </w:t>
      </w:r>
    </w:p>
    <w:p>
      <w:pPr>
        <w:pStyle w:val="Heading5"/>
        <w:rPr>
          <w:snapToGrid w:val="0"/>
        </w:rPr>
      </w:pPr>
      <w:bookmarkStart w:id="16" w:name="_Toc389575074"/>
      <w:r>
        <w:rPr>
          <w:rStyle w:val="CharSectno"/>
        </w:rPr>
        <w:t>12</w:t>
      </w:r>
      <w:r>
        <w:rPr>
          <w:snapToGrid w:val="0"/>
        </w:rPr>
        <w:t>.</w:t>
      </w:r>
      <w:r>
        <w:rPr>
          <w:snapToGrid w:val="0"/>
        </w:rPr>
        <w:tab/>
        <w:t>Establishment and composition of Port Kennedy Management Board</w:t>
      </w:r>
      <w:bookmarkEnd w:id="16"/>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17" w:name="_Toc389575075"/>
      <w:r>
        <w:rPr>
          <w:rStyle w:val="CharSectno"/>
        </w:rPr>
        <w:t>13</w:t>
      </w:r>
      <w:r>
        <w:rPr>
          <w:snapToGrid w:val="0"/>
        </w:rPr>
        <w:t>.</w:t>
      </w:r>
      <w:r>
        <w:rPr>
          <w:snapToGrid w:val="0"/>
        </w:rPr>
        <w:tab/>
        <w:t>Functions of Board</w:t>
      </w:r>
      <w:bookmarkEnd w:id="17"/>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8" w:name="_Toc389575076"/>
      <w:r>
        <w:rPr>
          <w:rStyle w:val="CharSectno"/>
        </w:rPr>
        <w:t>14</w:t>
      </w:r>
      <w:r>
        <w:rPr>
          <w:snapToGrid w:val="0"/>
        </w:rPr>
        <w:t>.</w:t>
      </w:r>
      <w:r>
        <w:rPr>
          <w:snapToGrid w:val="0"/>
        </w:rPr>
        <w:tab/>
        <w:t>Minister to take into account advice of Board</w:t>
      </w:r>
      <w:bookmarkEnd w:id="18"/>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9" w:name="_Toc389575077"/>
      <w:r>
        <w:rPr>
          <w:rStyle w:val="CharSectno"/>
        </w:rPr>
        <w:t>15</w:t>
      </w:r>
      <w:r>
        <w:rPr>
          <w:snapToGrid w:val="0"/>
        </w:rPr>
        <w:t>.</w:t>
      </w:r>
      <w:r>
        <w:rPr>
          <w:snapToGrid w:val="0"/>
        </w:rPr>
        <w:tab/>
        <w:t>Chairperson</w:t>
      </w:r>
      <w:bookmarkEnd w:id="19"/>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20" w:name="_Toc389575078"/>
      <w:r>
        <w:rPr>
          <w:rStyle w:val="CharSectno"/>
        </w:rPr>
        <w:t>16</w:t>
      </w:r>
      <w:r>
        <w:rPr>
          <w:snapToGrid w:val="0"/>
        </w:rPr>
        <w:t>.</w:t>
      </w:r>
      <w:r>
        <w:rPr>
          <w:snapToGrid w:val="0"/>
        </w:rPr>
        <w:tab/>
        <w:t>Services and facilities</w:t>
      </w:r>
      <w:bookmarkEnd w:id="20"/>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21" w:name="_Toc389575079"/>
      <w:r>
        <w:rPr>
          <w:rStyle w:val="CharSectno"/>
        </w:rPr>
        <w:t>17</w:t>
      </w:r>
      <w:r>
        <w:rPr>
          <w:snapToGrid w:val="0"/>
        </w:rPr>
        <w:t>.</w:t>
      </w:r>
      <w:r>
        <w:rPr>
          <w:snapToGrid w:val="0"/>
        </w:rPr>
        <w:tab/>
        <w:t>Remuneration</w:t>
      </w:r>
      <w:bookmarkEnd w:id="21"/>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22" w:name="_Toc389575080"/>
      <w:r>
        <w:rPr>
          <w:rStyle w:val="CharSectno"/>
        </w:rPr>
        <w:t>18</w:t>
      </w:r>
      <w:r>
        <w:rPr>
          <w:snapToGrid w:val="0"/>
        </w:rPr>
        <w:t>.</w:t>
      </w:r>
      <w:r>
        <w:rPr>
          <w:snapToGrid w:val="0"/>
        </w:rPr>
        <w:tab/>
        <w:t>Protection of Board and members</w:t>
      </w:r>
      <w:bookmarkEnd w:id="22"/>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23" w:name="_Toc389575081"/>
      <w:r>
        <w:rPr>
          <w:rStyle w:val="CharSectno"/>
        </w:rPr>
        <w:t>19</w:t>
      </w:r>
      <w:r>
        <w:rPr>
          <w:snapToGrid w:val="0"/>
        </w:rPr>
        <w:t>.</w:t>
      </w:r>
      <w:r>
        <w:rPr>
          <w:snapToGrid w:val="0"/>
        </w:rPr>
        <w:tab/>
        <w:t>Constitution and proceedings</w:t>
      </w:r>
      <w:bookmarkEnd w:id="23"/>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24" w:name="_Toc389575082"/>
      <w:r>
        <w:rPr>
          <w:rStyle w:val="CharSectno"/>
        </w:rPr>
        <w:t>20</w:t>
      </w:r>
      <w:r>
        <w:rPr>
          <w:snapToGrid w:val="0"/>
        </w:rPr>
        <w:t>.</w:t>
      </w:r>
      <w:r>
        <w:rPr>
          <w:snapToGrid w:val="0"/>
        </w:rPr>
        <w:tab/>
        <w:t>Construction of marina</w:t>
      </w:r>
      <w:bookmarkEnd w:id="24"/>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25" w:name="_Toc389575083"/>
      <w:r>
        <w:rPr>
          <w:rStyle w:val="CharPartNo"/>
        </w:rPr>
        <w:t>Part 5</w:t>
      </w:r>
      <w:r>
        <w:rPr>
          <w:rStyle w:val="CharDivNo"/>
        </w:rPr>
        <w:t> </w:t>
      </w:r>
      <w:r>
        <w:t>—</w:t>
      </w:r>
      <w:r>
        <w:rPr>
          <w:rStyle w:val="CharDivText"/>
        </w:rPr>
        <w:t> </w:t>
      </w:r>
      <w:r>
        <w:rPr>
          <w:rStyle w:val="CharPartText"/>
        </w:rPr>
        <w:t>Miscellaneous</w:t>
      </w:r>
      <w:bookmarkEnd w:id="25"/>
      <w:r>
        <w:rPr>
          <w:rStyle w:val="CharPartText"/>
        </w:rPr>
        <w:t xml:space="preserve"> </w:t>
      </w:r>
    </w:p>
    <w:p>
      <w:pPr>
        <w:pStyle w:val="Heading5"/>
        <w:rPr>
          <w:snapToGrid w:val="0"/>
        </w:rPr>
      </w:pPr>
      <w:bookmarkStart w:id="26" w:name="_Toc389575084"/>
      <w:r>
        <w:rPr>
          <w:rStyle w:val="CharSectno"/>
        </w:rPr>
        <w:t>21</w:t>
      </w:r>
      <w:r>
        <w:rPr>
          <w:snapToGrid w:val="0"/>
        </w:rPr>
        <w:t>.</w:t>
      </w:r>
      <w:r>
        <w:rPr>
          <w:snapToGrid w:val="0"/>
        </w:rPr>
        <w:tab/>
        <w:t>Restriction upon development of land in stage 2 area</w:t>
      </w:r>
      <w:bookmarkEnd w:id="26"/>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27" w:name="_Toc389575085"/>
      <w:r>
        <w:rPr>
          <w:rStyle w:val="CharSectno"/>
        </w:rPr>
        <w:t>22</w:t>
      </w:r>
      <w:r>
        <w:rPr>
          <w:snapToGrid w:val="0"/>
        </w:rPr>
        <w:t>.</w:t>
      </w:r>
      <w:r>
        <w:rPr>
          <w:snapToGrid w:val="0"/>
        </w:rPr>
        <w:tab/>
        <w:t>Regulations</w:t>
      </w:r>
      <w:bookmarkEnd w:id="27"/>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28" w:name="_Toc389575086"/>
      <w:r>
        <w:rPr>
          <w:rStyle w:val="CharSectno"/>
        </w:rPr>
        <w:t>23</w:t>
      </w:r>
      <w:r>
        <w:rPr>
          <w:snapToGrid w:val="0"/>
        </w:rPr>
        <w:t>.</w:t>
      </w:r>
      <w:r>
        <w:rPr>
          <w:snapToGrid w:val="0"/>
        </w:rPr>
        <w:tab/>
        <w:t>Review</w:t>
      </w:r>
      <w:bookmarkEnd w:id="28"/>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29" w:name="_Toc389575087"/>
      <w:r>
        <w:rPr>
          <w:rStyle w:val="CharSchNo"/>
        </w:rPr>
        <w:t>Schedule 1</w:t>
      </w:r>
      <w:r>
        <w:rPr>
          <w:rStyle w:val="CharSDivNo"/>
        </w:rPr>
        <w:t> </w:t>
      </w:r>
      <w:r>
        <w:t>—</w:t>
      </w:r>
      <w:r>
        <w:rPr>
          <w:rStyle w:val="CharSDivText"/>
        </w:rPr>
        <w:t> </w:t>
      </w:r>
      <w:r>
        <w:rPr>
          <w:rStyle w:val="CharSchText"/>
        </w:rPr>
        <w:t>The Agreement</w:t>
      </w:r>
      <w:bookmarkEnd w:id="29"/>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 id="_x0000_i1026" type="#_x0000_t75" style="width:147pt;height:32.25pt" o:ole="" fillcolor="window">
            <v:imagedata r:id="rId29" o:title=""/>
          </v:shape>
          <o:OLEObject Type="Embed" ProgID="Equation.3" ShapeID="_x0000_i1026" DrawAspect="Content" ObjectID="_1649076364" r:id="rId30"/>
        </w:obje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31"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yScheduleHeading"/>
      </w:pPr>
      <w:bookmarkStart w:id="30" w:name="_Toc389575088"/>
      <w:r>
        <w:rPr>
          <w:rStyle w:val="CharSchNo"/>
        </w:rPr>
        <w:t>Schedule 2</w:t>
      </w:r>
      <w:r>
        <w:rPr>
          <w:rStyle w:val="CharSDivNo"/>
        </w:rPr>
        <w:t> </w:t>
      </w:r>
      <w:r>
        <w:t>—</w:t>
      </w:r>
      <w:r>
        <w:rPr>
          <w:rStyle w:val="CharSDivText"/>
        </w:rPr>
        <w:t> </w:t>
      </w:r>
      <w:r>
        <w:rPr>
          <w:rStyle w:val="CharSchText"/>
        </w:rPr>
        <w:t>Constitution and proceedings of Board</w:t>
      </w:r>
      <w:bookmarkEnd w:id="30"/>
    </w:p>
    <w:p>
      <w:pPr>
        <w:pStyle w:val="yShoulderClause"/>
        <w:rPr>
          <w:snapToGrid w:val="0"/>
        </w:rPr>
      </w:pPr>
      <w:r>
        <w:rPr>
          <w:snapToGrid w:val="0"/>
        </w:rPr>
        <w:t>[s. 19]</w:t>
      </w:r>
    </w:p>
    <w:p>
      <w:pPr>
        <w:pStyle w:val="yFootnoteheading"/>
      </w:pPr>
      <w:r>
        <w:tab/>
        <w:t>[Heading amended by No. 19 of 2010 s. 4.]</w:t>
      </w:r>
    </w:p>
    <w:p>
      <w:pPr>
        <w:pStyle w:val="yHeading5"/>
      </w:pPr>
      <w:bookmarkStart w:id="31" w:name="_Toc389575089"/>
      <w:r>
        <w:rPr>
          <w:rStyle w:val="CharSClsNo"/>
        </w:rPr>
        <w:t>1</w:t>
      </w:r>
      <w:r>
        <w:t>.</w:t>
      </w:r>
      <w:r>
        <w:tab/>
        <w:t>Term of office of members</w:t>
      </w:r>
      <w:bookmarkEnd w:id="31"/>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32" w:name="_Toc389575090"/>
      <w:r>
        <w:rPr>
          <w:rStyle w:val="CharSClsNo"/>
        </w:rPr>
        <w:t>2</w:t>
      </w:r>
      <w:r>
        <w:t>.</w:t>
      </w:r>
      <w:r>
        <w:tab/>
        <w:t>Vacation of office by member</w:t>
      </w:r>
      <w:bookmarkEnd w:id="3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33" w:name="_Toc389575091"/>
      <w:r>
        <w:rPr>
          <w:rStyle w:val="CharSClsNo"/>
        </w:rPr>
        <w:t>3</w:t>
      </w:r>
      <w:r>
        <w:t>.</w:t>
      </w:r>
      <w:r>
        <w:tab/>
        <w:t>Proceedings of Board</w:t>
      </w:r>
      <w:bookmarkEnd w:id="33"/>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34" w:name="_Toc389575092"/>
      <w:r>
        <w:rPr>
          <w:rStyle w:val="CharSClsNo"/>
        </w:rPr>
        <w:t>4</w:t>
      </w:r>
      <w:r>
        <w:t>.</w:t>
      </w:r>
      <w:r>
        <w:tab/>
        <w:t>Chairperson</w:t>
      </w:r>
      <w:bookmarkEnd w:id="34"/>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35" w:name="_Toc389575093"/>
      <w:r>
        <w:rPr>
          <w:rStyle w:val="CharSClsNo"/>
        </w:rPr>
        <w:t>5</w:t>
      </w:r>
      <w:r>
        <w:t>.</w:t>
      </w:r>
      <w:r>
        <w:tab/>
        <w:t>Delegation by Board</w:t>
      </w:r>
      <w:bookmarkEnd w:id="35"/>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36" w:name="_Toc389575094"/>
      <w:r>
        <w:rPr>
          <w:rStyle w:val="CharSClsNo"/>
        </w:rPr>
        <w:t>6</w:t>
      </w:r>
      <w:r>
        <w:t>.</w:t>
      </w:r>
      <w:r>
        <w:tab/>
        <w:t>Voting</w:t>
      </w:r>
      <w:bookmarkEnd w:id="36"/>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37" w:name="_Toc389575095"/>
      <w:r>
        <w:rPr>
          <w:rStyle w:val="CharSClsNo"/>
        </w:rPr>
        <w:t>7</w:t>
      </w:r>
      <w:r>
        <w:t>.</w:t>
      </w:r>
      <w:r>
        <w:tab/>
        <w:t>Minutes</w:t>
      </w:r>
      <w:bookmarkEnd w:id="37"/>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nHeading2"/>
      </w:pPr>
      <w:bookmarkStart w:id="38" w:name="_Toc389575096"/>
      <w:r>
        <w:t>Notes</w:t>
      </w:r>
      <w:bookmarkEnd w:id="38"/>
    </w:p>
    <w:p>
      <w:pPr>
        <w:pStyle w:val="nSubsection"/>
        <w:rPr>
          <w:snapToGrid w:val="0"/>
        </w:rPr>
      </w:pPr>
      <w:r>
        <w:rPr>
          <w:snapToGrid w:val="0"/>
          <w:vertAlign w:val="superscript"/>
        </w:rPr>
        <w:t>1</w:t>
      </w:r>
      <w:r>
        <w:rPr>
          <w:snapToGrid w:val="0"/>
        </w:rPr>
        <w:tab/>
        <w:t xml:space="preserve">This reprint is a compilation as at 23 May 2014 of the </w:t>
      </w:r>
      <w:r>
        <w:rPr>
          <w:i/>
          <w:noProof/>
          <w:snapToGrid w:val="0"/>
        </w:rPr>
        <w:t>Port Kennedy 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89575097"/>
      <w:r>
        <w:rPr>
          <w:snapToGrid w:val="0"/>
        </w:rPr>
        <w:t>Compilation table</w:t>
      </w:r>
      <w:bookmarkEnd w:id="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8" w:type="dxa"/>
            <w:tcBorders>
              <w:top w:val="single" w:sz="8" w:space="0" w:color="auto"/>
            </w:tcBorders>
          </w:tcPr>
          <w:p>
            <w:pPr>
              <w:pStyle w:val="nTable"/>
              <w:spacing w:before="50" w:after="40"/>
              <w:ind w:right="113"/>
              <w:rPr>
                <w:sz w:val="19"/>
              </w:rPr>
            </w:pPr>
            <w:r>
              <w:rPr>
                <w:i/>
                <w:sz w:val="19"/>
              </w:rPr>
              <w:t>Port Kennedy Development Agreement Act 1992</w:t>
            </w:r>
          </w:p>
        </w:tc>
        <w:tc>
          <w:tcPr>
            <w:tcW w:w="1134" w:type="dxa"/>
            <w:tcBorders>
              <w:top w:val="single" w:sz="8" w:space="0" w:color="auto"/>
            </w:tcBorders>
          </w:tcPr>
          <w:p>
            <w:pPr>
              <w:pStyle w:val="nTable"/>
              <w:spacing w:before="50" w:after="40"/>
              <w:rPr>
                <w:sz w:val="19"/>
              </w:rPr>
            </w:pPr>
            <w:r>
              <w:rPr>
                <w:sz w:val="19"/>
              </w:rPr>
              <w:t>45 of 1992</w:t>
            </w:r>
          </w:p>
        </w:tc>
        <w:tc>
          <w:tcPr>
            <w:tcW w:w="1136" w:type="dxa"/>
            <w:tcBorders>
              <w:top w:val="single" w:sz="8" w:space="0" w:color="auto"/>
            </w:tcBorders>
          </w:tcPr>
          <w:p>
            <w:pPr>
              <w:pStyle w:val="nTable"/>
              <w:spacing w:before="50" w:after="40"/>
              <w:rPr>
                <w:sz w:val="19"/>
              </w:rPr>
            </w:pPr>
            <w:r>
              <w:rPr>
                <w:sz w:val="19"/>
              </w:rPr>
              <w:t>8 Dec 1992</w:t>
            </w:r>
          </w:p>
        </w:tc>
        <w:tc>
          <w:tcPr>
            <w:tcW w:w="2551" w:type="dxa"/>
            <w:tcBorders>
              <w:top w:val="single" w:sz="8" w:space="0" w:color="auto"/>
            </w:tcBorders>
          </w:tcPr>
          <w:p>
            <w:pPr>
              <w:pStyle w:val="nTable"/>
              <w:spacing w:before="50" w:after="40"/>
              <w:rPr>
                <w:sz w:val="19"/>
              </w:rPr>
            </w:pPr>
            <w:r>
              <w:rPr>
                <w:sz w:val="19"/>
              </w:rPr>
              <w:t>s. 1 and 2: 8 Dec 1992;</w:t>
            </w:r>
            <w:r>
              <w:rPr>
                <w:sz w:val="19"/>
              </w:rPr>
              <w:br/>
              <w:t xml:space="preserve">Act other than s. 1 and 2: 24 Dec 1992 (see s. 2 and </w:t>
            </w:r>
            <w:r>
              <w:rPr>
                <w:i/>
                <w:sz w:val="19"/>
              </w:rPr>
              <w:t>Gazette</w:t>
            </w:r>
            <w:r>
              <w:rPr>
                <w:sz w:val="19"/>
              </w:rPr>
              <w:t xml:space="preserve"> 24 Dec 1992 p. 6307)</w:t>
            </w:r>
          </w:p>
        </w:tc>
      </w:tr>
      <w:tr>
        <w:trPr>
          <w:cantSplit/>
        </w:trPr>
        <w:tc>
          <w:tcPr>
            <w:tcW w:w="2268" w:type="dxa"/>
          </w:tcPr>
          <w:p>
            <w:pPr>
              <w:pStyle w:val="nTable"/>
              <w:spacing w:before="50" w:after="40"/>
              <w:ind w:right="113"/>
              <w:rPr>
                <w:sz w:val="19"/>
              </w:rPr>
            </w:pPr>
            <w:r>
              <w:rPr>
                <w:i/>
                <w:sz w:val="19"/>
              </w:rPr>
              <w:t>Fish Resources Management Act 1994</w:t>
            </w:r>
            <w:r>
              <w:rPr>
                <w:sz w:val="19"/>
              </w:rPr>
              <w:t xml:space="preserve"> s. 264</w:t>
            </w:r>
          </w:p>
        </w:tc>
        <w:tc>
          <w:tcPr>
            <w:tcW w:w="1134" w:type="dxa"/>
          </w:tcPr>
          <w:p>
            <w:pPr>
              <w:pStyle w:val="nTable"/>
              <w:spacing w:before="50" w:after="40"/>
              <w:rPr>
                <w:sz w:val="19"/>
              </w:rPr>
            </w:pPr>
            <w:r>
              <w:rPr>
                <w:sz w:val="19"/>
              </w:rPr>
              <w:t>53 of 1994</w:t>
            </w:r>
          </w:p>
        </w:tc>
        <w:tc>
          <w:tcPr>
            <w:tcW w:w="1136" w:type="dxa"/>
          </w:tcPr>
          <w:p>
            <w:pPr>
              <w:pStyle w:val="nTable"/>
              <w:spacing w:before="50" w:after="40"/>
              <w:rPr>
                <w:sz w:val="19"/>
              </w:rPr>
            </w:pPr>
            <w:r>
              <w:rPr>
                <w:sz w:val="19"/>
              </w:rPr>
              <w:t>2 Nov 1994</w:t>
            </w:r>
          </w:p>
        </w:tc>
        <w:tc>
          <w:tcPr>
            <w:tcW w:w="2551" w:type="dxa"/>
          </w:tcPr>
          <w:p>
            <w:pPr>
              <w:pStyle w:val="nTable"/>
              <w:spacing w:before="50"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50" w:after="40"/>
              <w:ind w:right="113"/>
              <w:rPr>
                <w:sz w:val="19"/>
              </w:rPr>
            </w:pPr>
            <w:r>
              <w:rPr>
                <w:i/>
                <w:sz w:val="19"/>
              </w:rPr>
              <w:t>Local Government (Consequential Amendments) Act 1996</w:t>
            </w:r>
            <w:r>
              <w:rPr>
                <w:sz w:val="19"/>
              </w:rPr>
              <w:t xml:space="preserve"> s. 4</w:t>
            </w:r>
          </w:p>
        </w:tc>
        <w:tc>
          <w:tcPr>
            <w:tcW w:w="1134"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551" w:type="dxa"/>
          </w:tcPr>
          <w:p>
            <w:pPr>
              <w:pStyle w:val="nTable"/>
              <w:spacing w:before="50" w:after="40"/>
              <w:rPr>
                <w:sz w:val="19"/>
              </w:rPr>
            </w:pPr>
            <w:r>
              <w:rPr>
                <w:sz w:val="19"/>
              </w:rPr>
              <w:t>1 Jul 1996 (see s. 2)</w:t>
            </w:r>
          </w:p>
        </w:tc>
      </w:tr>
      <w:tr>
        <w:trPr>
          <w:cantSplit/>
        </w:trPr>
        <w:tc>
          <w:tcPr>
            <w:tcW w:w="2268" w:type="dxa"/>
          </w:tcPr>
          <w:p>
            <w:pPr>
              <w:pStyle w:val="nTable"/>
              <w:spacing w:before="50" w:after="40"/>
              <w:ind w:right="113"/>
              <w:rPr>
                <w:sz w:val="19"/>
              </w:rPr>
            </w:pPr>
            <w:r>
              <w:rPr>
                <w:i/>
                <w:sz w:val="19"/>
              </w:rPr>
              <w:t>Transfer of Land Amendment Act 1996</w:t>
            </w:r>
            <w:r>
              <w:rPr>
                <w:sz w:val="19"/>
              </w:rPr>
              <w:t xml:space="preserve"> s. 153(1)</w:t>
            </w:r>
          </w:p>
        </w:tc>
        <w:tc>
          <w:tcPr>
            <w:tcW w:w="1134" w:type="dxa"/>
          </w:tcPr>
          <w:p>
            <w:pPr>
              <w:pStyle w:val="nTable"/>
              <w:spacing w:before="50" w:after="40"/>
              <w:rPr>
                <w:sz w:val="19"/>
              </w:rPr>
            </w:pPr>
            <w:r>
              <w:rPr>
                <w:sz w:val="19"/>
              </w:rPr>
              <w:t>81 of 1996</w:t>
            </w:r>
          </w:p>
        </w:tc>
        <w:tc>
          <w:tcPr>
            <w:tcW w:w="1136" w:type="dxa"/>
          </w:tcPr>
          <w:p>
            <w:pPr>
              <w:pStyle w:val="nTable"/>
              <w:spacing w:before="50" w:after="40"/>
              <w:rPr>
                <w:sz w:val="19"/>
              </w:rPr>
            </w:pPr>
            <w:r>
              <w:rPr>
                <w:sz w:val="19"/>
              </w:rPr>
              <w:t>14 Nov 1996</w:t>
            </w:r>
          </w:p>
        </w:tc>
        <w:tc>
          <w:tcPr>
            <w:tcW w:w="2551" w:type="dxa"/>
          </w:tcPr>
          <w:p>
            <w:pPr>
              <w:pStyle w:val="nTable"/>
              <w:spacing w:before="50" w:after="40"/>
              <w:rPr>
                <w:sz w:val="19"/>
              </w:rPr>
            </w:pPr>
            <w:r>
              <w:rPr>
                <w:sz w:val="19"/>
              </w:rPr>
              <w:t>14 Nov 1996 (see s. 2(1))</w:t>
            </w:r>
          </w:p>
        </w:tc>
      </w:tr>
      <w:tr>
        <w:trPr>
          <w:cantSplit/>
        </w:trPr>
        <w:tc>
          <w:tcPr>
            <w:tcW w:w="2268" w:type="dxa"/>
          </w:tcPr>
          <w:p>
            <w:pPr>
              <w:pStyle w:val="nTable"/>
              <w:spacing w:before="50" w:after="40"/>
              <w:ind w:right="113"/>
              <w:rPr>
                <w:i/>
                <w:sz w:val="19"/>
              </w:rPr>
            </w:pPr>
            <w:r>
              <w:rPr>
                <w:i/>
                <w:sz w:val="19"/>
              </w:rPr>
              <w:t>Corporations (Consequential Amendments) Act 2001</w:t>
            </w:r>
            <w:r>
              <w:rPr>
                <w:sz w:val="19"/>
              </w:rPr>
              <w:t xml:space="preserve"> s. 220</w:t>
            </w:r>
          </w:p>
        </w:tc>
        <w:tc>
          <w:tcPr>
            <w:tcW w:w="1134" w:type="dxa"/>
          </w:tcPr>
          <w:p>
            <w:pPr>
              <w:pStyle w:val="nTable"/>
              <w:spacing w:before="50" w:after="40"/>
              <w:rPr>
                <w:sz w:val="19"/>
              </w:rPr>
            </w:pPr>
            <w:r>
              <w:rPr>
                <w:sz w:val="19"/>
              </w:rPr>
              <w:t>10 of 2001</w:t>
            </w:r>
          </w:p>
        </w:tc>
        <w:tc>
          <w:tcPr>
            <w:tcW w:w="1136" w:type="dxa"/>
          </w:tcPr>
          <w:p>
            <w:pPr>
              <w:pStyle w:val="nTable"/>
              <w:spacing w:before="50" w:after="40"/>
              <w:rPr>
                <w:sz w:val="19"/>
              </w:rPr>
            </w:pPr>
            <w:r>
              <w:rPr>
                <w:sz w:val="19"/>
              </w:rPr>
              <w:t>28 Jun 2001</w:t>
            </w:r>
          </w:p>
        </w:tc>
        <w:tc>
          <w:tcPr>
            <w:tcW w:w="2551" w:type="dxa"/>
          </w:tcPr>
          <w:p>
            <w:pPr>
              <w:pStyle w:val="nTable"/>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before="50"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68" w:type="dxa"/>
          </w:tcPr>
          <w:p>
            <w:pPr>
              <w:pStyle w:val="nTable"/>
              <w:spacing w:before="50" w:after="40"/>
              <w:ind w:right="113"/>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before="50" w:after="40"/>
              <w:rPr>
                <w:sz w:val="19"/>
              </w:rPr>
            </w:pPr>
            <w:r>
              <w:rPr>
                <w:snapToGrid w:val="0"/>
                <w:sz w:val="19"/>
              </w:rPr>
              <w:t>38 of 2005</w:t>
            </w:r>
          </w:p>
        </w:tc>
        <w:tc>
          <w:tcPr>
            <w:tcW w:w="1136" w:type="dxa"/>
          </w:tcPr>
          <w:p>
            <w:pPr>
              <w:pStyle w:val="nTable"/>
              <w:spacing w:before="50" w:after="40"/>
              <w:rPr>
                <w:sz w:val="19"/>
              </w:rPr>
            </w:pPr>
            <w:r>
              <w:rPr>
                <w:sz w:val="19"/>
              </w:rPr>
              <w:t>12 Dec 2005</w:t>
            </w:r>
          </w:p>
        </w:tc>
        <w:tc>
          <w:tcPr>
            <w:tcW w:w="2551" w:type="dxa"/>
          </w:tcPr>
          <w:p>
            <w:pPr>
              <w:pStyle w:val="nTable"/>
              <w:spacing w:before="50"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before="50" w:after="40"/>
              <w:ind w:right="113"/>
              <w:rPr>
                <w:iCs/>
                <w:snapToGrid w:val="0"/>
                <w:sz w:val="19"/>
              </w:rPr>
            </w:pPr>
            <w:r>
              <w:rPr>
                <w:i/>
                <w:snapToGrid w:val="0"/>
                <w:sz w:val="19"/>
              </w:rPr>
              <w:t>Statutes (Repeals and Minor Amendments) Act 2009</w:t>
            </w:r>
            <w:r>
              <w:rPr>
                <w:iCs/>
                <w:snapToGrid w:val="0"/>
                <w:sz w:val="19"/>
              </w:rPr>
              <w:t xml:space="preserve"> s. 13</w:t>
            </w:r>
          </w:p>
        </w:tc>
        <w:tc>
          <w:tcPr>
            <w:tcW w:w="1134" w:type="dxa"/>
          </w:tcPr>
          <w:p>
            <w:pPr>
              <w:pStyle w:val="nTable"/>
              <w:spacing w:before="50" w:after="40"/>
              <w:rPr>
                <w:snapToGrid w:val="0"/>
                <w:sz w:val="19"/>
              </w:rPr>
            </w:pPr>
            <w:r>
              <w:rPr>
                <w:snapToGrid w:val="0"/>
                <w:sz w:val="19"/>
              </w:rPr>
              <w:t>46 of 2009</w:t>
            </w:r>
          </w:p>
        </w:tc>
        <w:tc>
          <w:tcPr>
            <w:tcW w:w="1136" w:type="dxa"/>
          </w:tcPr>
          <w:p>
            <w:pPr>
              <w:pStyle w:val="nTable"/>
              <w:spacing w:before="50" w:after="40"/>
              <w:rPr>
                <w:sz w:val="19"/>
              </w:rPr>
            </w:pPr>
            <w:r>
              <w:rPr>
                <w:sz w:val="19"/>
              </w:rPr>
              <w:t>3 Dec 2009</w:t>
            </w:r>
          </w:p>
        </w:tc>
        <w:tc>
          <w:tcPr>
            <w:tcW w:w="2551" w:type="dxa"/>
          </w:tcPr>
          <w:p>
            <w:pPr>
              <w:pStyle w:val="nTable"/>
              <w:spacing w:before="50" w:after="40"/>
              <w:rPr>
                <w:sz w:val="19"/>
              </w:rPr>
            </w:pPr>
            <w:r>
              <w:rPr>
                <w:sz w:val="19"/>
              </w:rPr>
              <w:t>4 Dec 2009 see s. 2(b))</w:t>
            </w:r>
          </w:p>
        </w:tc>
      </w:tr>
      <w:tr>
        <w:trPr>
          <w:cantSplit/>
        </w:trPr>
        <w:tc>
          <w:tcPr>
            <w:tcW w:w="2268" w:type="dxa"/>
          </w:tcPr>
          <w:p>
            <w:pPr>
              <w:pStyle w:val="nTable"/>
              <w:spacing w:before="50"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50" w:after="40"/>
              <w:rPr>
                <w:snapToGrid w:val="0"/>
                <w:sz w:val="19"/>
              </w:rPr>
            </w:pPr>
            <w:r>
              <w:rPr>
                <w:snapToGrid w:val="0"/>
                <w:sz w:val="19"/>
              </w:rPr>
              <w:t>19 of 2010</w:t>
            </w:r>
          </w:p>
        </w:tc>
        <w:tc>
          <w:tcPr>
            <w:tcW w:w="1136" w:type="dxa"/>
          </w:tcPr>
          <w:p>
            <w:pPr>
              <w:pStyle w:val="nTable"/>
              <w:spacing w:before="50" w:after="40"/>
              <w:rPr>
                <w:snapToGrid w:val="0"/>
                <w:sz w:val="19"/>
              </w:rPr>
            </w:pPr>
            <w:r>
              <w:rPr>
                <w:snapToGrid w:val="0"/>
                <w:sz w:val="19"/>
              </w:rPr>
              <w:t>28 Jun 2010</w:t>
            </w:r>
          </w:p>
        </w:tc>
        <w:tc>
          <w:tcPr>
            <w:tcW w:w="2551" w:type="dxa"/>
          </w:tcPr>
          <w:p>
            <w:pPr>
              <w:pStyle w:val="nTable"/>
              <w:spacing w:before="50"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shd w:val="clear" w:color="auto" w:fill="auto"/>
          </w:tcPr>
          <w:p>
            <w:pPr>
              <w:pStyle w:val="nTable"/>
              <w:spacing w:before="50" w:after="40"/>
              <w:ind w:right="113"/>
              <w:rPr>
                <w:iCs/>
                <w:snapToGrid w:val="0"/>
                <w:sz w:val="19"/>
              </w:rPr>
            </w:pPr>
            <w:r>
              <w:rPr>
                <w:i/>
                <w:iCs/>
                <w:snapToGrid w:val="0"/>
                <w:sz w:val="19"/>
              </w:rPr>
              <w:t>Public Sector Reform Act 2010</w:t>
            </w:r>
            <w:r>
              <w:rPr>
                <w:iCs/>
                <w:snapToGrid w:val="0"/>
                <w:sz w:val="19"/>
              </w:rPr>
              <w:t xml:space="preserve"> s. 89</w:t>
            </w:r>
          </w:p>
        </w:tc>
        <w:tc>
          <w:tcPr>
            <w:tcW w:w="1134" w:type="dxa"/>
            <w:shd w:val="clear" w:color="auto" w:fill="auto"/>
          </w:tcPr>
          <w:p>
            <w:pPr>
              <w:pStyle w:val="nTable"/>
              <w:spacing w:before="50" w:after="40"/>
              <w:rPr>
                <w:snapToGrid w:val="0"/>
                <w:sz w:val="19"/>
              </w:rPr>
            </w:pPr>
            <w:r>
              <w:rPr>
                <w:snapToGrid w:val="0"/>
                <w:sz w:val="19"/>
              </w:rPr>
              <w:t>39 of 2010</w:t>
            </w:r>
          </w:p>
        </w:tc>
        <w:tc>
          <w:tcPr>
            <w:tcW w:w="1136" w:type="dxa"/>
            <w:shd w:val="clear" w:color="auto" w:fill="auto"/>
          </w:tcPr>
          <w:p>
            <w:pPr>
              <w:pStyle w:val="nTable"/>
              <w:spacing w:before="50" w:after="40"/>
              <w:rPr>
                <w:snapToGrid w:val="0"/>
                <w:sz w:val="19"/>
              </w:rPr>
            </w:pPr>
            <w:r>
              <w:rPr>
                <w:snapToGrid w:val="0"/>
                <w:sz w:val="19"/>
              </w:rPr>
              <w:t>1 Oct 2010</w:t>
            </w:r>
          </w:p>
        </w:tc>
        <w:tc>
          <w:tcPr>
            <w:tcW w:w="2551" w:type="dxa"/>
            <w:shd w:val="clear" w:color="auto" w:fill="auto"/>
          </w:tcPr>
          <w:p>
            <w:pPr>
              <w:pStyle w:val="nTable"/>
              <w:spacing w:before="50"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Borders>
              <w:bottom w:val="single" w:sz="8" w:space="0" w:color="auto"/>
            </w:tcBorders>
            <w:shd w:val="clear" w:color="auto" w:fill="auto"/>
          </w:tcPr>
          <w:p>
            <w:pPr>
              <w:pStyle w:val="nTable"/>
              <w:spacing w:before="50" w:after="40"/>
              <w:rPr>
                <w:snapToGrid w:val="0"/>
                <w:sz w:val="19"/>
              </w:rPr>
            </w:pPr>
            <w:r>
              <w:rPr>
                <w:b/>
                <w:sz w:val="19"/>
              </w:rPr>
              <w:t xml:space="preserve">Reprint 2: The </w:t>
            </w:r>
            <w:r>
              <w:rPr>
                <w:b/>
                <w:i/>
                <w:sz w:val="19"/>
              </w:rPr>
              <w:t>Port Kennedy Development Agreement Act 1992</w:t>
            </w:r>
            <w:r>
              <w:rPr>
                <w:b/>
                <w:sz w:val="19"/>
              </w:rPr>
              <w:t xml:space="preserve"> as at 23 May 2014</w:t>
            </w:r>
            <w:r>
              <w:rPr>
                <w:b/>
                <w:sz w:val="19"/>
              </w:rPr>
              <w:br/>
            </w:r>
            <w:r>
              <w:rPr>
                <w:sz w:val="19"/>
              </w:rPr>
              <w:t>(includes amendments listed above)</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
      <w:pPr>
        <w:pStyle w:val="nHeading2"/>
        <w:rPr>
          <w:sz w:val="28"/>
        </w:rPr>
      </w:pPr>
      <w:bookmarkStart w:id="40" w:name="_Toc389575098"/>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Agreement</w:t>
      </w:r>
      <w:r>
        <w:tab/>
        <w:t>3(1)</w:t>
      </w:r>
    </w:p>
    <w:p>
      <w:pPr>
        <w:pStyle w:val="DefinedTerms"/>
      </w:pPr>
      <w:r>
        <w:t>authorised land officer</w:t>
      </w:r>
      <w:r>
        <w:tab/>
        <w:t>8(1)</w:t>
      </w:r>
    </w:p>
    <w:p>
      <w:pPr>
        <w:pStyle w:val="DefinedTerms"/>
      </w:pPr>
      <w:r>
        <w:t>Board</w:t>
      </w:r>
      <w:r>
        <w:tab/>
        <w:t>3(1)</w:t>
      </w:r>
    </w:p>
    <w:p>
      <w:pPr>
        <w:pStyle w:val="DefinedTerms"/>
      </w:pPr>
      <w:r>
        <w:t>chief executive officer</w:t>
      </w:r>
      <w:r>
        <w:tab/>
        <w:t>7(1)</w:t>
      </w:r>
    </w:p>
    <w:p>
      <w:pPr>
        <w:pStyle w:val="DefinedTerms"/>
      </w:pPr>
      <w:r>
        <w:t>Company</w:t>
      </w:r>
      <w:r>
        <w:tab/>
        <w:t>3(1)</w:t>
      </w:r>
    </w:p>
    <w:p>
      <w:pPr>
        <w:pStyle w:val="DefinedTerms"/>
      </w:pPr>
      <w:r>
        <w:t>Crown Grant</w:t>
      </w:r>
      <w:r>
        <w:tab/>
        <w:t>3(1)</w:t>
      </w:r>
    </w:p>
    <w:p>
      <w:pPr>
        <w:pStyle w:val="DefinedTerms"/>
      </w:pPr>
      <w:r>
        <w:t>development area</w:t>
      </w:r>
      <w:r>
        <w:tab/>
        <w:t>3(1)</w:t>
      </w:r>
    </w:p>
    <w:p>
      <w:pPr>
        <w:pStyle w:val="DefinedTerms"/>
      </w:pPr>
      <w:r>
        <w:t>Environmental Approval</w:t>
      </w:r>
      <w:r>
        <w:tab/>
        <w:t>3(1)</w:t>
      </w:r>
    </w:p>
    <w:p>
      <w:pPr>
        <w:pStyle w:val="DefinedTerms"/>
      </w:pPr>
      <w:r>
        <w:t>member</w:t>
      </w:r>
      <w:r>
        <w:tab/>
        <w:t>3(1)</w:t>
      </w:r>
    </w:p>
    <w:p>
      <w:pPr>
        <w:pStyle w:val="DefinedTerms"/>
      </w:pPr>
      <w:r>
        <w:t>Metropolitan Region Scheme</w:t>
      </w:r>
      <w:r>
        <w:tab/>
        <w:t>9(1)</w:t>
      </w:r>
    </w:p>
    <w:p>
      <w:pPr>
        <w:pStyle w:val="DefinedTerms"/>
      </w:pPr>
      <w:r>
        <w:t>order</w:t>
      </w:r>
      <w:r>
        <w:tab/>
        <w:t>7(1)</w:t>
      </w:r>
    </w:p>
    <w:p>
      <w:pPr>
        <w:pStyle w:val="DefinedTerms"/>
      </w:pPr>
      <w:r>
        <w:t>Port Kennedy area</w:t>
      </w:r>
      <w:r>
        <w:tab/>
        <w:t>3(1)</w:t>
      </w:r>
    </w:p>
    <w:p>
      <w:pPr>
        <w:pStyle w:val="DefinedTerms"/>
      </w:pPr>
      <w:r>
        <w:t>Registrar of Titles</w:t>
      </w:r>
      <w:r>
        <w:tab/>
        <w:t>3(1)</w:t>
      </w:r>
    </w:p>
    <w:p>
      <w:pPr>
        <w:pStyle w:val="DefinedTerms"/>
      </w:pPr>
      <w:r>
        <w:t>stage 2 area</w:t>
      </w:r>
      <w:r>
        <w:tab/>
        <w:t>3(1)</w:t>
      </w:r>
    </w:p>
    <w:p>
      <w:pPr>
        <w:pStyle w:val="DefinedTerms"/>
      </w:pPr>
      <w:r>
        <w:t>structure</w:t>
      </w:r>
      <w:r>
        <w:tab/>
        <w:t>7(1)</w:t>
      </w:r>
    </w:p>
    <w:p>
      <w:pPr>
        <w:pStyle w:val="DefinedTerms"/>
      </w:pPr>
      <w:r>
        <w:t>Town Planning Scheme</w:t>
      </w:r>
      <w:r>
        <w:tab/>
        <w:t>9(1)</w:t>
      </w:r>
    </w:p>
    <w:p>
      <w:pPr>
        <w:pStyle w:val="DefinedTerms"/>
      </w:pPr>
      <w:r>
        <w:t>unauthorised structure</w:t>
      </w:r>
      <w:r>
        <w:tab/>
        <w:t>7(1)</w:t>
      </w:r>
    </w:p>
    <w:p>
      <w:pPr>
        <w:pStyle w:val="DefinedTerms"/>
      </w:pPr>
    </w:p>
    <w:p/>
    <w:p/>
    <w:p/>
    <w:p/>
    <w:p/>
    <w:p/>
    <w:p/>
    <w:p/>
    <w:p/>
    <w:p>
      <w:pPr>
        <w:spacing w:before="40"/>
      </w:pPr>
    </w:p>
    <w:p/>
    <w:p/>
    <w:p/>
    <w:p/>
    <w:p/>
    <w:p/>
    <w:p/>
    <w:p>
      <w:pPr>
        <w:sectPr>
          <w:headerReference w:type="even" r:id="rId43"/>
          <w:headerReference w:type="default" r:id="rId44"/>
          <w:footerReference w:type="even" r:id="rId45"/>
          <w:footerReference w:type="default" r:id="rId46"/>
          <w:headerReference w:type="first" r:id="rId47"/>
          <w:footerReference w:type="first" r:id="rId48"/>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9"/>
      <w:headerReference w:type="default" r:id="rId5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76</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5855"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4421"/>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30" w:val="RemoveTocBookmarks,RemoveLanguageTags,RemoveTrackChanges,RunningHeaders"/>
    <w:docVar w:name="WAFER_20140603160830_GUID" w:val="af410f01-17eb-4616-b51e-b85e5119ac2c"/>
    <w:docVar w:name="WAFER_20151203104421" w:val="RemoveTrackChanges"/>
    <w:docVar w:name="WAFER_20151203104421_GUID" w:val="ebba44c3-33b0-40e6-ba51-f66f6ac9b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image" Target="media/image7.jpeg"/><Relationship Id="rId38" Type="http://schemas.openxmlformats.org/officeDocument/2006/relationships/header" Target="header12.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wmf"/><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6.jpeg"/><Relationship Id="rId37" Type="http://schemas.openxmlformats.org/officeDocument/2006/relationships/image" Target="media/image8.png"/><Relationship Id="rId40" Type="http://schemas.openxmlformats.org/officeDocument/2006/relationships/header" Target="header1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1.xml"/><Relationship Id="rId49" Type="http://schemas.openxmlformats.org/officeDocument/2006/relationships/header" Target="header2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5.jpeg"/><Relationship Id="rId44" Type="http://schemas.openxmlformats.org/officeDocument/2006/relationships/header" Target="head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oleObject" Target="embeddings/oleObject2.bin"/><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21550</Words>
  <Characters>104519</Characters>
  <Application>Microsoft Office Word</Application>
  <DocSecurity>0</DocSecurity>
  <Lines>2549</Lines>
  <Paragraphs>992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125077</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1992 - 02-00-01</dc:title>
  <dc:subject/>
  <dc:creator/>
  <cp:keywords/>
  <dc:description/>
  <cp:lastModifiedBy>svcMRProcess</cp:lastModifiedBy>
  <cp:revision>4</cp:revision>
  <cp:lastPrinted>2014-05-30T01:22:00Z</cp:lastPrinted>
  <dcterms:created xsi:type="dcterms:W3CDTF">2020-04-22T08:00:00Z</dcterms:created>
  <dcterms:modified xsi:type="dcterms:W3CDTF">2020-04-22T08:00:00Z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20140523</vt:lpwstr>
  </property>
  <property fmtid="{D5CDD505-2E9C-101B-9397-08002B2CF9AE}" pid="4" name="DocumentType">
    <vt:lpwstr>Act</vt:lpwstr>
  </property>
  <property fmtid="{D5CDD505-2E9C-101B-9397-08002B2CF9AE}" pid="5" name="OwlsUID">
    <vt:i4>619</vt:i4>
  </property>
  <property fmtid="{D5CDD505-2E9C-101B-9397-08002B2CF9AE}" pid="6" name="AsAtDate">
    <vt:lpwstr>23 May 2014</vt:lpwstr>
  </property>
  <property fmtid="{D5CDD505-2E9C-101B-9397-08002B2CF9AE}" pid="7" name="Suffix">
    <vt:lpwstr>02-00-01</vt:lpwstr>
  </property>
  <property fmtid="{D5CDD505-2E9C-101B-9397-08002B2CF9AE}" pid="8" name="ReprintNo">
    <vt:lpwstr>2</vt:lpwstr>
  </property>
  <property fmtid="{D5CDD505-2E9C-101B-9397-08002B2CF9AE}" pid="9" name="ReprintedAsAt">
    <vt:filetime>2014-05-22T16:00:00Z</vt:filetime>
  </property>
</Properties>
</file>