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_Toc524338403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_Toc524338404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_Toc524338406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_Toc524338407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_Toc524338408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_Toc524338409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_Toc524338410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_Toc524338413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_Toc524338414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_Toc524338415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_Toc524338416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_Toc524338417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_Toc524338419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_Toc524338420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_Toc524338421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_Toc524338422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_Toc524338424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_Toc524338425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_Toc524338426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_Toc524338427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_Toc524338428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_Toc524338429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_Toc524338431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_Toc524338432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_Toc524338433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_Toc524338437 \h </w:instrText>
      </w:r>
      <w:r>
        <w:fldChar w:fldCharType="separate"/>
      </w:r>
      <w:r>
        <w:t>19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_Toc524338438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52433840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524338403"/>
      <w:r>
        <w:rPr>
          <w:rStyle w:val="CharSectno"/>
        </w:rPr>
        <w:t>1</w:t>
      </w:r>
      <w:r>
        <w:t>.</w:t>
      </w:r>
      <w:r>
        <w:tab/>
        <w:t>Citation</w:t>
      </w:r>
      <w:bookmarkEnd w:id="2"/>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3" w:name="_Toc524338404"/>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524338405"/>
      <w:r>
        <w:rPr>
          <w:rStyle w:val="CharPartNo"/>
        </w:rPr>
        <w:t>Part 2</w:t>
      </w:r>
      <w:r>
        <w:rPr>
          <w:rStyle w:val="CharDivText"/>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524338406"/>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524338407"/>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524338408"/>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8" w:name="_Toc524338409"/>
      <w:r>
        <w:rPr>
          <w:rStyle w:val="CharSectno"/>
        </w:rPr>
        <w:t>6</w:t>
      </w:r>
      <w:r>
        <w:t>.</w:t>
      </w:r>
      <w:r>
        <w:tab/>
        <w:t>Smoking</w:t>
      </w:r>
      <w:bookmarkEnd w:id="8"/>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9" w:name="_Toc524338410"/>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524338411"/>
      <w:r>
        <w:rPr>
          <w:rStyle w:val="CharPartNo"/>
        </w:rPr>
        <w:t>Part 3</w:t>
      </w:r>
      <w:r>
        <w:t xml:space="preserve"> — </w:t>
      </w:r>
      <w:r>
        <w:rPr>
          <w:rStyle w:val="CharPartText"/>
        </w:rPr>
        <w:t>Traffic control</w:t>
      </w:r>
      <w:bookmarkEnd w:id="10"/>
    </w:p>
    <w:p>
      <w:pPr>
        <w:pStyle w:val="Heading3"/>
      </w:pPr>
      <w:bookmarkStart w:id="11" w:name="_Toc524338412"/>
      <w:r>
        <w:rPr>
          <w:rStyle w:val="CharDivNo"/>
        </w:rPr>
        <w:t>Division 1</w:t>
      </w:r>
      <w:r>
        <w:t xml:space="preserve"> — </w:t>
      </w:r>
      <w:r>
        <w:rPr>
          <w:rStyle w:val="CharDivText"/>
        </w:rPr>
        <w:t>Driving and use of vehicles</w:t>
      </w:r>
      <w:bookmarkEnd w:id="11"/>
    </w:p>
    <w:p>
      <w:pPr>
        <w:pStyle w:val="Heading5"/>
        <w:rPr>
          <w:snapToGrid w:val="0"/>
        </w:rPr>
      </w:pPr>
      <w:bookmarkStart w:id="12" w:name="_Toc524338413"/>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524338414"/>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524338415"/>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 w:name="_Toc524338416"/>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 w:name="_Toc524338417"/>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524338418"/>
      <w:r>
        <w:rPr>
          <w:rStyle w:val="CharDivNo"/>
        </w:rPr>
        <w:t>Division 2</w:t>
      </w:r>
      <w:r>
        <w:rPr>
          <w:snapToGrid w:val="0"/>
        </w:rPr>
        <w:t xml:space="preserve"> — </w:t>
      </w:r>
      <w:r>
        <w:rPr>
          <w:rStyle w:val="CharDivText"/>
        </w:rPr>
        <w:t>Parking</w:t>
      </w:r>
      <w:bookmarkEnd w:id="17"/>
    </w:p>
    <w:p>
      <w:pPr>
        <w:pStyle w:val="Heading5"/>
        <w:rPr>
          <w:snapToGrid w:val="0"/>
        </w:rPr>
      </w:pPr>
      <w:bookmarkStart w:id="18" w:name="_Toc524338419"/>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524338420"/>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524338421"/>
      <w:r>
        <w:rPr>
          <w:rStyle w:val="CharSectno"/>
        </w:rPr>
        <w:t>15.</w:t>
      </w:r>
      <w:r>
        <w:rPr>
          <w:rStyle w:val="CharSectno"/>
        </w:rPr>
        <w:tab/>
      </w:r>
      <w:r>
        <w:rPr>
          <w:snapToGrid w:val="0"/>
        </w:rPr>
        <w:t>Parking in parking spaces</w:t>
      </w:r>
      <w:bookmarkEnd w:id="2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21" w:name="_Toc524338422"/>
      <w:r>
        <w:rPr>
          <w:rStyle w:val="CharSectno"/>
        </w:rPr>
        <w:t>16.</w:t>
      </w:r>
      <w:r>
        <w:rPr>
          <w:rStyle w:val="CharSectno"/>
        </w:rPr>
        <w:tab/>
      </w:r>
      <w:r>
        <w:rPr>
          <w:snapToGrid w:val="0"/>
        </w:rPr>
        <w:t>Permit</w:t>
      </w:r>
      <w:bookmarkEnd w:id="2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22" w:name="_Toc524338423"/>
      <w:r>
        <w:rPr>
          <w:rStyle w:val="CharPartNo"/>
        </w:rPr>
        <w:t>Part 4</w:t>
      </w:r>
      <w:r>
        <w:rPr>
          <w:rStyle w:val="CharDivNo"/>
        </w:rPr>
        <w:t xml:space="preserve"> </w:t>
      </w:r>
      <w:r>
        <w:t>—</w:t>
      </w:r>
      <w:r>
        <w:rPr>
          <w:rStyle w:val="CharDivText"/>
        </w:rPr>
        <w:t xml:space="preserve"> </w:t>
      </w:r>
      <w:r>
        <w:rPr>
          <w:rStyle w:val="CharPartText"/>
        </w:rPr>
        <w:t>Infringement notices</w:t>
      </w:r>
      <w:bookmarkEnd w:id="22"/>
    </w:p>
    <w:p>
      <w:pPr>
        <w:pStyle w:val="Heading5"/>
        <w:rPr>
          <w:snapToGrid w:val="0"/>
        </w:rPr>
      </w:pPr>
      <w:bookmarkStart w:id="23" w:name="_Toc524338424"/>
      <w:r>
        <w:rPr>
          <w:rStyle w:val="CharSectno"/>
        </w:rPr>
        <w:t>17.</w:t>
      </w:r>
      <w:r>
        <w:rPr>
          <w:rStyle w:val="CharSectno"/>
        </w:rPr>
        <w:tab/>
      </w:r>
      <w:r>
        <w:rPr>
          <w:snapToGrid w:val="0"/>
        </w:rPr>
        <w:t>Interpretation</w:t>
      </w:r>
      <w:bookmarkEnd w:id="2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524338425"/>
      <w:r>
        <w:rPr>
          <w:rStyle w:val="CharSectno"/>
        </w:rPr>
        <w:t>18.</w:t>
      </w:r>
      <w:r>
        <w:rPr>
          <w:rStyle w:val="CharSectno"/>
        </w:rPr>
        <w:tab/>
      </w:r>
      <w:r>
        <w:rPr>
          <w:snapToGrid w:val="0"/>
        </w:rPr>
        <w:t>Infringement notices</w:t>
      </w:r>
      <w:bookmarkEnd w:id="26"/>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27" w:name="_Toc524338426"/>
      <w:r>
        <w:rPr>
          <w:rStyle w:val="CharSectno"/>
        </w:rPr>
        <w:t>19.</w:t>
      </w:r>
      <w:r>
        <w:rPr>
          <w:rStyle w:val="CharSectno"/>
        </w:rPr>
        <w:tab/>
      </w:r>
      <w:r>
        <w:rPr>
          <w:snapToGrid w:val="0"/>
        </w:rPr>
        <w:t>Withdrawal of infringement notice</w:t>
      </w:r>
      <w:bookmarkEnd w:id="2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524338427"/>
      <w:r>
        <w:rPr>
          <w:rStyle w:val="CharSectno"/>
        </w:rPr>
        <w:t>20.</w:t>
      </w:r>
      <w:r>
        <w:rPr>
          <w:rStyle w:val="CharSectno"/>
        </w:rPr>
        <w:tab/>
      </w:r>
      <w:r>
        <w:rPr>
          <w:snapToGrid w:val="0"/>
        </w:rPr>
        <w:t>Authorised person to have certificate</w:t>
      </w:r>
      <w:bookmarkEnd w:id="2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524338428"/>
      <w:r>
        <w:rPr>
          <w:rStyle w:val="CharSectno"/>
        </w:rPr>
        <w:t>21.</w:t>
      </w:r>
      <w:r>
        <w:rPr>
          <w:rStyle w:val="CharSectno"/>
        </w:rPr>
        <w:tab/>
      </w:r>
      <w:r>
        <w:rPr>
          <w:snapToGrid w:val="0"/>
        </w:rPr>
        <w:t>Authorised persons only to endorse and alter infringement notices</w:t>
      </w:r>
      <w:bookmarkEnd w:id="2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524338429"/>
      <w:r>
        <w:rPr>
          <w:rStyle w:val="CharSectno"/>
        </w:rPr>
        <w:t>22.</w:t>
      </w:r>
      <w:r>
        <w:rPr>
          <w:rStyle w:val="CharSectno"/>
        </w:rPr>
        <w:tab/>
      </w:r>
      <w:r>
        <w:rPr>
          <w:snapToGrid w:val="0"/>
        </w:rPr>
        <w:t>Restriction on removal of infringement notices</w:t>
      </w:r>
      <w:bookmarkEnd w:id="3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524338430"/>
      <w:r>
        <w:rPr>
          <w:rStyle w:val="CharPartNo"/>
        </w:rPr>
        <w:t>Part 5</w:t>
      </w:r>
      <w:r>
        <w:rPr>
          <w:rStyle w:val="CharDivNo"/>
        </w:rPr>
        <w:t xml:space="preserve"> </w:t>
      </w:r>
      <w:r>
        <w:t>—</w:t>
      </w:r>
      <w:r>
        <w:rPr>
          <w:rStyle w:val="CharDivText"/>
        </w:rPr>
        <w:t xml:space="preserve"> </w:t>
      </w:r>
      <w:r>
        <w:rPr>
          <w:rStyle w:val="CharPartText"/>
        </w:rPr>
        <w:t>General</w:t>
      </w:r>
      <w:bookmarkEnd w:id="31"/>
    </w:p>
    <w:p>
      <w:pPr>
        <w:pStyle w:val="Heading5"/>
        <w:rPr>
          <w:snapToGrid w:val="0"/>
        </w:rPr>
      </w:pPr>
      <w:bookmarkStart w:id="32" w:name="_Toc524338431"/>
      <w:r>
        <w:rPr>
          <w:rStyle w:val="CharSectno"/>
        </w:rPr>
        <w:t>23.</w:t>
      </w:r>
      <w:r>
        <w:rPr>
          <w:rStyle w:val="CharSectno"/>
        </w:rPr>
        <w:tab/>
      </w:r>
      <w:r>
        <w:rPr>
          <w:snapToGrid w:val="0"/>
        </w:rPr>
        <w:t>Removal of vehicles</w:t>
      </w:r>
      <w:bookmarkEnd w:id="3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33" w:name="_Toc524338432"/>
      <w:r>
        <w:rPr>
          <w:rStyle w:val="CharSectno"/>
        </w:rPr>
        <w:t>24.</w:t>
      </w:r>
      <w:r>
        <w:rPr>
          <w:rStyle w:val="CharSectno"/>
        </w:rPr>
        <w:tab/>
      </w:r>
      <w:r>
        <w:rPr>
          <w:snapToGrid w:val="0"/>
        </w:rPr>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524338433"/>
      <w:r>
        <w:rPr>
          <w:rStyle w:val="CharSectno"/>
        </w:rPr>
        <w:t>25.</w:t>
      </w:r>
      <w:r>
        <w:rPr>
          <w:rStyle w:val="CharSectno"/>
        </w:rP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524338434"/>
      <w:r>
        <w:rPr>
          <w:rStyle w:val="CharSchNo"/>
        </w:rPr>
        <w:t>Schedule 1</w:t>
      </w:r>
      <w:r>
        <w:t xml:space="preserve"> —</w:t>
      </w:r>
      <w:bookmarkStart w:id="36" w:name="AutoSch"/>
      <w:bookmarkEnd w:id="36"/>
      <w:r>
        <w:t xml:space="preserve"> </w:t>
      </w:r>
      <w:r>
        <w:rPr>
          <w:rStyle w:val="CharSchText"/>
        </w:rPr>
        <w:t>Infringement Notices and Modified Penalties</w:t>
      </w:r>
      <w:bookmarkEnd w:id="3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7" w:name="_Toc524338435"/>
      <w:r>
        <w:rPr>
          <w:rStyle w:val="CharSchNo"/>
        </w:rPr>
        <w:t>Schedule 2</w:t>
      </w:r>
      <w:r>
        <w:t xml:space="preserve"> — </w:t>
      </w:r>
      <w:r>
        <w:rPr>
          <w:rStyle w:val="CharSchText"/>
        </w:rPr>
        <w:t>Forms</w:t>
      </w:r>
      <w:bookmarkEnd w:id="37"/>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 w:name="_Toc524338436"/>
      <w:r>
        <w:t>Notes</w:t>
      </w:r>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 </w:t>
      </w:r>
      <w:r>
        <w:rPr>
          <w:snapToGrid w:val="0"/>
          <w:vertAlign w:val="superscript"/>
        </w:rPr>
        <w:t>1a</w:t>
      </w:r>
      <w:r>
        <w:rPr>
          <w:snapToGrid w:val="0"/>
        </w:rPr>
        <w:t>.</w:t>
      </w:r>
    </w:p>
    <w:p>
      <w:pPr>
        <w:pStyle w:val="nHeading3"/>
      </w:pPr>
      <w:bookmarkStart w:id="39" w:name="_Toc524338437"/>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sz w:val="19"/>
                <w:szCs w:val="19"/>
              </w:rPr>
            </w:pPr>
            <w:r>
              <w:rPr>
                <w:i/>
                <w:snapToGrid w:val="0"/>
                <w:sz w:val="19"/>
                <w:szCs w:val="19"/>
              </w:rPr>
              <w:t xml:space="preserve">Bentley Hospital By-laws </w:t>
            </w:r>
            <w:r>
              <w:rPr>
                <w:i/>
                <w:sz w:val="19"/>
                <w:szCs w:val="19"/>
              </w:rPr>
              <w:t>2001</w:t>
            </w:r>
          </w:p>
        </w:tc>
        <w:tc>
          <w:tcPr>
            <w:tcW w:w="1276" w:type="dxa"/>
            <w:tcBorders>
              <w:top w:val="single" w:sz="8" w:space="0" w:color="auto"/>
            </w:tcBorders>
          </w:tcPr>
          <w:p>
            <w:pPr>
              <w:pStyle w:val="nTable"/>
              <w:rPr>
                <w:sz w:val="19"/>
                <w:szCs w:val="19"/>
              </w:rPr>
            </w:pPr>
            <w:r>
              <w:rPr>
                <w:sz w:val="19"/>
                <w:szCs w:val="19"/>
              </w:rPr>
              <w:t>21 Dec 2001 p. 6521-39</w:t>
            </w:r>
          </w:p>
        </w:tc>
        <w:tc>
          <w:tcPr>
            <w:tcW w:w="2693" w:type="dxa"/>
            <w:tcBorders>
              <w:top w:val="single" w:sz="8" w:space="0" w:color="auto"/>
            </w:tcBorders>
          </w:tcPr>
          <w:p>
            <w:pPr>
              <w:pStyle w:val="nTable"/>
              <w:rPr>
                <w:sz w:val="19"/>
                <w:szCs w:val="19"/>
              </w:rPr>
            </w:pPr>
            <w:r>
              <w:rPr>
                <w:sz w:val="19"/>
                <w:szCs w:val="19"/>
              </w:rPr>
              <w:t>21 Dec 2001</w:t>
            </w:r>
          </w:p>
        </w:tc>
      </w:tr>
      <w:tr>
        <w:tc>
          <w:tcPr>
            <w:tcW w:w="3119" w:type="dxa"/>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2008</w:t>
            </w:r>
          </w:p>
        </w:tc>
        <w:tc>
          <w:tcPr>
            <w:tcW w:w="1276" w:type="dxa"/>
          </w:tcPr>
          <w:p>
            <w:pPr>
              <w:pStyle w:val="nTable"/>
              <w:rPr>
                <w:sz w:val="19"/>
                <w:szCs w:val="19"/>
              </w:rPr>
            </w:pPr>
            <w:r>
              <w:rPr>
                <w:sz w:val="19"/>
                <w:szCs w:val="19"/>
              </w:rPr>
              <w:t>12 Feb 2008 p. 339</w:t>
            </w:r>
            <w:r>
              <w:rPr>
                <w:sz w:val="19"/>
                <w:szCs w:val="19"/>
              </w:rPr>
              <w:noBreakHyphen/>
              <w:t>40</w:t>
            </w:r>
          </w:p>
        </w:tc>
        <w:tc>
          <w:tcPr>
            <w:tcW w:w="2693" w:type="dxa"/>
          </w:tcPr>
          <w:p>
            <w:pPr>
              <w:pStyle w:val="nTable"/>
              <w:rPr>
                <w:sz w:val="19"/>
                <w:szCs w:val="19"/>
              </w:rPr>
            </w:pPr>
            <w:r>
              <w:rPr>
                <w:snapToGrid w:val="0"/>
                <w:sz w:val="19"/>
                <w:szCs w:val="19"/>
              </w:rPr>
              <w:t>bl. 1 and 2: 12 Feb 2008 (see bl. 2(a));</w:t>
            </w:r>
            <w:r>
              <w:rPr>
                <w:snapToGrid w:val="0"/>
                <w:sz w:val="19"/>
                <w:szCs w:val="19"/>
              </w:rPr>
              <w:br/>
              <w:t>By-laws other than bl. 1 and 2: 13 Feb 2008 (see bl. 2(b))</w:t>
            </w:r>
          </w:p>
        </w:tc>
      </w:tr>
      <w:tr>
        <w:tc>
          <w:tcPr>
            <w:tcW w:w="3119" w:type="dxa"/>
            <w:tcBorders>
              <w:bottom w:val="single" w:sz="4" w:space="0" w:color="auto"/>
            </w:tcBorders>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2010</w:t>
            </w:r>
            <w:r>
              <w:rPr>
                <w:iCs/>
                <w:sz w:val="19"/>
                <w:szCs w:val="19"/>
              </w:rPr>
              <w:t xml:space="preserve"> </w:t>
            </w:r>
          </w:p>
        </w:tc>
        <w:tc>
          <w:tcPr>
            <w:tcW w:w="1276" w:type="dxa"/>
            <w:tcBorders>
              <w:bottom w:val="single" w:sz="4" w:space="0" w:color="auto"/>
            </w:tcBorders>
          </w:tcPr>
          <w:p>
            <w:pPr>
              <w:pStyle w:val="nTable"/>
              <w:rPr>
                <w:sz w:val="19"/>
                <w:szCs w:val="19"/>
              </w:rPr>
            </w:pPr>
            <w:r>
              <w:rPr>
                <w:sz w:val="19"/>
                <w:szCs w:val="19"/>
              </w:rPr>
              <w:t>26 Nov 2010 p. 5935-6</w:t>
            </w:r>
          </w:p>
        </w:tc>
        <w:tc>
          <w:tcPr>
            <w:tcW w:w="2693" w:type="dxa"/>
            <w:tcBorders>
              <w:bottom w:val="single" w:sz="4" w:space="0" w:color="auto"/>
            </w:tcBorders>
          </w:tcPr>
          <w:p>
            <w:pPr>
              <w:pStyle w:val="nTable"/>
              <w:rPr>
                <w:snapToGrid w:val="0"/>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7405065"/>
      <w:bookmarkStart w:id="41" w:name="_Toc524338438"/>
      <w:r>
        <w:t>Provisions that have not come into operation</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szCs w:val="19"/>
                <w:vertAlign w:val="superscript"/>
              </w:rPr>
            </w:pPr>
            <w:r>
              <w:rPr>
                <w:i/>
                <w:sz w:val="19"/>
                <w:szCs w:val="19"/>
              </w:rPr>
              <w:t>Bentley Hospital Amendment By</w:t>
            </w:r>
            <w:r>
              <w:rPr>
                <w:i/>
                <w:sz w:val="19"/>
                <w:szCs w:val="19"/>
              </w:rPr>
              <w:noBreakHyphen/>
              <w:t>laws (No. 2) 2014</w:t>
            </w:r>
            <w:r>
              <w:rPr>
                <w:sz w:val="19"/>
                <w:szCs w:val="19"/>
              </w:rPr>
              <w:t xml:space="preserve"> bl. 3 and 4 </w:t>
            </w:r>
            <w:r>
              <w:rPr>
                <w:sz w:val="19"/>
                <w:szCs w:val="19"/>
                <w:vertAlign w:val="superscript"/>
              </w:rPr>
              <w:t>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13 Jun 2014 p. 1886</w:t>
            </w:r>
            <w:r>
              <w:rPr>
                <w:sz w:val="19"/>
                <w:szCs w:val="19"/>
              </w:rPr>
              <w:noBreakHyphen/>
              <w:t>9</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Jul 2014 (see bl.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Bentley Hospital Amendment By</w:t>
      </w:r>
      <w:r>
        <w:rPr>
          <w:i/>
        </w:rPr>
        <w:noBreakHyphen/>
        <w:t>laws (No. 2) 2014</w:t>
      </w:r>
      <w:r>
        <w:t xml:space="preserve"> bl</w:t>
      </w:r>
      <w:r>
        <w:rPr>
          <w:snapToGrid w:val="0"/>
        </w:rPr>
        <w:t>.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Bentley Hospital By</w:t>
      </w:r>
      <w:r>
        <w:rPr>
          <w:i/>
        </w:rPr>
        <w:noBreakHyphen/>
        <w:t>laws 2001</w:t>
      </w:r>
      <w:r>
        <w:t>.</w:t>
      </w:r>
    </w:p>
    <w:p>
      <w:pPr>
        <w:pStyle w:val="nzHeading5"/>
      </w:pPr>
      <w:r>
        <w:rPr>
          <w:rStyle w:val="CharSectno"/>
        </w:rPr>
        <w:t>4</w:t>
      </w:r>
      <w:r>
        <w:t>.</w:t>
      </w:r>
      <w:r>
        <w:tab/>
        <w:t>Schedule 2 replaced</w:t>
      </w:r>
    </w:p>
    <w:p>
      <w:pPr>
        <w:pStyle w:val="nzSubsection"/>
      </w:pPr>
      <w:r>
        <w:tab/>
      </w:r>
      <w:r>
        <w:tab/>
        <w:t>Delete Schedule 2 and insert:</w:t>
      </w:r>
    </w:p>
    <w:p>
      <w:pPr>
        <w:pStyle w:val="BlankOpen"/>
      </w:pPr>
    </w:p>
    <w:p>
      <w:pPr>
        <w:pStyle w:val="nzHeading2"/>
      </w:pPr>
      <w:r>
        <w:t>Schedule 2 — Forms</w:t>
      </w:r>
    </w:p>
    <w:p>
      <w:pPr>
        <w:pStyle w:val="nzMiscellaneousBody"/>
        <w:keepNext/>
        <w:jc w:val="right"/>
      </w:pPr>
      <w:r>
        <w:t>[bl. 18(3) and 19]</w:t>
      </w:r>
    </w:p>
    <w:p>
      <w:pPr>
        <w:pStyle w:val="zyMiscellaneousHeading"/>
        <w:rPr>
          <w:b/>
        </w:rPr>
      </w:pPr>
      <w:r>
        <w:rPr>
          <w:rStyle w:val="CharSClsNo"/>
          <w:b/>
        </w:rPr>
        <w:t>Form 1</w:t>
      </w:r>
      <w:r>
        <w:rPr>
          <w:b/>
        </w:rPr>
        <w:t>: Infringement Notice (by</w:t>
      </w:r>
      <w:r>
        <w:rPr>
          <w:b/>
        </w:rPr>
        <w:noBreakHyphen/>
        <w:t>law 18(3))</w:t>
      </w:r>
    </w:p>
    <w:p>
      <w:pPr>
        <w:pStyle w:val="zyMiscellaneousHeading"/>
        <w:keepNext w:val="0"/>
        <w:widowControl w:val="0"/>
      </w:pPr>
      <w:r>
        <w:t>Government of Western Australia</w:t>
      </w:r>
    </w:p>
    <w:p>
      <w:pPr>
        <w:pStyle w:val="zyMiscellaneousHeading"/>
        <w:keepNext w:val="0"/>
        <w:widowControl w:val="0"/>
        <w:rPr>
          <w:szCs w:val="22"/>
        </w:rPr>
      </w:pPr>
      <w:r>
        <w:rPr>
          <w:szCs w:val="22"/>
        </w:rPr>
        <w:t>Department of Health</w:t>
      </w:r>
    </w:p>
    <w:p>
      <w:pPr>
        <w:pStyle w:val="zyMiscellaneousHeading"/>
        <w:keepNext w:val="0"/>
        <w:widowControl w:val="0"/>
        <w:rPr>
          <w:szCs w:val="22"/>
        </w:rPr>
      </w:pPr>
      <w:r>
        <w:rPr>
          <w:szCs w:val="22"/>
        </w:rPr>
        <w:t>Metropolitan Access and Parking Department</w:t>
      </w:r>
    </w:p>
    <w:p>
      <w:pPr>
        <w:pStyle w:val="zyMiscellaneousHeading"/>
        <w:spacing w:after="120"/>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zyMiscellaneousHeading"/>
        <w:spacing w:before="240"/>
        <w:rPr>
          <w:b/>
          <w:bCs/>
        </w:rPr>
      </w:pPr>
      <w:r>
        <w:rPr>
          <w:rStyle w:val="CharSClsNo"/>
          <w:b/>
        </w:rPr>
        <w:t>Form 2</w:t>
      </w:r>
      <w:r>
        <w:rPr>
          <w:b/>
          <w:bCs/>
        </w:rPr>
        <w:t>: Withdrawal of Infringement Notice (by</w:t>
      </w:r>
      <w:r>
        <w:rPr>
          <w:b/>
          <w:bCs/>
        </w:rPr>
        <w:noBreakHyphen/>
        <w:t>law 19)</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nzMiscellaneousBody"/>
      </w:pPr>
    </w:p>
    <w:p>
      <w:pPr>
        <w:pStyle w:val="nzMiscellaneousBody"/>
      </w:pPr>
      <w:r>
        <w:t>Date ..................................</w:t>
      </w:r>
    </w:p>
    <w:p>
      <w:pPr>
        <w:pStyle w:val="nzMiscellaneousBody"/>
      </w:pPr>
      <w:r>
        <w:t>Infringement Notice ........................</w:t>
      </w:r>
    </w:p>
    <w:p>
      <w:pPr>
        <w:pStyle w:val="nzMiscellaneousBody"/>
      </w:pPr>
      <w:r>
        <w:t>Dear</w:t>
      </w:r>
    </w:p>
    <w:p>
      <w:pPr>
        <w:pStyle w:val="nzMiscellaneousBody"/>
      </w:pPr>
      <w:r>
        <w:t>Infringement notice No. ........................ served on you on ..............</w:t>
      </w:r>
    </w:p>
    <w:p>
      <w:pPr>
        <w:pStyle w:val="nzMiscellaneousBody"/>
      </w:pPr>
      <w:r>
        <w:t>for the alleged offence of .................................................................</w:t>
      </w:r>
    </w:p>
    <w:p>
      <w:pPr>
        <w:pStyle w:val="nzMiscellaneousBody"/>
      </w:pPr>
      <w:r>
        <w:t>........................................................................................................</w:t>
      </w:r>
    </w:p>
    <w:p>
      <w:pPr>
        <w:pStyle w:val="nzMiscellaneousBody"/>
      </w:pPr>
      <w:r>
        <w:t>........................................................................................................</w:t>
      </w:r>
    </w:p>
    <w:p>
      <w:pPr>
        <w:pStyle w:val="nzMiscellaneousBody"/>
      </w:pPr>
      <w:r>
        <w:t>is hereby withdrawn and no further action will be taken against you.</w:t>
      </w:r>
    </w:p>
    <w:p>
      <w:pPr>
        <w:pStyle w:val="nzMiscellaneousBody"/>
      </w:pPr>
      <w:r>
        <w:t>If you paid the modified penalty before the Infringement Notice was withdrawn, please contact 1800 753 191 or post receipt to</w:t>
      </w:r>
    </w:p>
    <w:p>
      <w:pPr>
        <w:pStyle w:val="nzMiscellaneousBody"/>
      </w:pPr>
      <w:r>
        <w:t>Metropolitan Access Parking</w:t>
      </w:r>
      <w:r>
        <w:br/>
        <w:t>PO Box 1135</w:t>
      </w:r>
      <w:r>
        <w:br/>
        <w:t>Osborne Park  WA  6916</w:t>
      </w:r>
    </w:p>
    <w:p>
      <w:pPr>
        <w:pStyle w:val="nzMiscellaneousBody"/>
      </w:pPr>
      <w:r>
        <w:t>Your payment will be refunded.</w:t>
      </w:r>
    </w:p>
    <w:p>
      <w:pPr>
        <w:pStyle w:val="nzMiscellaneousBody"/>
      </w:pPr>
    </w:p>
    <w:p>
      <w:pPr>
        <w:pStyle w:val="nzMiscellaneousBody"/>
      </w:pPr>
      <w:r>
        <w:t>Yours sincerely</w:t>
      </w:r>
    </w:p>
    <w:p>
      <w:pPr>
        <w:pStyle w:val="nzMiscellaneousBody"/>
      </w:pPr>
    </w:p>
    <w:p>
      <w:pPr>
        <w:pStyle w:val="nz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BlankClose"/>
        <w:keepNext/>
        <w:widowControl w:val="0"/>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627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4405</Words>
  <Characters>22422</Characters>
  <Application>Microsoft Office Word</Application>
  <DocSecurity>0</DocSecurity>
  <Lines>747</Lines>
  <Paragraphs>526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2001 - 00-e0-00</dc:title>
  <dc:subject/>
  <dc:creator/>
  <cp:keywords/>
  <dc:description/>
  <cp:lastModifiedBy>svcMRProcess</cp:lastModifiedBy>
  <cp:revision>4</cp:revision>
  <cp:lastPrinted>2001-12-21T03:59:00Z</cp:lastPrinted>
  <dcterms:created xsi:type="dcterms:W3CDTF">2018-09-10T02:24:00Z</dcterms:created>
  <dcterms:modified xsi:type="dcterms:W3CDTF">2018-09-10T02:24:00Z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20140613</vt:lpwstr>
  </property>
  <property fmtid="{D5CDD505-2E9C-101B-9397-08002B2CF9AE}" pid="4" name="DocumentType">
    <vt:lpwstr>Reg</vt:lpwstr>
  </property>
  <property fmtid="{D5CDD505-2E9C-101B-9397-08002B2CF9AE}" pid="5" name="AsAtDate">
    <vt:lpwstr>13 Jun 2014</vt:lpwstr>
  </property>
  <property fmtid="{D5CDD505-2E9C-101B-9397-08002B2CF9AE}" pid="6" name="Suffix">
    <vt:lpwstr>00-e0-00</vt:lpwstr>
  </property>
  <property fmtid="{D5CDD505-2E9C-101B-9397-08002B2CF9AE}" pid="7" name="OwlsUID">
    <vt:i4>2535</vt:i4>
  </property>
</Properties>
</file>