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Settlement Agents Act 1981</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_Toc391885528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_Toc391885529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_Toc391885530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_Toc391885531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_Toc391885532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_Toc391885533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Publication of notice of application (Act s. 24(2))</w:t>
      </w:r>
      <w:r>
        <w:tab/>
      </w:r>
      <w:r>
        <w:fldChar w:fldCharType="begin"/>
      </w:r>
      <w:r>
        <w:instrText xml:space="preserve"> PAGEREF _Toc391885534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_Toc391885535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_Toc391885536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_Toc391885537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_Toc391885538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_Toc391885539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_Toc391885540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_Toc391885541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_Toc391885542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_Toc391885543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_Toc391885544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_Toc391885545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_Toc391885546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_Toc391885547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_Toc391885548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_Toc391885549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_Toc391885550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_Toc391885551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_Toc391885552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_Toc391885553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1A — Professional development subjects</w:t>
      </w:r>
    </w:p>
    <w:p>
      <w:pPr>
        <w:pStyle w:val="TOC2"/>
        <w:tabs>
          <w:tab w:val="right" w:leader="dot" w:pos="7086"/>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86"/>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86"/>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86"/>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86"/>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86"/>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86"/>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86"/>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86"/>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86"/>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_Toc391885566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_Toc391885567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_Toc391885569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spacing w:before="0" w:after="0"/>
        <w:rPr>
          <w:sz w:val="12"/>
          <w:szCs w:val="12"/>
        </w:rPr>
      </w:pPr>
      <w:r>
        <w:fldChar w:fldCharType="end"/>
      </w:r>
    </w:p>
    <w:p>
      <w:pPr>
        <w:pStyle w:val="NoteHeading"/>
        <w:rPr>
          <w:sz w:val="22"/>
          <w:szCs w:val="22"/>
        </w:rPr>
      </w:pPr>
      <w:r>
        <w:rPr>
          <w:rStyle w:val="CharPartNo"/>
          <w:sz w:val="22"/>
          <w:szCs w:val="22"/>
        </w:rPr>
        <w:t xml:space="preserve"> </w:t>
      </w:r>
      <w:r>
        <w:rPr>
          <w:rStyle w:val="CharPartText"/>
          <w:sz w:val="22"/>
          <w:szCs w:val="22"/>
        </w:rPr>
        <w:t xml:space="preserve"> </w:t>
      </w:r>
      <w:r>
        <w:rPr>
          <w:rStyle w:val="CharDivNo"/>
          <w:sz w:val="22"/>
          <w:szCs w:val="22"/>
        </w:rPr>
        <w:t xml:space="preserve"> </w:t>
      </w:r>
      <w:r>
        <w:rPr>
          <w:rStyle w:val="CharDivText"/>
          <w:sz w:val="22"/>
          <w:szCs w:val="22"/>
        </w:rPr>
        <w:t xml:space="preserve"> </w:t>
      </w:r>
      <w:r>
        <w:rPr>
          <w:rStyle w:val="CharSchNo"/>
          <w:sz w:val="22"/>
          <w:szCs w:val="22"/>
        </w:rPr>
        <w:t xml:space="preserve"> </w:t>
      </w:r>
      <w:r>
        <w:rPr>
          <w:rStyle w:val="CharSDivText"/>
          <w:sz w:val="22"/>
          <w:szCs w:val="22"/>
        </w:rPr>
        <w:t xml:space="preserve"> </w:t>
      </w:r>
      <w:r>
        <w:rPr>
          <w:rStyle w:val="CharSDivNo"/>
          <w:sz w:val="22"/>
          <w:szCs w:val="22"/>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9188552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91885529"/>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91885530"/>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91885531"/>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91885532"/>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91885533"/>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91885534"/>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91885535"/>
      <w:r>
        <w:rPr>
          <w:rStyle w:val="CharSectno"/>
        </w:rPr>
        <w:t>6</w:t>
      </w:r>
      <w:r>
        <w:t>.</w:t>
      </w:r>
      <w:r>
        <w:tab/>
      </w:r>
      <w:r>
        <w:rPr>
          <w:snapToGrid w:val="0"/>
        </w:rPr>
        <w:t>Examinations</w:t>
      </w:r>
      <w:bookmarkEnd w:id="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9" w:name="_Toc391885536"/>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91885537"/>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91885538"/>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91885539"/>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91885540"/>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91885541"/>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91885542"/>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91885543"/>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91885544"/>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91885545"/>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91885546"/>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91885547"/>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91885548"/>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91885549"/>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91885550"/>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91885551"/>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5" w:name="_Toc391885552"/>
      <w:r>
        <w:rPr>
          <w:rStyle w:val="CharSectno"/>
        </w:rPr>
        <w:t>15</w:t>
      </w:r>
      <w:r>
        <w:t>.</w:t>
      </w:r>
      <w:r>
        <w:tab/>
        <w:t>Infringement notices</w:t>
      </w:r>
      <w:bookmarkEnd w:id="2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6" w:name="_Toc391885553"/>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391885554"/>
      <w:bookmarkStart w:id="28" w:name="_Toc377567910"/>
      <w:bookmarkStart w:id="29" w:name="_Toc377568176"/>
      <w:r>
        <w:rPr>
          <w:rStyle w:val="CharSchNo"/>
        </w:rPr>
        <w:t>Schedule 1</w:t>
      </w:r>
      <w:r>
        <w:t> — </w:t>
      </w:r>
      <w:r>
        <w:rPr>
          <w:rStyle w:val="CharSchText"/>
        </w:rPr>
        <w:t>Fees</w:t>
      </w:r>
      <w:bookmarkEnd w:id="27"/>
    </w:p>
    <w:p>
      <w:pPr>
        <w:pStyle w:val="yShoulderClause"/>
      </w:pPr>
      <w:r>
        <w:t>[r. 4 and 4A]</w:t>
      </w:r>
    </w:p>
    <w:p>
      <w:pPr>
        <w:pStyle w:val="yFootnoteheading"/>
        <w:spacing w:after="120"/>
      </w:pPr>
      <w:r>
        <w:tab/>
        <w:t>[Heading inserted in Gazette 17 Jun 2014 p. 1979.]</w:t>
      </w:r>
    </w:p>
    <w:p>
      <w:pPr>
        <w:pStyle w:val="yTHeadingNAm"/>
      </w:pPr>
      <w:r>
        <w:t>Table</w:t>
      </w:r>
    </w:p>
    <w:tbl>
      <w:tblPr>
        <w:tblW w:w="69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12"/>
        <w:gridCol w:w="5128"/>
        <w:gridCol w:w="992"/>
      </w:tblGrid>
      <w:tr>
        <w:trPr>
          <w:tblHeader/>
        </w:trPr>
        <w:tc>
          <w:tcPr>
            <w:tcW w:w="812" w:type="dxa"/>
          </w:tcPr>
          <w:p>
            <w:pPr>
              <w:pStyle w:val="yTableNAm"/>
            </w:pPr>
            <w:r>
              <w:rPr>
                <w:b/>
              </w:rPr>
              <w:t>Item</w:t>
            </w:r>
          </w:p>
        </w:tc>
        <w:tc>
          <w:tcPr>
            <w:tcW w:w="5128" w:type="dxa"/>
          </w:tcPr>
          <w:p>
            <w:pPr>
              <w:pStyle w:val="yTableNAm"/>
              <w:jc w:val="center"/>
            </w:pPr>
            <w:r>
              <w:rPr>
                <w:b/>
              </w:rPr>
              <w:t>Type of fee</w:t>
            </w:r>
          </w:p>
        </w:tc>
        <w:tc>
          <w:tcPr>
            <w:tcW w:w="992" w:type="dxa"/>
          </w:tcPr>
          <w:p>
            <w:pPr>
              <w:pStyle w:val="yTableNAm"/>
              <w:jc w:val="center"/>
            </w:pPr>
            <w:r>
              <w:rPr>
                <w:b/>
              </w:rPr>
              <w:t>Fee</w:t>
            </w:r>
          </w:p>
        </w:tc>
      </w:tr>
      <w:tr>
        <w:tc>
          <w:tcPr>
            <w:tcW w:w="812" w:type="dxa"/>
          </w:tcPr>
          <w:p>
            <w:pPr>
              <w:pStyle w:val="yTableNAm"/>
            </w:pPr>
            <w:r>
              <w:t>1.</w:t>
            </w:r>
          </w:p>
        </w:tc>
        <w:tc>
          <w:tcPr>
            <w:tcW w:w="5128" w:type="dxa"/>
          </w:tcPr>
          <w:p>
            <w:pPr>
              <w:pStyle w:val="yTableNAm"/>
              <w:tabs>
                <w:tab w:val="right" w:leader="dot" w:pos="4878"/>
              </w:tabs>
            </w:pPr>
            <w:r>
              <w:t xml:space="preserve">Grant of licence (including a triennial certificate) to a natural person </w:t>
            </w:r>
            <w:r>
              <w:tab/>
            </w:r>
          </w:p>
        </w:tc>
        <w:tc>
          <w:tcPr>
            <w:tcW w:w="992" w:type="dxa"/>
          </w:tcPr>
          <w:p>
            <w:pPr>
              <w:pStyle w:val="yTableNAm"/>
            </w:pPr>
            <w:r>
              <w:br/>
              <w:t>$739.00</w:t>
            </w:r>
          </w:p>
        </w:tc>
      </w:tr>
      <w:tr>
        <w:tc>
          <w:tcPr>
            <w:tcW w:w="812" w:type="dxa"/>
          </w:tcPr>
          <w:p>
            <w:pPr>
              <w:pStyle w:val="yTableNAm"/>
            </w:pPr>
            <w:r>
              <w:t>2.</w:t>
            </w:r>
          </w:p>
        </w:tc>
        <w:tc>
          <w:tcPr>
            <w:tcW w:w="5128" w:type="dxa"/>
          </w:tcPr>
          <w:p>
            <w:pPr>
              <w:pStyle w:val="yTableNAm"/>
              <w:tabs>
                <w:tab w:val="right" w:leader="dot" w:pos="4878"/>
              </w:tabs>
            </w:pPr>
            <w:r>
              <w:t xml:space="preserve">Grant of licence (including a triennial certificate) to a firm </w:t>
            </w:r>
            <w:r>
              <w:tab/>
            </w:r>
            <w:r>
              <w:tab/>
            </w:r>
          </w:p>
        </w:tc>
        <w:tc>
          <w:tcPr>
            <w:tcW w:w="992" w:type="dxa"/>
          </w:tcPr>
          <w:p>
            <w:pPr>
              <w:pStyle w:val="yTableNAm"/>
            </w:pPr>
            <w:r>
              <w:br/>
              <w:t>$967.00</w:t>
            </w:r>
          </w:p>
        </w:tc>
      </w:tr>
      <w:tr>
        <w:tc>
          <w:tcPr>
            <w:tcW w:w="812" w:type="dxa"/>
          </w:tcPr>
          <w:p>
            <w:pPr>
              <w:pStyle w:val="yTableNAm"/>
            </w:pPr>
            <w:r>
              <w:t>3.</w:t>
            </w:r>
          </w:p>
        </w:tc>
        <w:tc>
          <w:tcPr>
            <w:tcW w:w="5128" w:type="dxa"/>
          </w:tcPr>
          <w:p>
            <w:pPr>
              <w:pStyle w:val="yTableNAm"/>
              <w:tabs>
                <w:tab w:val="right" w:leader="dot" w:pos="4878"/>
              </w:tabs>
            </w:pPr>
            <w:r>
              <w:t xml:space="preserve">Grant of licence (including a triennial certificate) to a body corporate </w:t>
            </w:r>
            <w:r>
              <w:tab/>
            </w:r>
          </w:p>
        </w:tc>
        <w:tc>
          <w:tcPr>
            <w:tcW w:w="992" w:type="dxa"/>
          </w:tcPr>
          <w:p>
            <w:pPr>
              <w:pStyle w:val="yTableNAm"/>
            </w:pPr>
            <w:r>
              <w:br/>
              <w:t>$967.00</w:t>
            </w:r>
          </w:p>
        </w:tc>
      </w:tr>
      <w:tr>
        <w:tc>
          <w:tcPr>
            <w:tcW w:w="812" w:type="dxa"/>
          </w:tcPr>
          <w:p>
            <w:pPr>
              <w:pStyle w:val="yTableNAm"/>
            </w:pPr>
            <w:r>
              <w:t>4.</w:t>
            </w:r>
          </w:p>
        </w:tc>
        <w:tc>
          <w:tcPr>
            <w:tcW w:w="5128" w:type="dxa"/>
          </w:tcPr>
          <w:p>
            <w:pPr>
              <w:pStyle w:val="yTableNAm"/>
              <w:tabs>
                <w:tab w:val="right" w:leader="dot" w:pos="4878"/>
              </w:tabs>
            </w:pPr>
            <w:r>
              <w:t xml:space="preserve">Renewal of triennial certificate </w:t>
            </w:r>
            <w:r>
              <w:tab/>
            </w:r>
          </w:p>
        </w:tc>
        <w:tc>
          <w:tcPr>
            <w:tcW w:w="992" w:type="dxa"/>
          </w:tcPr>
          <w:p>
            <w:pPr>
              <w:pStyle w:val="yTableNAm"/>
            </w:pPr>
            <w:r>
              <w:t>$475.00</w:t>
            </w:r>
          </w:p>
        </w:tc>
      </w:tr>
      <w:tr>
        <w:tc>
          <w:tcPr>
            <w:tcW w:w="812" w:type="dxa"/>
          </w:tcPr>
          <w:p>
            <w:pPr>
              <w:pStyle w:val="yTableNAm"/>
            </w:pPr>
            <w:r>
              <w:t>5.</w:t>
            </w:r>
          </w:p>
        </w:tc>
        <w:tc>
          <w:tcPr>
            <w:tcW w:w="5128" w:type="dxa"/>
          </w:tcPr>
          <w:p>
            <w:pPr>
              <w:pStyle w:val="yTableNAm"/>
              <w:tabs>
                <w:tab w:val="right" w:leader="dot" w:pos="4878"/>
              </w:tabs>
            </w:pPr>
            <w:r>
              <w:t xml:space="preserve">Inspection of register </w:t>
            </w:r>
            <w:r>
              <w:tab/>
            </w:r>
          </w:p>
        </w:tc>
        <w:tc>
          <w:tcPr>
            <w:tcW w:w="992" w:type="dxa"/>
          </w:tcPr>
          <w:p>
            <w:pPr>
              <w:pStyle w:val="yTableNAm"/>
            </w:pPr>
            <w:r>
              <w:t>$10.90</w:t>
            </w:r>
          </w:p>
        </w:tc>
      </w:tr>
      <w:tr>
        <w:tc>
          <w:tcPr>
            <w:tcW w:w="812" w:type="dxa"/>
          </w:tcPr>
          <w:p>
            <w:pPr>
              <w:pStyle w:val="yTableNAm"/>
            </w:pPr>
            <w:r>
              <w:t>6.</w:t>
            </w:r>
          </w:p>
        </w:tc>
        <w:tc>
          <w:tcPr>
            <w:tcW w:w="5128" w:type="dxa"/>
          </w:tcPr>
          <w:p>
            <w:pPr>
              <w:pStyle w:val="yTableNAm"/>
            </w:pPr>
            <w:r>
              <w:t xml:space="preserve">Certificate as to an individual registration — </w:t>
            </w:r>
          </w:p>
          <w:p>
            <w:pPr>
              <w:pStyle w:val="yTableNAm"/>
              <w:tabs>
                <w:tab w:val="right" w:leader="dot" w:pos="4878"/>
              </w:tabs>
            </w:pPr>
            <w:r>
              <w:tab/>
              <w:t xml:space="preserve">first page </w:t>
            </w:r>
            <w:r>
              <w:tab/>
            </w:r>
          </w:p>
          <w:p>
            <w:pPr>
              <w:pStyle w:val="yTableNAm"/>
              <w:tabs>
                <w:tab w:val="right" w:leader="dot" w:pos="4878"/>
              </w:tabs>
            </w:pPr>
            <w:r>
              <w:tab/>
              <w:t xml:space="preserve">each subsequent page </w:t>
            </w:r>
            <w:r>
              <w:tab/>
            </w:r>
          </w:p>
        </w:tc>
        <w:tc>
          <w:tcPr>
            <w:tcW w:w="992" w:type="dxa"/>
          </w:tcPr>
          <w:p>
            <w:pPr>
              <w:pStyle w:val="yTableNAm"/>
            </w:pPr>
          </w:p>
          <w:p>
            <w:pPr>
              <w:pStyle w:val="yTableNAm"/>
            </w:pPr>
            <w:r>
              <w:t>$22.00</w:t>
            </w:r>
          </w:p>
          <w:p>
            <w:pPr>
              <w:pStyle w:val="yTableNAm"/>
            </w:pPr>
            <w:r>
              <w:t>$ 2.15</w:t>
            </w:r>
          </w:p>
        </w:tc>
      </w:tr>
      <w:tr>
        <w:tc>
          <w:tcPr>
            <w:tcW w:w="812" w:type="dxa"/>
          </w:tcPr>
          <w:p>
            <w:pPr>
              <w:pStyle w:val="yTableNAm"/>
            </w:pPr>
            <w:r>
              <w:t>7.</w:t>
            </w:r>
          </w:p>
        </w:tc>
        <w:tc>
          <w:tcPr>
            <w:tcW w:w="5128" w:type="dxa"/>
          </w:tcPr>
          <w:p>
            <w:pPr>
              <w:pStyle w:val="yTableNAm"/>
              <w:tabs>
                <w:tab w:val="right" w:leader="dot" w:pos="4878"/>
              </w:tabs>
            </w:pPr>
            <w:r>
              <w:t xml:space="preserve">Certificate as to all registrations in register </w:t>
            </w:r>
            <w:r>
              <w:tab/>
            </w:r>
          </w:p>
        </w:tc>
        <w:tc>
          <w:tcPr>
            <w:tcW w:w="992" w:type="dxa"/>
          </w:tcPr>
          <w:p>
            <w:pPr>
              <w:pStyle w:val="yTableNAm"/>
            </w:pPr>
            <w:r>
              <w:t>$157.50</w:t>
            </w:r>
          </w:p>
        </w:tc>
      </w:tr>
      <w:tr>
        <w:tc>
          <w:tcPr>
            <w:tcW w:w="812" w:type="dxa"/>
          </w:tcPr>
          <w:p>
            <w:pPr>
              <w:pStyle w:val="yTableNAm"/>
            </w:pPr>
            <w:r>
              <w:t>8.</w:t>
            </w:r>
          </w:p>
        </w:tc>
        <w:tc>
          <w:tcPr>
            <w:tcW w:w="5128" w:type="dxa"/>
          </w:tcPr>
          <w:p>
            <w:pPr>
              <w:pStyle w:val="yTableNAm"/>
              <w:tabs>
                <w:tab w:val="right" w:leader="dot" w:pos="4878"/>
              </w:tabs>
            </w:pPr>
            <w:r>
              <w:t xml:space="preserve">For the purposes of section 30(3a) (the holding fee) </w:t>
            </w:r>
            <w:r>
              <w:tab/>
            </w:r>
          </w:p>
        </w:tc>
        <w:tc>
          <w:tcPr>
            <w:tcW w:w="992" w:type="dxa"/>
          </w:tcPr>
          <w:p>
            <w:pPr>
              <w:pStyle w:val="yTableNAm"/>
            </w:pPr>
            <w:r>
              <w:t>$222.00</w:t>
            </w:r>
          </w:p>
        </w:tc>
      </w:tr>
    </w:tbl>
    <w:p>
      <w:pPr>
        <w:pStyle w:val="yFootnotesection"/>
      </w:pPr>
      <w:r>
        <w:tab/>
        <w:t>[Schedule 1 inserted in Gazette 17 Jun 2014 p. 1979.]</w:t>
      </w:r>
    </w:p>
    <w:p>
      <w:pPr>
        <w:pStyle w:val="yScheduleHeading"/>
      </w:pPr>
      <w:bookmarkStart w:id="30" w:name="_Toc377567911"/>
      <w:bookmarkStart w:id="31" w:name="_Toc377568177"/>
      <w:bookmarkStart w:id="32" w:name="_Toc391885555"/>
      <w:bookmarkEnd w:id="28"/>
      <w:bookmarkEnd w:id="29"/>
      <w:r>
        <w:rPr>
          <w:rStyle w:val="CharSchNo"/>
        </w:rPr>
        <w:t>Schedule 1A</w:t>
      </w:r>
      <w:r>
        <w:rPr>
          <w:rStyle w:val="CharSDivNo"/>
        </w:rPr>
        <w:t> </w:t>
      </w:r>
      <w:r>
        <w:t>—</w:t>
      </w:r>
      <w:r>
        <w:rPr>
          <w:rStyle w:val="CharSDivText"/>
        </w:rPr>
        <w:t> </w:t>
      </w:r>
      <w:r>
        <w:rPr>
          <w:rStyle w:val="CharSchText"/>
        </w:rPr>
        <w:t>Professional development subjects</w:t>
      </w:r>
      <w:bookmarkEnd w:id="30"/>
      <w:bookmarkEnd w:id="31"/>
      <w:bookmarkEnd w:id="3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3" w:name="_Toc377567912"/>
      <w:bookmarkStart w:id="34" w:name="_Toc377568178"/>
      <w:bookmarkStart w:id="35" w:name="_Toc391885556"/>
      <w:r>
        <w:rPr>
          <w:rStyle w:val="CharSchNo"/>
        </w:rPr>
        <w:t>Schedule 2</w:t>
      </w:r>
      <w:r>
        <w:t> — </w:t>
      </w:r>
      <w:r>
        <w:rPr>
          <w:rStyle w:val="CharSchText"/>
        </w:rPr>
        <w:t>Notice under section 26A or 26B of the Act</w:t>
      </w:r>
      <w:bookmarkEnd w:id="33"/>
      <w:bookmarkEnd w:id="34"/>
      <w:bookmarkEnd w:id="35"/>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6" w:name="_Toc377567913"/>
      <w:bookmarkStart w:id="37" w:name="_Toc377568179"/>
      <w:bookmarkStart w:id="38" w:name="_Toc391885557"/>
      <w:r>
        <w:rPr>
          <w:rStyle w:val="CharSchNo"/>
        </w:rPr>
        <w:t>Schedule 3</w:t>
      </w:r>
      <w:r>
        <w:t> — </w:t>
      </w:r>
      <w:r>
        <w:rPr>
          <w:rStyle w:val="CharSchText"/>
        </w:rPr>
        <w:t>Documents that a real estate settlement agent may draw or prepare</w:t>
      </w:r>
      <w:bookmarkEnd w:id="36"/>
      <w:bookmarkEnd w:id="37"/>
      <w:bookmarkEnd w:id="38"/>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39" w:name="_Toc377567914"/>
      <w:bookmarkStart w:id="40" w:name="_Toc377568180"/>
      <w:bookmarkStart w:id="41" w:name="_Toc391885558"/>
      <w:r>
        <w:rPr>
          <w:rStyle w:val="CharSDivNo"/>
        </w:rPr>
        <w:t>Part A</w:t>
      </w:r>
      <w:r>
        <w:rPr>
          <w:snapToGrid w:val="0"/>
        </w:rPr>
        <w:t> — </w:t>
      </w:r>
      <w:r>
        <w:rPr>
          <w:rStyle w:val="CharSDivText"/>
        </w:rPr>
        <w:t>Offer and acceptance</w:t>
      </w:r>
      <w:bookmarkEnd w:id="39"/>
      <w:bookmarkEnd w:id="40"/>
      <w:bookmarkEnd w:id="4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42" w:name="_Toc377567915"/>
      <w:bookmarkStart w:id="43" w:name="_Toc377568181"/>
      <w:bookmarkStart w:id="44" w:name="_Toc391885559"/>
      <w:r>
        <w:rPr>
          <w:rStyle w:val="CharSDivNo"/>
        </w:rPr>
        <w:t>Part B</w:t>
      </w:r>
      <w:r>
        <w:rPr>
          <w:snapToGrid w:val="0"/>
        </w:rPr>
        <w:t> — </w:t>
      </w:r>
      <w:r>
        <w:rPr>
          <w:rStyle w:val="CharSDivText"/>
        </w:rPr>
        <w:t>Requisitions on title</w:t>
      </w:r>
      <w:bookmarkEnd w:id="42"/>
      <w:bookmarkEnd w:id="43"/>
      <w:bookmarkEnd w:id="44"/>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45" w:name="_Toc377567916"/>
      <w:bookmarkStart w:id="46" w:name="_Toc377568182"/>
      <w:bookmarkStart w:id="47" w:name="_Toc391885560"/>
      <w:r>
        <w:rPr>
          <w:rStyle w:val="CharSDivNo"/>
        </w:rPr>
        <w:t>Part C</w:t>
      </w:r>
      <w:r>
        <w:rPr>
          <w:snapToGrid w:val="0"/>
        </w:rPr>
        <w:t> — </w:t>
      </w:r>
      <w:r>
        <w:rPr>
          <w:rStyle w:val="CharSDivText"/>
        </w:rPr>
        <w:t>Documents for registration or lodgement</w:t>
      </w:r>
      <w:bookmarkEnd w:id="45"/>
      <w:bookmarkEnd w:id="46"/>
      <w:bookmarkEnd w:id="47"/>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48" w:name="_Toc377567917"/>
      <w:bookmarkStart w:id="49" w:name="_Toc377568183"/>
      <w:bookmarkStart w:id="50" w:name="_Toc391885561"/>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48"/>
      <w:bookmarkEnd w:id="49"/>
      <w:bookmarkEnd w:id="5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51" w:name="_Toc377567918"/>
      <w:bookmarkStart w:id="52" w:name="_Toc377568184"/>
      <w:bookmarkStart w:id="53" w:name="_Toc391885562"/>
      <w:r>
        <w:rPr>
          <w:rStyle w:val="CharSchNo"/>
        </w:rPr>
        <w:t>Schedule 5</w:t>
      </w:r>
      <w:r>
        <w:t> — </w:t>
      </w:r>
      <w:r>
        <w:rPr>
          <w:rStyle w:val="CharSchText"/>
        </w:rPr>
        <w:t>Prescribed offences and modified penalties</w:t>
      </w:r>
      <w:bookmarkEnd w:id="51"/>
      <w:bookmarkEnd w:id="52"/>
      <w:bookmarkEnd w:id="53"/>
    </w:p>
    <w:p>
      <w:pPr>
        <w:pStyle w:val="yShoulderClause"/>
      </w:pPr>
      <w:r>
        <w:t>[r. 15]</w:t>
      </w:r>
    </w:p>
    <w:p>
      <w:pPr>
        <w:pStyle w:val="yFootnoteheading"/>
      </w:pPr>
      <w:r>
        <w:tab/>
        <w:t>[Heading inserted in Gazette 23 Dec 2008 p. 5470.]</w:t>
      </w:r>
    </w:p>
    <w:p>
      <w:pPr>
        <w:pStyle w:val="yHeading3"/>
      </w:pPr>
      <w:bookmarkStart w:id="54" w:name="_Toc377567919"/>
      <w:bookmarkStart w:id="55" w:name="_Toc377568185"/>
      <w:bookmarkStart w:id="56" w:name="_Toc391885563"/>
      <w:r>
        <w:rPr>
          <w:rStyle w:val="CharSDivNo"/>
        </w:rPr>
        <w:t>Part 1</w:t>
      </w:r>
      <w:r>
        <w:rPr>
          <w:b w:val="0"/>
        </w:rPr>
        <w:t> — </w:t>
      </w:r>
      <w:r>
        <w:rPr>
          <w:rStyle w:val="CharSDivText"/>
        </w:rPr>
        <w:t>Offences under section 65</w:t>
      </w:r>
      <w:bookmarkEnd w:id="54"/>
      <w:bookmarkEnd w:id="55"/>
      <w:bookmarkEnd w:id="5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57" w:name="_Toc377567920"/>
      <w:bookmarkStart w:id="58" w:name="_Toc377568186"/>
      <w:bookmarkStart w:id="59" w:name="_Toc391885564"/>
      <w:r>
        <w:rPr>
          <w:rStyle w:val="CharSDivNo"/>
        </w:rPr>
        <w:t>Part 2</w:t>
      </w:r>
      <w:r>
        <w:rPr>
          <w:b w:val="0"/>
        </w:rPr>
        <w:t> — </w:t>
      </w:r>
      <w:r>
        <w:rPr>
          <w:rStyle w:val="CharSDivText"/>
        </w:rPr>
        <w:t>Offences under section 120</w:t>
      </w:r>
      <w:bookmarkEnd w:id="57"/>
      <w:bookmarkEnd w:id="58"/>
      <w:bookmarkEnd w:id="59"/>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60" w:name="_Toc377567921"/>
      <w:bookmarkStart w:id="61" w:name="_Toc377568187"/>
      <w:bookmarkStart w:id="62" w:name="_Toc391885565"/>
      <w:r>
        <w:rPr>
          <w:rStyle w:val="CharSchNo"/>
        </w:rPr>
        <w:t>Schedule 6</w:t>
      </w:r>
      <w:r>
        <w:rPr>
          <w:rStyle w:val="CharSDivNo"/>
          <w:sz w:val="28"/>
        </w:rPr>
        <w:t> </w:t>
      </w:r>
      <w:r>
        <w:t>—</w:t>
      </w:r>
      <w:r>
        <w:rPr>
          <w:rStyle w:val="CharSDivText"/>
          <w:sz w:val="28"/>
        </w:rPr>
        <w:t> </w:t>
      </w:r>
      <w:r>
        <w:rPr>
          <w:rStyle w:val="CharSchText"/>
        </w:rPr>
        <w:t>Forms</w:t>
      </w:r>
      <w:bookmarkEnd w:id="60"/>
      <w:bookmarkEnd w:id="61"/>
      <w:bookmarkEnd w:id="62"/>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63" w:name="_Toc391885566"/>
      <w:r>
        <w:t>Form 1 — Infringement notice</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p>
    <w:p>
      <w:pPr>
        <w:pStyle w:val="yHeading5"/>
        <w:pageBreakBefore/>
        <w:spacing w:before="0" w:after="40"/>
        <w:outlineLvl w:val="9"/>
      </w:pPr>
      <w:bookmarkStart w:id="64" w:name="_Toc391885567"/>
      <w:r>
        <w:t>Form 2 — Withdrawal of infringement notice</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5" w:name="_Toc377567924"/>
      <w:bookmarkStart w:id="66" w:name="_Toc377568190"/>
      <w:bookmarkStart w:id="67" w:name="_Toc391885568"/>
      <w:r>
        <w:t>Notes</w:t>
      </w:r>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391885569"/>
      <w: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4</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5</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rPr>
              <w:t xml:space="preserve">r. 1 and 2: </w:t>
            </w:r>
            <w:r>
              <w:rPr>
                <w:sz w:val="19"/>
              </w:rPr>
              <w:t>17 Jun 2008</w:t>
            </w:r>
            <w:r>
              <w:rPr>
                <w:snapToGrid w:val="0"/>
                <w:sz w:val="19"/>
              </w:rPr>
              <w:t xml:space="preserve"> (see r. 2(a));</w:t>
            </w:r>
            <w:r>
              <w:rPr>
                <w:snapToGrid w:val="0"/>
                <w:sz w:val="19"/>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w:t>
            </w:r>
            <w:r>
              <w:rPr>
                <w:sz w:val="19"/>
              </w:rPr>
              <w:t> </w:t>
            </w:r>
            <w:r>
              <w:rPr>
                <w:iCs/>
                <w:sz w:val="19"/>
                <w:vertAlign w:val="superscript"/>
              </w:rPr>
              <w:t>6</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z w:val="19"/>
              </w:rPr>
            </w:pPr>
            <w:r>
              <w:rPr>
                <w:snapToGrid w:val="0"/>
                <w:sz w:val="19"/>
              </w:rPr>
              <w:t>r. 1 and 2: 30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rPr>
          <w:cantSplit/>
        </w:trPr>
        <w:tc>
          <w:tcPr>
            <w:tcW w:w="3118" w:type="dxa"/>
            <w:shd w:val="clear" w:color="auto" w:fill="auto"/>
          </w:tcPr>
          <w:p>
            <w:pPr>
              <w:pStyle w:val="nTable"/>
              <w:spacing w:after="40"/>
              <w:rPr>
                <w:i/>
                <w:sz w:val="19"/>
              </w:rPr>
            </w:pPr>
            <w:r>
              <w:rPr>
                <w:i/>
                <w:sz w:val="19"/>
              </w:rPr>
              <w:t>Settlement Agents Amendment Regulations (No. 3) 2013</w:t>
            </w:r>
          </w:p>
        </w:tc>
        <w:tc>
          <w:tcPr>
            <w:tcW w:w="1276" w:type="dxa"/>
            <w:shd w:val="clear" w:color="auto" w:fill="auto"/>
          </w:tcPr>
          <w:p>
            <w:pPr>
              <w:pStyle w:val="nTable"/>
              <w:spacing w:after="40"/>
              <w:rPr>
                <w:sz w:val="19"/>
              </w:rPr>
            </w:pPr>
            <w:r>
              <w:rPr>
                <w:sz w:val="19"/>
              </w:rPr>
              <w:t>27 Jun 2013 p. 2701-2</w:t>
            </w:r>
          </w:p>
        </w:tc>
        <w:tc>
          <w:tcPr>
            <w:tcW w:w="2693" w:type="dxa"/>
            <w:shd w:val="clear" w:color="auto" w:fill="auto"/>
          </w:tcPr>
          <w:p>
            <w:pPr>
              <w:pStyle w:val="nTable"/>
              <w:spacing w:after="40"/>
              <w:rPr>
                <w:rFonts w:ascii="Arial" w:hAnsi="Arial"/>
                <w:b/>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Settlement Agents Amendment Regulations 2013</w:t>
            </w:r>
          </w:p>
        </w:tc>
        <w:tc>
          <w:tcPr>
            <w:tcW w:w="1276" w:type="dxa"/>
            <w:shd w:val="clear" w:color="auto" w:fill="auto"/>
          </w:tcPr>
          <w:p>
            <w:pPr>
              <w:pStyle w:val="nTable"/>
              <w:spacing w:after="40"/>
              <w:rPr>
                <w:sz w:val="19"/>
              </w:rPr>
            </w:pPr>
            <w:r>
              <w:rPr>
                <w:sz w:val="19"/>
              </w:rPr>
              <w:t>20 Aug 2013 p. 3841</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6: The </w:t>
            </w:r>
            <w:r>
              <w:rPr>
                <w:b/>
                <w:i/>
                <w:sz w:val="19"/>
              </w:rPr>
              <w:t>Settlement Agents Regulations 1982</w:t>
            </w:r>
            <w:r>
              <w:rPr>
                <w:b/>
                <w:sz w:val="19"/>
              </w:rPr>
              <w:t xml:space="preserve"> as at 20 Sep 2013</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Settlement Agents Amendment Regulations (No. 2) 2013</w:t>
            </w:r>
          </w:p>
        </w:tc>
        <w:tc>
          <w:tcPr>
            <w:tcW w:w="1276" w:type="dxa"/>
            <w:shd w:val="clear" w:color="auto" w:fill="auto"/>
          </w:tcPr>
          <w:p>
            <w:pPr>
              <w:pStyle w:val="nTable"/>
              <w:spacing w:after="40"/>
              <w:rPr>
                <w:sz w:val="19"/>
              </w:rPr>
            </w:pPr>
            <w:r>
              <w:rPr>
                <w:sz w:val="19"/>
              </w:rPr>
              <w:t>14 Nov 2013 p. 5067</w:t>
            </w:r>
            <w:r>
              <w:rPr>
                <w:sz w:val="19"/>
              </w:rPr>
              <w:noBreakHyphen/>
              <w:t>8</w:t>
            </w:r>
          </w:p>
        </w:tc>
        <w:tc>
          <w:tcPr>
            <w:tcW w:w="2693" w:type="dxa"/>
            <w:shd w:val="clear" w:color="auto" w:fill="auto"/>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Settlement Agents Amendment Regulations 2014</w:t>
            </w:r>
          </w:p>
        </w:tc>
        <w:tc>
          <w:tcPr>
            <w:tcW w:w="1276" w:type="dxa"/>
            <w:tcBorders>
              <w:bottom w:val="single" w:sz="4" w:space="0" w:color="auto"/>
            </w:tcBorders>
            <w:shd w:val="clear" w:color="auto" w:fill="auto"/>
          </w:tcPr>
          <w:p>
            <w:pPr>
              <w:pStyle w:val="nTable"/>
              <w:spacing w:after="40"/>
              <w:rPr>
                <w:sz w:val="19"/>
              </w:rPr>
            </w:pPr>
            <w:r>
              <w:rPr>
                <w:sz w:val="19"/>
              </w:rPr>
              <w:t>17 Jun 2014 p. 1978-9</w:t>
            </w:r>
          </w:p>
        </w:tc>
        <w:tc>
          <w:tcPr>
            <w:tcW w:w="2693" w:type="dxa"/>
            <w:tcBorders>
              <w:bottom w:val="single" w:sz="4" w:space="0" w:color="auto"/>
            </w:tcBorders>
            <w:shd w:val="clear" w:color="auto" w:fill="auto"/>
          </w:tcPr>
          <w:p>
            <w:pPr>
              <w:pStyle w:val="nTable"/>
              <w:spacing w:after="40"/>
              <w:rPr>
                <w:bCs/>
                <w:snapToGrid w:val="0"/>
                <w:sz w:val="19"/>
              </w:rPr>
            </w:pPr>
            <w:r>
              <w:rPr>
                <w:bCs/>
                <w:snapToGrid w:val="0"/>
                <w:sz w:val="19"/>
              </w:rPr>
              <w:t>r. 1 and 2: 17 Jun 2014 (see r. 2(a));</w:t>
            </w:r>
            <w:r>
              <w:rPr>
                <w:bCs/>
                <w:snapToGrid w:val="0"/>
                <w:sz w:val="19"/>
              </w:rPr>
              <w:br/>
              <w:t>Regulations other than r. 1 and 2: 1 Jul 2014 (see r. 2(b))</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rPr>
          <w:sz w:val="28"/>
        </w:rPr>
      </w:pPr>
      <w:bookmarkStart w:id="69" w:name="_Toc377567926"/>
      <w:bookmarkStart w:id="70" w:name="_Toc377568192"/>
      <w:bookmarkStart w:id="71" w:name="_Toc391885570"/>
      <w:r>
        <w:rPr>
          <w:sz w:val="28"/>
        </w:rPr>
        <w:t>Defined terms</w:t>
      </w:r>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 w:name="DefinedTerms"/>
      <w:bookmarkEnd w:id="72"/>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465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8319</Words>
  <Characters>40182</Characters>
  <Application>Microsoft Office Word</Application>
  <DocSecurity>0</DocSecurity>
  <Lines>1435</Lines>
  <Paragraphs>915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1982 - 06-c0-00</dc:title>
  <dc:subject/>
  <dc:creator/>
  <cp:keywords/>
  <dc:description/>
  <cp:lastModifiedBy>svcMRProcess</cp:lastModifiedBy>
  <cp:revision>4</cp:revision>
  <cp:lastPrinted>2013-09-27T04:34:00Z</cp:lastPrinted>
  <dcterms:created xsi:type="dcterms:W3CDTF">2018-09-16T00:25:00Z</dcterms:created>
  <dcterms:modified xsi:type="dcterms:W3CDTF">2018-09-16T00:25:00Z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20140701</vt:lpwstr>
  </property>
  <property fmtid="{D5CDD505-2E9C-101B-9397-08002B2CF9AE}" pid="6" name="AsAtDate">
    <vt:lpwstr>01 Jul 2014</vt:lpwstr>
  </property>
  <property fmtid="{D5CDD505-2E9C-101B-9397-08002B2CF9AE}" pid="7" name="Suffix">
    <vt:lpwstr>06-c0-00</vt:lpwstr>
  </property>
  <property fmtid="{D5CDD505-2E9C-101B-9397-08002B2CF9AE}" pid="8" name="ReprintNo">
    <vt:lpwstr>6</vt:lpwstr>
  </property>
  <property fmtid="{D5CDD505-2E9C-101B-9397-08002B2CF9AE}" pid="9" name="ReprintedAsAt">
    <vt:filetime>2013-09-19T16:00:00Z</vt:filetime>
  </property>
</Properties>
</file>