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_Toc419467334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_Toc419467335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_Toc419467336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licence holder</w:t>
      </w:r>
      <w:r>
        <w:tab/>
      </w:r>
      <w:r>
        <w:fldChar w:fldCharType="begin"/>
      </w:r>
      <w:r>
        <w:instrText xml:space="preserve"> PAGEREF _Toc419467337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Licences, application for, duration of etc.</w:t>
      </w:r>
      <w:r>
        <w:tab/>
      </w:r>
      <w:r>
        <w:fldChar w:fldCharType="begin"/>
      </w:r>
      <w:r>
        <w:instrText xml:space="preserve"> PAGEREF _Toc419467338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for application for approval of premises</w:t>
      </w:r>
      <w:r>
        <w:tab/>
      </w:r>
      <w:r>
        <w:fldChar w:fldCharType="begin"/>
      </w:r>
      <w:r>
        <w:instrText xml:space="preserve"> PAGEREF _Toc419467339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Supervisors of hostels, approval of etc.</w:t>
      </w:r>
      <w:r>
        <w:tab/>
      </w:r>
      <w:r>
        <w:fldChar w:fldCharType="begin"/>
      </w:r>
      <w:r>
        <w:instrText xml:space="preserve"> PAGEREF _Toc419467340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Management of hostels</w:t>
      </w:r>
      <w:r>
        <w:tab/>
      </w:r>
      <w:r>
        <w:fldChar w:fldCharType="begin"/>
      </w:r>
      <w:r>
        <w:instrText xml:space="preserve"> PAGEREF _Toc419467341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Management of animals at hostels</w:t>
      </w:r>
      <w:r>
        <w:tab/>
      </w:r>
      <w:r>
        <w:fldChar w:fldCharType="begin"/>
      </w:r>
      <w:r>
        <w:instrText xml:space="preserve"> PAGEREF _Toc419467342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Food preparation and diet at hostels</w:t>
      </w:r>
      <w:r>
        <w:tab/>
      </w:r>
      <w:r>
        <w:fldChar w:fldCharType="begin"/>
      </w:r>
      <w:r>
        <w:instrText xml:space="preserve"> PAGEREF _Toc419467343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Administration of drugs at hostels</w:t>
      </w:r>
      <w:r>
        <w:tab/>
      </w:r>
      <w:r>
        <w:fldChar w:fldCharType="begin"/>
      </w:r>
      <w:r>
        <w:instrText xml:space="preserve"> PAGEREF _Toc419467344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Clothing and toiletries for residents</w:t>
      </w:r>
      <w:r>
        <w:tab/>
      </w:r>
      <w:r>
        <w:fldChar w:fldCharType="begin"/>
      </w:r>
      <w:r>
        <w:instrText xml:space="preserve"> PAGEREF _Toc419467345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Certain events to be reported to Chief Psychiatrist</w:t>
      </w:r>
      <w:r>
        <w:tab/>
      </w:r>
      <w:r>
        <w:fldChar w:fldCharType="begin"/>
      </w:r>
      <w:r>
        <w:instrText xml:space="preserve"> PAGEREF _Toc419467346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Minimum proportion of pension for resident’s use</w:t>
      </w:r>
      <w:r>
        <w:tab/>
      </w:r>
      <w:r>
        <w:fldChar w:fldCharType="begin"/>
      </w:r>
      <w:r>
        <w:instrText xml:space="preserve"> PAGEREF _Toc419467347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Register of information about residents</w:t>
      </w:r>
      <w:r>
        <w:tab/>
      </w:r>
      <w:r>
        <w:fldChar w:fldCharType="begin"/>
      </w:r>
      <w:r>
        <w:instrText xml:space="preserve"> PAGEREF _Toc419467348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Closure of hostel, advance notice to be given of</w:t>
      </w:r>
      <w:r>
        <w:tab/>
      </w:r>
      <w:r>
        <w:fldChar w:fldCharType="begin"/>
      </w:r>
      <w:r>
        <w:instrText xml:space="preserve"> PAGEREF _Toc419467349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Inspection of hostels</w:t>
      </w:r>
      <w:r>
        <w:tab/>
      </w:r>
      <w:r>
        <w:fldChar w:fldCharType="begin"/>
      </w:r>
      <w:r>
        <w:instrText xml:space="preserve"> PAGEREF _Toc419467350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Obstructing CEO etc., offence</w:t>
      </w:r>
      <w:r>
        <w:tab/>
      </w:r>
      <w:r>
        <w:fldChar w:fldCharType="begin"/>
      </w:r>
      <w:r>
        <w:instrText xml:space="preserve"> PAGEREF _Toc419467351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r>
        <w:rPr>
          <w:b w:val="0"/>
        </w:rPr>
        <w:t> </w:t>
      </w:r>
      <w:r>
        <w:t>—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_Toc419467354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lastRenderedPageBreak/>
        <w:t>Western Australia</w:t>
      </w:r>
    </w:p>
    <w:p>
      <w:pPr>
        <w:pStyle w:val="PrincipalActReg"/>
        <w:spacing w:before="400"/>
        <w:rPr>
          <w:snapToGrid w:val="0"/>
        </w:rPr>
      </w:pPr>
      <w:r>
        <w:rPr>
          <w:snapToGrid w:val="0"/>
        </w:rPr>
        <w:t>Hospitals and Health Services Act 1927</w:t>
      </w:r>
    </w:p>
    <w:p>
      <w:pPr>
        <w:pStyle w:val="NameofActReg"/>
      </w:pPr>
      <w:r>
        <w:t>Hospitals (Licensing and Conduct of Private Psychiatric Hostels) Regulations 1997</w:t>
      </w:r>
    </w:p>
    <w:p>
      <w:pPr>
        <w:pStyle w:val="Heading5"/>
        <w:rPr>
          <w:snapToGrid w:val="0"/>
        </w:rPr>
      </w:pPr>
      <w:bookmarkStart w:id="3" w:name="_Toc392144007"/>
      <w:bookmarkStart w:id="4" w:name="_Toc392144029"/>
      <w:bookmarkStart w:id="5" w:name="_Toc392144051"/>
      <w:bookmarkStart w:id="6" w:name="_Toc419467334"/>
      <w:r>
        <w:rPr>
          <w:rStyle w:val="CharSectno"/>
        </w:rPr>
        <w:t>1</w:t>
      </w:r>
      <w:r>
        <w:rPr>
          <w:snapToGrid w:val="0"/>
        </w:rPr>
        <w:t>.</w:t>
      </w:r>
      <w:r>
        <w:rPr>
          <w:snapToGrid w:val="0"/>
        </w:rPr>
        <w:tab/>
        <w:t>Citation</w:t>
      </w:r>
      <w:bookmarkEnd w:id="3"/>
      <w:bookmarkEnd w:id="4"/>
      <w:bookmarkEnd w:id="5"/>
      <w:bookmarkEnd w:id="6"/>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7" w:name="_Toc392144008"/>
      <w:bookmarkStart w:id="8" w:name="_Toc392144030"/>
      <w:bookmarkStart w:id="9" w:name="_Toc392144052"/>
      <w:bookmarkStart w:id="10" w:name="_Toc419467335"/>
      <w:r>
        <w:rPr>
          <w:rStyle w:val="CharSectno"/>
        </w:rPr>
        <w:t>2</w:t>
      </w:r>
      <w:r>
        <w:rPr>
          <w:snapToGrid w:val="0"/>
        </w:rPr>
        <w:t>.</w:t>
      </w:r>
      <w:r>
        <w:rPr>
          <w:snapToGrid w:val="0"/>
        </w:rPr>
        <w:tab/>
        <w:t>Commencement</w:t>
      </w:r>
      <w:bookmarkEnd w:id="7"/>
      <w:bookmarkEnd w:id="8"/>
      <w:bookmarkEnd w:id="9"/>
      <w:bookmarkEnd w:id="10"/>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11" w:name="_Toc392144009"/>
      <w:bookmarkStart w:id="12" w:name="_Toc392144031"/>
      <w:bookmarkStart w:id="13" w:name="_Toc392144053"/>
      <w:bookmarkStart w:id="14" w:name="_Toc419467336"/>
      <w:r>
        <w:rPr>
          <w:rStyle w:val="CharSectno"/>
        </w:rPr>
        <w:t>3</w:t>
      </w:r>
      <w:r>
        <w:rPr>
          <w:snapToGrid w:val="0"/>
        </w:rPr>
        <w:t>.</w:t>
      </w:r>
      <w:r>
        <w:rPr>
          <w:snapToGrid w:val="0"/>
        </w:rPr>
        <w:tab/>
        <w:t>Terms used</w:t>
      </w:r>
      <w:bookmarkEnd w:id="11"/>
      <w:bookmarkEnd w:id="12"/>
      <w:bookmarkEnd w:id="13"/>
      <w:bookmarkEnd w:id="14"/>
    </w:p>
    <w:p>
      <w:pPr>
        <w:pStyle w:val="Subsection"/>
      </w:pPr>
      <w:r>
        <w:tab/>
      </w:r>
      <w:r>
        <w:tab/>
        <w:t>In these regulations —</w:t>
      </w:r>
    </w:p>
    <w:p>
      <w:pPr>
        <w:pStyle w:val="Defstart"/>
      </w:pPr>
      <w:r>
        <w:rPr>
          <w:b/>
        </w:rPr>
        <w:tab/>
      </w:r>
      <w:r>
        <w:rPr>
          <w:rStyle w:val="CharDefText"/>
        </w:rPr>
        <w:t>Chief Psychiatrist</w:t>
      </w:r>
      <w:r>
        <w:t xml:space="preserve"> has the same meaning as in the </w:t>
      </w:r>
      <w:r>
        <w:rPr>
          <w:i/>
        </w:rPr>
        <w:t>Mental Health Act 1996</w:t>
      </w:r>
      <w:r>
        <w:t>;</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r>
        <w:rPr>
          <w:rStyle w:val="CharDefText"/>
        </w:rPr>
        <w:t>resident</w:t>
      </w:r>
      <w:r>
        <w:t xml:space="preserve"> has the same meaning as in Part IIIB of the Act.</w:t>
      </w:r>
    </w:p>
    <w:p>
      <w:pPr>
        <w:pStyle w:val="Heading5"/>
        <w:rPr>
          <w:snapToGrid w:val="0"/>
        </w:rPr>
      </w:pPr>
      <w:bookmarkStart w:id="15" w:name="_Toc392144010"/>
      <w:bookmarkStart w:id="16" w:name="_Toc392144032"/>
      <w:bookmarkStart w:id="17" w:name="_Toc392144054"/>
      <w:bookmarkStart w:id="18" w:name="_Toc419467337"/>
      <w:r>
        <w:rPr>
          <w:rStyle w:val="CharSectno"/>
        </w:rPr>
        <w:lastRenderedPageBreak/>
        <w:t>4</w:t>
      </w:r>
      <w:r>
        <w:rPr>
          <w:snapToGrid w:val="0"/>
        </w:rPr>
        <w:t>.</w:t>
      </w:r>
      <w:r>
        <w:rPr>
          <w:snapToGrid w:val="0"/>
        </w:rPr>
        <w:tab/>
        <w:t>Term used: licence holder</w:t>
      </w:r>
      <w:bookmarkEnd w:id="15"/>
      <w:bookmarkEnd w:id="16"/>
      <w:bookmarkEnd w:id="17"/>
      <w:bookmarkEnd w:id="18"/>
    </w:p>
    <w:p>
      <w:pPr>
        <w:pStyle w:val="Subsection"/>
      </w:pPr>
      <w:r>
        <w:tab/>
      </w:r>
      <w:r>
        <w:tab/>
        <w:t>In these regulations, other than regulations 7 and 16 —</w:t>
      </w:r>
    </w:p>
    <w:p>
      <w:pPr>
        <w:pStyle w:val="Defstart"/>
      </w:pPr>
      <w:r>
        <w:rPr>
          <w:b/>
        </w:rPr>
        <w:tab/>
      </w:r>
      <w:r>
        <w:rPr>
          <w:rStyle w:val="CharDefText"/>
        </w:rPr>
        <w:t>licence holder</w:t>
      </w:r>
      <w:r>
        <w:t xml:space="preserve"> in relation to —</w:t>
      </w:r>
    </w:p>
    <w:p>
      <w:pPr>
        <w:pStyle w:val="Defpara"/>
      </w:pPr>
      <w:r>
        <w:tab/>
        <w:t>(a)</w:t>
      </w:r>
      <w:r>
        <w:tab/>
        <w:t>a licence held by a firm, means the firm and each natural person by whom the firm is constituted and each person concerned in the management and conduct of any body corporate by which the firm is constituted; and</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19" w:name="_Toc392144011"/>
      <w:bookmarkStart w:id="20" w:name="_Toc392144033"/>
      <w:bookmarkStart w:id="21" w:name="_Toc392144055"/>
      <w:bookmarkStart w:id="22" w:name="_Toc419467338"/>
      <w:r>
        <w:rPr>
          <w:rStyle w:val="CharSectno"/>
        </w:rPr>
        <w:t>5</w:t>
      </w:r>
      <w:r>
        <w:rPr>
          <w:snapToGrid w:val="0"/>
        </w:rPr>
        <w:t>.</w:t>
      </w:r>
      <w:r>
        <w:rPr>
          <w:snapToGrid w:val="0"/>
        </w:rPr>
        <w:tab/>
        <w:t>Licences, application for, duration of etc.</w:t>
      </w:r>
      <w:bookmarkEnd w:id="19"/>
      <w:bookmarkEnd w:id="20"/>
      <w:bookmarkEnd w:id="21"/>
      <w:bookmarkEnd w:id="22"/>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in Gazette 15 Dec 2006 p. 5627; 30 Oct 2009 p. 4308.]</w:t>
      </w:r>
    </w:p>
    <w:p>
      <w:pPr>
        <w:pStyle w:val="Heading5"/>
        <w:rPr>
          <w:snapToGrid w:val="0"/>
        </w:rPr>
      </w:pPr>
      <w:bookmarkStart w:id="23" w:name="_Toc392144012"/>
      <w:bookmarkStart w:id="24" w:name="_Toc392144034"/>
      <w:bookmarkStart w:id="25" w:name="_Toc392144056"/>
      <w:bookmarkStart w:id="26" w:name="_Toc419467339"/>
      <w:r>
        <w:rPr>
          <w:rStyle w:val="CharSectno"/>
        </w:rPr>
        <w:t>6</w:t>
      </w:r>
      <w:r>
        <w:rPr>
          <w:snapToGrid w:val="0"/>
        </w:rPr>
        <w:t>.</w:t>
      </w:r>
      <w:r>
        <w:rPr>
          <w:snapToGrid w:val="0"/>
        </w:rPr>
        <w:tab/>
        <w:t>Fee for application for approval of premises</w:t>
      </w:r>
      <w:bookmarkEnd w:id="23"/>
      <w:bookmarkEnd w:id="24"/>
      <w:bookmarkEnd w:id="25"/>
      <w:bookmarkEnd w:id="26"/>
    </w:p>
    <w:p>
      <w:pPr>
        <w:pStyle w:val="Subsection"/>
      </w:pPr>
      <w:r>
        <w:tab/>
      </w:r>
      <w:r>
        <w:tab/>
        <w:t>An applicant for the approval of any premises as a hostel is to pay a fee calculated in accordance with Schedule 1 item 4 to the CEO before that approval is granted.</w:t>
      </w:r>
    </w:p>
    <w:p>
      <w:pPr>
        <w:pStyle w:val="Footnotesection"/>
      </w:pPr>
      <w:r>
        <w:tab/>
        <w:t>[Regulation 6 amended in Gazette 15 Dec 2006 p. 5627; 30 Oct 2009 p. 4309.]</w:t>
      </w:r>
    </w:p>
    <w:p>
      <w:pPr>
        <w:pStyle w:val="Heading5"/>
        <w:rPr>
          <w:snapToGrid w:val="0"/>
        </w:rPr>
      </w:pPr>
      <w:bookmarkStart w:id="27" w:name="_Toc392144013"/>
      <w:bookmarkStart w:id="28" w:name="_Toc392144035"/>
      <w:bookmarkStart w:id="29" w:name="_Toc392144057"/>
      <w:bookmarkStart w:id="30" w:name="_Toc419467340"/>
      <w:r>
        <w:rPr>
          <w:rStyle w:val="CharSectno"/>
        </w:rPr>
        <w:t>7</w:t>
      </w:r>
      <w:r>
        <w:rPr>
          <w:snapToGrid w:val="0"/>
        </w:rPr>
        <w:t>.</w:t>
      </w:r>
      <w:r>
        <w:rPr>
          <w:snapToGrid w:val="0"/>
        </w:rPr>
        <w:tab/>
        <w:t>Supervisors of hostels, approval of etc.</w:t>
      </w:r>
      <w:bookmarkEnd w:id="27"/>
      <w:bookmarkEnd w:id="28"/>
      <w:bookmarkEnd w:id="29"/>
      <w:bookmarkEnd w:id="30"/>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that the conduct of the supervisor is such as to show that he or she is not a suitable person to be in charge of the day to day management of a hostel.</w:t>
      </w:r>
    </w:p>
    <w:p>
      <w:pPr>
        <w:pStyle w:val="Footnotesection"/>
      </w:pPr>
      <w:r>
        <w:tab/>
        <w:t>[Regulation 7 amended in Gazette 15 Dec 2006 p. 5627.]</w:t>
      </w:r>
    </w:p>
    <w:p>
      <w:pPr>
        <w:pStyle w:val="Heading5"/>
        <w:rPr>
          <w:snapToGrid w:val="0"/>
        </w:rPr>
      </w:pPr>
      <w:bookmarkStart w:id="31" w:name="_Toc392144014"/>
      <w:bookmarkStart w:id="32" w:name="_Toc392144036"/>
      <w:bookmarkStart w:id="33" w:name="_Toc392144058"/>
      <w:bookmarkStart w:id="34" w:name="_Toc419467341"/>
      <w:r>
        <w:rPr>
          <w:rStyle w:val="CharSectno"/>
        </w:rPr>
        <w:t>8</w:t>
      </w:r>
      <w:r>
        <w:rPr>
          <w:snapToGrid w:val="0"/>
        </w:rPr>
        <w:t>.</w:t>
      </w:r>
      <w:r>
        <w:rPr>
          <w:snapToGrid w:val="0"/>
        </w:rPr>
        <w:tab/>
        <w:t>Management of hostels</w:t>
      </w:r>
      <w:bookmarkEnd w:id="31"/>
      <w:bookmarkEnd w:id="32"/>
      <w:bookmarkEnd w:id="33"/>
      <w:bookmarkEnd w:id="34"/>
    </w:p>
    <w:p>
      <w:pPr>
        <w:pStyle w:val="Subsection"/>
      </w:pPr>
      <w:r>
        <w:tab/>
        <w:t>(1)</w:t>
      </w:r>
      <w:r>
        <w:tab/>
        <w:t>The licence holder of a hostel is responsible for the management of the hostel, the care of residents and the supervision of staff at the hostel.</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35" w:name="_Toc392144015"/>
      <w:bookmarkStart w:id="36" w:name="_Toc392144037"/>
      <w:bookmarkStart w:id="37" w:name="_Toc392144059"/>
      <w:bookmarkStart w:id="38" w:name="_Toc419467342"/>
      <w:r>
        <w:rPr>
          <w:rStyle w:val="CharSectno"/>
        </w:rPr>
        <w:t>9</w:t>
      </w:r>
      <w:r>
        <w:rPr>
          <w:snapToGrid w:val="0"/>
        </w:rPr>
        <w:t>.</w:t>
      </w:r>
      <w:r>
        <w:rPr>
          <w:snapToGrid w:val="0"/>
        </w:rPr>
        <w:tab/>
        <w:t>Management of animals at hostels</w:t>
      </w:r>
      <w:bookmarkEnd w:id="35"/>
      <w:bookmarkEnd w:id="36"/>
      <w:bookmarkEnd w:id="37"/>
      <w:bookmarkEnd w:id="38"/>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39" w:name="_Toc392144016"/>
      <w:bookmarkStart w:id="40" w:name="_Toc392144038"/>
      <w:bookmarkStart w:id="41" w:name="_Toc392144060"/>
      <w:bookmarkStart w:id="42" w:name="_Toc419467343"/>
      <w:r>
        <w:rPr>
          <w:rStyle w:val="CharSectno"/>
        </w:rPr>
        <w:t>10</w:t>
      </w:r>
      <w:r>
        <w:rPr>
          <w:snapToGrid w:val="0"/>
        </w:rPr>
        <w:t>.</w:t>
      </w:r>
      <w:r>
        <w:rPr>
          <w:snapToGrid w:val="0"/>
        </w:rPr>
        <w:tab/>
        <w:t>Food preparation and diet at hostels</w:t>
      </w:r>
      <w:bookmarkEnd w:id="39"/>
      <w:bookmarkEnd w:id="40"/>
      <w:bookmarkEnd w:id="41"/>
      <w:bookmarkEnd w:id="42"/>
    </w:p>
    <w:p>
      <w:pPr>
        <w:pStyle w:val="Subsection"/>
      </w:pPr>
      <w:r>
        <w:tab/>
        <w:t>(1)</w:t>
      </w:r>
      <w:r>
        <w:tab/>
        <w:t>The licence holder of a hostel is to ensure that constant attention is given to the hygienic and proper storage, preservation and serving of food in the hostel and that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 and</w:t>
      </w:r>
    </w:p>
    <w:p>
      <w:pPr>
        <w:pStyle w:val="Indenta"/>
        <w:rPr>
          <w:snapToGrid w:val="0"/>
        </w:rPr>
      </w:pPr>
      <w:r>
        <w:rPr>
          <w:snapToGrid w:val="0"/>
        </w:rPr>
        <w:tab/>
        <w:t>(b)</w:t>
      </w:r>
      <w:r>
        <w:rPr>
          <w:snapToGrid w:val="0"/>
        </w:rPr>
        <w:tab/>
        <w:t>residents receive fresh fruit or fruit juice daily; and</w:t>
      </w:r>
    </w:p>
    <w:p>
      <w:pPr>
        <w:pStyle w:val="Indenta"/>
        <w:rPr>
          <w:snapToGrid w:val="0"/>
        </w:rPr>
      </w:pPr>
      <w:r>
        <w:rPr>
          <w:snapToGrid w:val="0"/>
        </w:rPr>
        <w:tab/>
        <w:t>(c)</w:t>
      </w:r>
      <w:r>
        <w:rPr>
          <w:snapToGrid w:val="0"/>
        </w:rPr>
        <w:tab/>
        <w:t>residents on therapeutic diets or special diets are provided with food appropriate to those diets; and</w:t>
      </w:r>
    </w:p>
    <w:p>
      <w:pPr>
        <w:pStyle w:val="Indenta"/>
        <w:rPr>
          <w:snapToGrid w:val="0"/>
        </w:rPr>
      </w:pPr>
      <w:r>
        <w:rPr>
          <w:snapToGrid w:val="0"/>
        </w:rPr>
        <w:tab/>
        <w:t>(d)</w:t>
      </w:r>
      <w:r>
        <w:rPr>
          <w:snapToGrid w:val="0"/>
        </w:rPr>
        <w:tab/>
        <w:t>a particular menu is not repeated at an interval of less than 4 weeks; and</w:t>
      </w:r>
    </w:p>
    <w:p>
      <w:pPr>
        <w:pStyle w:val="Indenta"/>
        <w:rPr>
          <w:snapToGrid w:val="0"/>
        </w:rPr>
      </w:pPr>
      <w:r>
        <w:rPr>
          <w:snapToGrid w:val="0"/>
        </w:rPr>
        <w:tab/>
        <w:t>(e)</w:t>
      </w:r>
      <w:r>
        <w:rPr>
          <w:snapToGrid w:val="0"/>
        </w:rPr>
        <w:tab/>
        <w:t>standard food portion sizes are developed and used as a guide to preparing and serving food; and</w:t>
      </w:r>
    </w:p>
    <w:p>
      <w:pPr>
        <w:pStyle w:val="Indenta"/>
        <w:keepNext/>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meals are served at reasonable hours, with breakfast not being served before 7 a.m., the midday meal not being served before 12 noon and the evening meal not being served before 5 p.m. and, if the evening meal is served before 5.30 p.m., supper is to be served between 7.30 p.m. and 9.30 p.m.</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43" w:name="_Toc392144017"/>
      <w:bookmarkStart w:id="44" w:name="_Toc392144039"/>
      <w:bookmarkStart w:id="45" w:name="_Toc392144061"/>
      <w:bookmarkStart w:id="46" w:name="_Toc419467344"/>
      <w:r>
        <w:rPr>
          <w:rStyle w:val="CharSectno"/>
        </w:rPr>
        <w:t>11</w:t>
      </w:r>
      <w:r>
        <w:rPr>
          <w:snapToGrid w:val="0"/>
        </w:rPr>
        <w:t>.</w:t>
      </w:r>
      <w:r>
        <w:rPr>
          <w:snapToGrid w:val="0"/>
        </w:rPr>
        <w:tab/>
        <w:t>Administration of drugs at hostels</w:t>
      </w:r>
      <w:bookmarkEnd w:id="43"/>
      <w:bookmarkEnd w:id="44"/>
      <w:bookmarkEnd w:id="45"/>
      <w:bookmarkEnd w:id="46"/>
    </w:p>
    <w:p>
      <w:pPr>
        <w:pStyle w:val="Subsection"/>
      </w:pPr>
      <w:r>
        <w:tab/>
        <w:t>(1)</w:t>
      </w:r>
      <w:r>
        <w:tab/>
        <w:t>In this regulation —</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(2)</w:t>
      </w:r>
      <w:r>
        <w:tab/>
        <w:t>The supervisor of a hostel is to ensure that no drug is administered at the hostel to a resident except on the prescription of a medical practitioner.</w:t>
      </w:r>
    </w:p>
    <w:p>
      <w:pPr>
        <w:pStyle w:val="Penstart"/>
        <w:rPr>
          <w:snapToGrid w:val="0"/>
        </w:rPr>
      </w:pPr>
      <w:r>
        <w:rPr>
          <w:snapToGrid w:val="0"/>
        </w:rPr>
        <w:tab/>
        <w:t>Penalty: $500.</w:t>
      </w:r>
    </w:p>
    <w:p>
      <w:pPr>
        <w:pStyle w:val="Footnotesection"/>
      </w:pPr>
      <w:r>
        <w:tab/>
        <w:t>[Regulation 11 amended in Gazette 1 Apr 2011 p. 1181.]</w:t>
      </w:r>
    </w:p>
    <w:p>
      <w:pPr>
        <w:pStyle w:val="Heading5"/>
        <w:rPr>
          <w:snapToGrid w:val="0"/>
        </w:rPr>
      </w:pPr>
      <w:bookmarkStart w:id="47" w:name="_Toc392144018"/>
      <w:bookmarkStart w:id="48" w:name="_Toc392144040"/>
      <w:bookmarkStart w:id="49" w:name="_Toc392144062"/>
      <w:bookmarkStart w:id="50" w:name="_Toc419467345"/>
      <w:r>
        <w:rPr>
          <w:rStyle w:val="CharSectno"/>
        </w:rPr>
        <w:t>12</w:t>
      </w:r>
      <w:r>
        <w:rPr>
          <w:snapToGrid w:val="0"/>
        </w:rPr>
        <w:t>.</w:t>
      </w:r>
      <w:r>
        <w:rPr>
          <w:snapToGrid w:val="0"/>
        </w:rPr>
        <w:tab/>
        <w:t>Clothing and toiletries for residents</w:t>
      </w:r>
      <w:bookmarkEnd w:id="47"/>
      <w:bookmarkEnd w:id="48"/>
      <w:bookmarkEnd w:id="49"/>
      <w:bookmarkEnd w:id="50"/>
    </w:p>
    <w:p>
      <w:pPr>
        <w:pStyle w:val="Subsection"/>
      </w:pPr>
      <w:r>
        <w:tab/>
      </w:r>
      <w:r>
        <w:tab/>
        <w:t>A licence holder is to ensure that there is provided for each resident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at no extra cost to the resident.</w:t>
      </w:r>
    </w:p>
    <w:p>
      <w:pPr>
        <w:pStyle w:val="Penstart"/>
        <w:rPr>
          <w:snapToGrid w:val="0"/>
        </w:rPr>
      </w:pPr>
      <w:r>
        <w:rPr>
          <w:snapToGrid w:val="0"/>
        </w:rPr>
        <w:tab/>
        <w:t>Penalty: $500.</w:t>
      </w:r>
    </w:p>
    <w:p>
      <w:pPr>
        <w:pStyle w:val="Heading5"/>
        <w:rPr>
          <w:snapToGrid w:val="0"/>
        </w:rPr>
      </w:pPr>
      <w:bookmarkStart w:id="51" w:name="_Toc392144019"/>
      <w:bookmarkStart w:id="52" w:name="_Toc392144041"/>
      <w:bookmarkStart w:id="53" w:name="_Toc392144063"/>
      <w:bookmarkStart w:id="54" w:name="_Toc419467346"/>
      <w:r>
        <w:rPr>
          <w:rStyle w:val="CharSectno"/>
        </w:rPr>
        <w:t>13</w:t>
      </w:r>
      <w:r>
        <w:rPr>
          <w:snapToGrid w:val="0"/>
        </w:rPr>
        <w:t>.</w:t>
      </w:r>
      <w:r>
        <w:rPr>
          <w:snapToGrid w:val="0"/>
        </w:rPr>
        <w:tab/>
        <w:t>Certain events to be reported to Chief Psychiatrist</w:t>
      </w:r>
      <w:bookmarkEnd w:id="51"/>
      <w:bookmarkEnd w:id="52"/>
      <w:bookmarkEnd w:id="53"/>
      <w:bookmarkEnd w:id="54"/>
    </w:p>
    <w:p>
      <w:pPr>
        <w:pStyle w:val="Subsection"/>
      </w:pPr>
      <w:r>
        <w:tab/>
      </w:r>
      <w:r>
        <w:tab/>
        <w:t>The supervisor is to ensure that there is reported to the Chief Psychiatrist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as soon as is reasonably possible, if the supervisor considers any resident to be at risk of harming any person, including the resident himself or herself; and</w:t>
      </w:r>
    </w:p>
    <w:p>
      <w:pPr>
        <w:pStyle w:val="Indenta"/>
        <w:rPr>
          <w:snapToGrid w:val="0"/>
        </w:rPr>
      </w:pPr>
      <w:r>
        <w:rPr>
          <w:snapToGrid w:val="0"/>
        </w:rPr>
        <w:tab/>
        <w:t>(c)</w:t>
      </w:r>
      <w:r>
        <w:rPr>
          <w:snapToGrid w:val="0"/>
        </w:rPr>
        <w:tab/>
        <w:t>the death of any resident, by the end of the next working day following the death.</w:t>
      </w:r>
    </w:p>
    <w:p>
      <w:pPr>
        <w:pStyle w:val="Penstart"/>
        <w:rPr>
          <w:snapToGrid w:val="0"/>
        </w:rPr>
      </w:pPr>
      <w:r>
        <w:rPr>
          <w:snapToGrid w:val="0"/>
        </w:rPr>
        <w:tab/>
        <w:t>Penalty: $500.</w:t>
      </w:r>
    </w:p>
    <w:p>
      <w:pPr>
        <w:pStyle w:val="Footnotesection"/>
      </w:pPr>
      <w:r>
        <w:tab/>
        <w:t>[Regulation 13 amended in Gazette 12 Apr 2011 p. 1310.]</w:t>
      </w:r>
    </w:p>
    <w:p>
      <w:pPr>
        <w:pStyle w:val="Heading5"/>
        <w:rPr>
          <w:snapToGrid w:val="0"/>
        </w:rPr>
      </w:pPr>
      <w:bookmarkStart w:id="55" w:name="_Toc392144020"/>
      <w:bookmarkStart w:id="56" w:name="_Toc392144042"/>
      <w:bookmarkStart w:id="57" w:name="_Toc392144064"/>
      <w:bookmarkStart w:id="58" w:name="_Toc419467347"/>
      <w:r>
        <w:rPr>
          <w:rStyle w:val="CharSectno"/>
        </w:rPr>
        <w:t>14</w:t>
      </w:r>
      <w:r>
        <w:rPr>
          <w:snapToGrid w:val="0"/>
        </w:rPr>
        <w:t>.</w:t>
      </w:r>
      <w:r>
        <w:rPr>
          <w:snapToGrid w:val="0"/>
        </w:rPr>
        <w:tab/>
        <w:t>Minimum proportion of pension for resident’s use</w:t>
      </w:r>
      <w:bookmarkEnd w:id="55"/>
      <w:bookmarkEnd w:id="56"/>
      <w:bookmarkEnd w:id="57"/>
      <w:bookmarkEnd w:id="58"/>
    </w:p>
    <w:p>
      <w:pPr>
        <w:pStyle w:val="Subsection"/>
      </w:pPr>
      <w:r>
        <w:tab/>
        <w:t>(1)</w:t>
      </w:r>
      <w:r>
        <w:tab/>
        <w:t>If a resident of a hostel is in receipt of a pension payable under laws of the Commonwealth, the licence holder of the hostel is to ensure that there is paid or remitted to the resident for his or her own use, at least 12.5% of the basic pension.</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Heading5"/>
        <w:rPr>
          <w:snapToGrid w:val="0"/>
        </w:rPr>
      </w:pPr>
      <w:bookmarkStart w:id="59" w:name="_Toc392144021"/>
      <w:bookmarkStart w:id="60" w:name="_Toc392144043"/>
      <w:bookmarkStart w:id="61" w:name="_Toc392144065"/>
      <w:bookmarkStart w:id="62" w:name="_Toc419467348"/>
      <w:r>
        <w:rPr>
          <w:rStyle w:val="CharSectno"/>
        </w:rPr>
        <w:t>15</w:t>
      </w:r>
      <w:r>
        <w:rPr>
          <w:snapToGrid w:val="0"/>
        </w:rPr>
        <w:t>.</w:t>
      </w:r>
      <w:r>
        <w:rPr>
          <w:snapToGrid w:val="0"/>
        </w:rPr>
        <w:tab/>
        <w:t>Register of information about residents</w:t>
      </w:r>
      <w:bookmarkEnd w:id="59"/>
      <w:bookmarkEnd w:id="60"/>
      <w:bookmarkEnd w:id="61"/>
      <w:bookmarkEnd w:id="62"/>
    </w:p>
    <w:p>
      <w:pPr>
        <w:pStyle w:val="Subsection"/>
      </w:pPr>
      <w:r>
        <w:tab/>
        <w:t>(1)</w:t>
      </w:r>
      <w:r>
        <w:tab/>
        <w:t>The licence holder of a hostel is to ensure that there is kept on the premises of the hostel a register in a form approved by the CEO.</w:t>
      </w:r>
    </w:p>
    <w:p>
      <w:pPr>
        <w:pStyle w:val="Subsection"/>
      </w:pPr>
      <w:r>
        <w:tab/>
        <w:t>(2)</w:t>
      </w:r>
      <w:r>
        <w:tab/>
        <w:t>The supervisor of a hostel is to ensure that the following information is recorded in that register —</w:t>
      </w:r>
    </w:p>
    <w:p>
      <w:pPr>
        <w:pStyle w:val="Indenta"/>
        <w:spacing w:before="70"/>
        <w:rPr>
          <w:snapToGrid w:val="0"/>
        </w:rPr>
      </w:pPr>
      <w:r>
        <w:rPr>
          <w:snapToGrid w:val="0"/>
        </w:rPr>
        <w:tab/>
        <w:t>(a)</w:t>
      </w:r>
      <w:r>
        <w:rPr>
          <w:snapToGrid w:val="0"/>
        </w:rPr>
        <w:tab/>
        <w:t>the full name, date of birth and next of kin of each resident; and</w:t>
      </w:r>
    </w:p>
    <w:p>
      <w:pPr>
        <w:pStyle w:val="Indenta"/>
        <w:spacing w:before="70"/>
        <w:rPr>
          <w:snapToGrid w:val="0"/>
        </w:rPr>
      </w:pPr>
      <w:r>
        <w:rPr>
          <w:snapToGrid w:val="0"/>
        </w:rPr>
        <w:tab/>
        <w:t>(b)</w:t>
      </w:r>
      <w:r>
        <w:rPr>
          <w:snapToGrid w:val="0"/>
        </w:rPr>
        <w:tab/>
        <w:t>notes on the day to day behaviour, personal presentation and social development of each resident; and</w:t>
      </w:r>
    </w:p>
    <w:p>
      <w:pPr>
        <w:pStyle w:val="Indenta"/>
        <w:spacing w:before="70"/>
        <w:rPr>
          <w:snapToGrid w:val="0"/>
        </w:rPr>
      </w:pPr>
      <w:r>
        <w:rPr>
          <w:snapToGrid w:val="0"/>
        </w:rPr>
        <w:tab/>
        <w:t>(c)</w:t>
      </w:r>
      <w:r>
        <w:rPr>
          <w:snapToGrid w:val="0"/>
        </w:rPr>
        <w:tab/>
        <w:t>details of any private property or valuables stored for the resident; and</w:t>
      </w:r>
    </w:p>
    <w:p>
      <w:pPr>
        <w:pStyle w:val="Indenta"/>
        <w:spacing w:before="70"/>
        <w:rPr>
          <w:snapToGrid w:val="0"/>
        </w:rPr>
      </w:pPr>
      <w:r>
        <w:rPr>
          <w:snapToGrid w:val="0"/>
        </w:rPr>
        <w:tab/>
        <w:t>(d)</w:t>
      </w:r>
      <w:r>
        <w:rPr>
          <w:snapToGrid w:val="0"/>
        </w:rPr>
        <w:tab/>
        <w:t>details of all drugs prescribed for each resident and details as to the administration of those drugs; and</w:t>
      </w:r>
    </w:p>
    <w:p>
      <w:pPr>
        <w:pStyle w:val="Indenta"/>
        <w:spacing w:before="70"/>
        <w:rPr>
          <w:snapToGrid w:val="0"/>
        </w:rPr>
      </w:pPr>
      <w:r>
        <w:rPr>
          <w:snapToGrid w:val="0"/>
        </w:rPr>
        <w:tab/>
        <w:t>(e)</w:t>
      </w:r>
      <w:r>
        <w:rPr>
          <w:snapToGrid w:val="0"/>
        </w:rPr>
        <w:tab/>
        <w:t>particulars of any unusual incidents; and</w:t>
      </w:r>
    </w:p>
    <w:p>
      <w:pPr>
        <w:pStyle w:val="Indenta"/>
        <w:spacing w:before="70"/>
        <w:rPr>
          <w:snapToGrid w:val="0"/>
        </w:rPr>
      </w:pPr>
      <w:r>
        <w:rPr>
          <w:snapToGrid w:val="0"/>
        </w:rPr>
        <w:tab/>
        <w:t>(f)</w:t>
      </w:r>
      <w:r>
        <w:rPr>
          <w:snapToGrid w:val="0"/>
        </w:rPr>
        <w:tab/>
        <w:t>a copy of each report made to the Chief Psychiatrist under regulation 13; and</w:t>
      </w:r>
    </w:p>
    <w:p>
      <w:pPr>
        <w:pStyle w:val="Indenta"/>
        <w:spacing w:before="70"/>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r>
        <w:tab/>
        <w:t>[Regulation 15 amended in Gazette 15 Dec 2006 p. 5627.]</w:t>
      </w:r>
    </w:p>
    <w:p>
      <w:pPr>
        <w:pStyle w:val="Heading5"/>
        <w:rPr>
          <w:snapToGrid w:val="0"/>
        </w:rPr>
      </w:pPr>
      <w:bookmarkStart w:id="63" w:name="_Toc392144022"/>
      <w:bookmarkStart w:id="64" w:name="_Toc392144044"/>
      <w:bookmarkStart w:id="65" w:name="_Toc392144066"/>
      <w:bookmarkStart w:id="66" w:name="_Toc419467349"/>
      <w:r>
        <w:rPr>
          <w:rStyle w:val="CharSectno"/>
        </w:rPr>
        <w:t>16</w:t>
      </w:r>
      <w:r>
        <w:rPr>
          <w:snapToGrid w:val="0"/>
        </w:rPr>
        <w:t>.</w:t>
      </w:r>
      <w:r>
        <w:rPr>
          <w:snapToGrid w:val="0"/>
        </w:rPr>
        <w:tab/>
        <w:t>Closure of hostel, advance notice to be given of</w:t>
      </w:r>
      <w:bookmarkEnd w:id="63"/>
      <w:bookmarkEnd w:id="64"/>
      <w:bookmarkEnd w:id="65"/>
      <w:bookmarkEnd w:id="66"/>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r>
        <w:tab/>
        <w:t>[Regulation 16 amended in Gazette 15 Dec 2006 p. 5627.]</w:t>
      </w:r>
    </w:p>
    <w:p>
      <w:pPr>
        <w:pStyle w:val="Heading5"/>
        <w:rPr>
          <w:snapToGrid w:val="0"/>
        </w:rPr>
      </w:pPr>
      <w:bookmarkStart w:id="67" w:name="_Toc392144023"/>
      <w:bookmarkStart w:id="68" w:name="_Toc392144045"/>
      <w:bookmarkStart w:id="69" w:name="_Toc392144067"/>
      <w:bookmarkStart w:id="70" w:name="_Toc419467350"/>
      <w:r>
        <w:rPr>
          <w:rStyle w:val="CharSectno"/>
        </w:rPr>
        <w:t>17</w:t>
      </w:r>
      <w:r>
        <w:rPr>
          <w:snapToGrid w:val="0"/>
        </w:rPr>
        <w:t>.</w:t>
      </w:r>
      <w:r>
        <w:rPr>
          <w:snapToGrid w:val="0"/>
        </w:rPr>
        <w:tab/>
        <w:t>Inspection of hostels</w:t>
      </w:r>
      <w:bookmarkEnd w:id="67"/>
      <w:bookmarkEnd w:id="68"/>
      <w:bookmarkEnd w:id="69"/>
      <w:bookmarkEnd w:id="70"/>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w:t>
      </w:r>
    </w:p>
    <w:p>
      <w:pPr>
        <w:pStyle w:val="Indenta"/>
        <w:rPr>
          <w:snapToGrid w:val="0"/>
        </w:rPr>
      </w:pPr>
      <w:r>
        <w:rPr>
          <w:snapToGrid w:val="0"/>
        </w:rPr>
        <w:tab/>
        <w:t>(a)</w:t>
      </w:r>
      <w:r>
        <w:rPr>
          <w:snapToGrid w:val="0"/>
        </w:rPr>
        <w:tab/>
        <w:t>inspect any part of the hostel; and</w:t>
      </w:r>
    </w:p>
    <w:p>
      <w:pPr>
        <w:pStyle w:val="Indenta"/>
        <w:rPr>
          <w:snapToGrid w:val="0"/>
        </w:rPr>
      </w:pPr>
      <w:r>
        <w:rPr>
          <w:snapToGrid w:val="0"/>
        </w:rPr>
        <w:tab/>
        <w:t>(b)</w:t>
      </w:r>
      <w:r>
        <w:rPr>
          <w:snapToGrid w:val="0"/>
        </w:rPr>
        <w:tab/>
        <w:t>interview any resident who has not declined to be seen; and</w:t>
      </w:r>
    </w:p>
    <w:p>
      <w:pPr>
        <w:pStyle w:val="Indenta"/>
        <w:rPr>
          <w:snapToGrid w:val="0"/>
        </w:rPr>
      </w:pPr>
      <w:r>
        <w:rPr>
          <w:snapToGrid w:val="0"/>
        </w:rPr>
        <w:tab/>
        <w:t>(c)</w:t>
      </w:r>
      <w:r>
        <w:rPr>
          <w:snapToGrid w:val="0"/>
        </w:rPr>
        <w:tab/>
        <w:t>make enquiries as to the care and treatment of any resident; and</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r>
        <w:tab/>
        <w:t>[Regulation 17 amended in Gazette 15 Dec 2006 p. 5627.]</w:t>
      </w:r>
    </w:p>
    <w:p>
      <w:pPr>
        <w:pStyle w:val="Heading5"/>
        <w:rPr>
          <w:snapToGrid w:val="0"/>
        </w:rPr>
      </w:pPr>
      <w:bookmarkStart w:id="71" w:name="_Toc392144024"/>
      <w:bookmarkStart w:id="72" w:name="_Toc392144046"/>
      <w:bookmarkStart w:id="73" w:name="_Toc392144068"/>
      <w:bookmarkStart w:id="74" w:name="_Toc419467351"/>
      <w:r>
        <w:rPr>
          <w:rStyle w:val="CharSectno"/>
        </w:rPr>
        <w:t>18</w:t>
      </w:r>
      <w:r>
        <w:rPr>
          <w:snapToGrid w:val="0"/>
        </w:rPr>
        <w:t>.</w:t>
      </w:r>
      <w:r>
        <w:rPr>
          <w:snapToGrid w:val="0"/>
        </w:rPr>
        <w:tab/>
        <w:t>Obstructing CEO etc., offence</w:t>
      </w:r>
      <w:bookmarkEnd w:id="71"/>
      <w:bookmarkEnd w:id="72"/>
      <w:bookmarkEnd w:id="73"/>
      <w:bookmarkEnd w:id="74"/>
    </w:p>
    <w:p>
      <w:pPr>
        <w:pStyle w:val="Subsection"/>
      </w:pPr>
      <w:r>
        <w:tab/>
      </w:r>
      <w:r>
        <w:tab/>
        <w:t>A person is not to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 in Gazette 15 Dec 2006 p. 5627.]</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76" w:name="_Toc391911928"/>
      <w:bookmarkStart w:id="77" w:name="_Toc391911950"/>
      <w:bookmarkStart w:id="78" w:name="_Toc391911972"/>
      <w:bookmarkStart w:id="79" w:name="_Toc392144025"/>
      <w:bookmarkStart w:id="80" w:name="_Toc392144047"/>
      <w:bookmarkStart w:id="81" w:name="_Toc392144069"/>
      <w:bookmarkStart w:id="82" w:name="_Toc419467352"/>
      <w:r>
        <w:rPr>
          <w:rStyle w:val="CharSchNo"/>
        </w:rPr>
        <w:t>Schedule 1</w:t>
      </w:r>
      <w:r>
        <w:rPr>
          <w:b w:val="0"/>
        </w:rPr>
        <w:t> </w:t>
      </w:r>
      <w:r>
        <w:t>— </w:t>
      </w:r>
      <w:r>
        <w:rPr>
          <w:rStyle w:val="CharSchText"/>
        </w:rPr>
        <w:t>Fees</w:t>
      </w:r>
      <w:bookmarkEnd w:id="76"/>
      <w:bookmarkEnd w:id="77"/>
      <w:bookmarkEnd w:id="78"/>
      <w:bookmarkEnd w:id="79"/>
      <w:bookmarkEnd w:id="80"/>
      <w:bookmarkEnd w:id="81"/>
      <w:bookmarkEnd w:id="82"/>
    </w:p>
    <w:p>
      <w:pPr>
        <w:pStyle w:val="yFootnoteheading"/>
        <w:spacing w:after="120"/>
      </w:pPr>
      <w:r>
        <w:tab/>
        <w:t>[Heading inserted in Gazette 30 Oct 2009 p. 4309.]</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40"/>
        <w:gridCol w:w="2760"/>
        <w:gridCol w:w="2520"/>
        <w:gridCol w:w="960"/>
      </w:tblGrid>
      <w:tr>
        <w:trPr>
          <w:cantSplit/>
          <w:tblHeader/>
        </w:trPr>
        <w:tc>
          <w:tcPr>
            <w:tcW w:w="840" w:type="dxa"/>
          </w:tcPr>
          <w:p>
            <w:pPr>
              <w:pStyle w:val="yTableNAm"/>
              <w:jc w:val="center"/>
              <w:rPr>
                <w:b/>
                <w:bCs/>
              </w:rPr>
            </w:pPr>
            <w:r>
              <w:rPr>
                <w:b/>
                <w:bCs/>
              </w:rPr>
              <w:t>Item</w:t>
            </w:r>
          </w:p>
        </w:tc>
        <w:tc>
          <w:tcPr>
            <w:tcW w:w="5280" w:type="dxa"/>
            <w:gridSpan w:val="2"/>
          </w:tcPr>
          <w:p>
            <w:pPr>
              <w:pStyle w:val="yTableNAm"/>
              <w:jc w:val="center"/>
              <w:rPr>
                <w:b/>
                <w:bCs/>
              </w:rPr>
            </w:pPr>
            <w:r>
              <w:rPr>
                <w:b/>
                <w:bCs/>
              </w:rPr>
              <w:t>Description</w:t>
            </w:r>
          </w:p>
        </w:tc>
        <w:tc>
          <w:tcPr>
            <w:tcW w:w="960" w:type="dxa"/>
          </w:tcPr>
          <w:p>
            <w:pPr>
              <w:pStyle w:val="yTableNAm"/>
              <w:jc w:val="center"/>
              <w:rPr>
                <w:b/>
                <w:bCs/>
              </w:rPr>
            </w:pPr>
            <w:r>
              <w:rPr>
                <w:b/>
                <w:bCs/>
              </w:rPr>
              <w:t>Fee ($)</w:t>
            </w:r>
          </w:p>
        </w:tc>
      </w:tr>
      <w:tr>
        <w:tc>
          <w:tcPr>
            <w:tcW w:w="840" w:type="dxa"/>
          </w:tcPr>
          <w:p>
            <w:pPr>
              <w:pStyle w:val="yTableNAm"/>
              <w:jc w:val="center"/>
            </w:pPr>
            <w:r>
              <w:t>1.</w:t>
            </w:r>
          </w:p>
        </w:tc>
        <w:tc>
          <w:tcPr>
            <w:tcW w:w="2760" w:type="dxa"/>
          </w:tcPr>
          <w:p>
            <w:pPr>
              <w:pStyle w:val="yTableNAm"/>
            </w:pPr>
            <w:r>
              <w:t>Grant of licence</w:t>
            </w:r>
            <w:r>
              <w:br/>
              <w:t>(r. 5(1))</w:t>
            </w:r>
          </w:p>
        </w:tc>
        <w:tc>
          <w:tcPr>
            <w:tcW w:w="2520" w:type="dxa"/>
          </w:tcPr>
          <w:p>
            <w:pPr>
              <w:pStyle w:val="yTableNAm"/>
            </w:pPr>
          </w:p>
        </w:tc>
        <w:tc>
          <w:tcPr>
            <w:tcW w:w="960" w:type="dxa"/>
          </w:tcPr>
          <w:p>
            <w:pPr>
              <w:pStyle w:val="yTableNAm"/>
              <w:jc w:val="right"/>
            </w:pPr>
            <w:r>
              <w:br/>
            </w:r>
            <w:r>
              <w:rPr>
                <w:szCs w:val="22"/>
              </w:rPr>
              <w:t>1 103</w:t>
            </w:r>
          </w:p>
        </w:tc>
      </w:tr>
      <w:tr>
        <w:tc>
          <w:tcPr>
            <w:tcW w:w="840" w:type="dxa"/>
          </w:tcPr>
          <w:p>
            <w:pPr>
              <w:pStyle w:val="yTableNAm"/>
              <w:jc w:val="center"/>
            </w:pPr>
            <w:r>
              <w:t>2.</w:t>
            </w:r>
          </w:p>
        </w:tc>
        <w:tc>
          <w:tcPr>
            <w:tcW w:w="2760" w:type="dxa"/>
          </w:tcPr>
          <w:p>
            <w:pPr>
              <w:pStyle w:val="yTableNAm"/>
            </w:pPr>
            <w:r>
              <w:t>Renewal of licence</w:t>
            </w:r>
            <w:r>
              <w:br/>
              <w:t>(r. 5(3))</w:t>
            </w:r>
          </w:p>
        </w:tc>
        <w:tc>
          <w:tcPr>
            <w:tcW w:w="2520" w:type="dxa"/>
          </w:tcPr>
          <w:p>
            <w:pPr>
              <w:pStyle w:val="yTableNAm"/>
            </w:pPr>
            <w:r>
              <w:t>Number of persons licensed to be accommodated —</w:t>
            </w:r>
          </w:p>
          <w:p>
            <w:pPr>
              <w:pStyle w:val="yTableNAm"/>
              <w:tabs>
                <w:tab w:val="right" w:leader="dot" w:pos="2292"/>
              </w:tabs>
            </w:pPr>
            <w:r>
              <w:t xml:space="preserve">Fewer than 25 </w:t>
            </w:r>
            <w:r>
              <w:tab/>
            </w:r>
          </w:p>
          <w:p>
            <w:pPr>
              <w:pStyle w:val="yTableNAm"/>
              <w:tabs>
                <w:tab w:val="right" w:leader="dot" w:pos="2292"/>
              </w:tabs>
            </w:pPr>
            <w:r>
              <w:t>25</w:t>
            </w:r>
            <w:r>
              <w:noBreakHyphen/>
              <w:t xml:space="preserve">100 </w:t>
            </w:r>
            <w:r>
              <w:tab/>
            </w:r>
          </w:p>
          <w:p>
            <w:pPr>
              <w:pStyle w:val="yTableNAm"/>
              <w:tabs>
                <w:tab w:val="right" w:leader="dot" w:pos="2292"/>
              </w:tabs>
            </w:pPr>
            <w:r>
              <w:t>101</w:t>
            </w:r>
            <w:r>
              <w:noBreakHyphen/>
              <w:t xml:space="preserve">200 </w:t>
            </w:r>
            <w:r>
              <w:tab/>
            </w:r>
          </w:p>
          <w:p>
            <w:pPr>
              <w:pStyle w:val="yTableNAm"/>
              <w:tabs>
                <w:tab w:val="right" w:leader="dot" w:pos="2292"/>
              </w:tabs>
            </w:pPr>
            <w:r>
              <w:t xml:space="preserve">more than 201 </w:t>
            </w:r>
            <w:r>
              <w:tab/>
            </w:r>
          </w:p>
        </w:tc>
        <w:tc>
          <w:tcPr>
            <w:tcW w:w="960" w:type="dxa"/>
          </w:tcPr>
          <w:p>
            <w:pPr>
              <w:pStyle w:val="yTableNAm"/>
              <w:jc w:val="right"/>
            </w:pPr>
            <w:r>
              <w:br/>
            </w:r>
            <w:r>
              <w:br/>
            </w:r>
          </w:p>
          <w:p>
            <w:pPr>
              <w:pStyle w:val="yTableNAm"/>
              <w:jc w:val="right"/>
            </w:pPr>
            <w:r>
              <w:t>220</w:t>
            </w:r>
          </w:p>
          <w:p>
            <w:pPr>
              <w:pStyle w:val="yTableNAm"/>
              <w:jc w:val="right"/>
            </w:pPr>
            <w:r>
              <w:t>550</w:t>
            </w:r>
          </w:p>
          <w:p>
            <w:pPr>
              <w:pStyle w:val="yTableNAm"/>
              <w:jc w:val="right"/>
            </w:pPr>
            <w:r>
              <w:t>1 100</w:t>
            </w:r>
          </w:p>
          <w:p>
            <w:pPr>
              <w:pStyle w:val="yTableNAm"/>
              <w:jc w:val="right"/>
            </w:pPr>
            <w:r>
              <w:t>1 650</w:t>
            </w:r>
          </w:p>
        </w:tc>
      </w:tr>
      <w:tr>
        <w:tc>
          <w:tcPr>
            <w:tcW w:w="840" w:type="dxa"/>
          </w:tcPr>
          <w:p>
            <w:pPr>
              <w:pStyle w:val="yTableNAm"/>
              <w:jc w:val="center"/>
            </w:pPr>
            <w:r>
              <w:t>3.</w:t>
            </w:r>
          </w:p>
        </w:tc>
        <w:tc>
          <w:tcPr>
            <w:tcW w:w="2760" w:type="dxa"/>
          </w:tcPr>
          <w:p>
            <w:pPr>
              <w:pStyle w:val="yTableNAm"/>
            </w:pPr>
            <w:r>
              <w:t>Replacement licence</w:t>
            </w:r>
            <w:r>
              <w:br/>
              <w:t>(r. 5(6))</w:t>
            </w:r>
          </w:p>
        </w:tc>
        <w:tc>
          <w:tcPr>
            <w:tcW w:w="2520" w:type="dxa"/>
          </w:tcPr>
          <w:p>
            <w:pPr>
              <w:pStyle w:val="yTableNAm"/>
            </w:pPr>
          </w:p>
        </w:tc>
        <w:tc>
          <w:tcPr>
            <w:tcW w:w="960" w:type="dxa"/>
          </w:tcPr>
          <w:p>
            <w:pPr>
              <w:pStyle w:val="yTableNAm"/>
              <w:jc w:val="right"/>
            </w:pPr>
            <w:r>
              <w:br/>
              <w:t>320</w:t>
            </w:r>
          </w:p>
        </w:tc>
      </w:tr>
      <w:tr>
        <w:tc>
          <w:tcPr>
            <w:tcW w:w="840" w:type="dxa"/>
          </w:tcPr>
          <w:p>
            <w:pPr>
              <w:pStyle w:val="yTableNAm"/>
              <w:jc w:val="center"/>
            </w:pPr>
            <w:r>
              <w:t>4.</w:t>
            </w:r>
          </w:p>
        </w:tc>
        <w:tc>
          <w:tcPr>
            <w:tcW w:w="2760" w:type="dxa"/>
          </w:tcPr>
          <w:p>
            <w:pPr>
              <w:pStyle w:val="yTableNAm"/>
            </w:pPr>
            <w:r>
              <w:t>Approval of premises as a private psychiatric hostel</w:t>
            </w:r>
            <w:r>
              <w:br/>
              <w:t>(r. 6)</w:t>
            </w:r>
          </w:p>
        </w:tc>
        <w:tc>
          <w:tcPr>
            <w:tcW w:w="2520" w:type="dxa"/>
          </w:tcPr>
          <w:p>
            <w:pPr>
              <w:pStyle w:val="yTableNAm"/>
            </w:pPr>
            <w:r>
              <w:t>Number of persons licensed to be accommodated —</w:t>
            </w:r>
          </w:p>
          <w:p>
            <w:pPr>
              <w:pStyle w:val="yTableNAm"/>
              <w:tabs>
                <w:tab w:val="right" w:leader="dot" w:pos="2292"/>
              </w:tabs>
            </w:pPr>
            <w:r>
              <w:t xml:space="preserve">Fewer than 25 </w:t>
            </w:r>
            <w:r>
              <w:tab/>
            </w:r>
          </w:p>
          <w:p>
            <w:pPr>
              <w:pStyle w:val="yTableNAm"/>
              <w:tabs>
                <w:tab w:val="right" w:leader="dot" w:pos="2292"/>
              </w:tabs>
            </w:pPr>
            <w:r>
              <w:t>25</w:t>
            </w:r>
            <w:r>
              <w:noBreakHyphen/>
              <w:t xml:space="preserve">100 </w:t>
            </w:r>
            <w:r>
              <w:tab/>
            </w:r>
          </w:p>
          <w:p>
            <w:pPr>
              <w:pStyle w:val="yTableNAm"/>
              <w:tabs>
                <w:tab w:val="right" w:leader="dot" w:pos="2292"/>
              </w:tabs>
            </w:pPr>
            <w:r>
              <w:t>101</w:t>
            </w:r>
            <w:r>
              <w:noBreakHyphen/>
              <w:t xml:space="preserve">200 </w:t>
            </w:r>
            <w:r>
              <w:tab/>
            </w:r>
          </w:p>
          <w:p>
            <w:pPr>
              <w:pStyle w:val="yTableNAm"/>
              <w:tabs>
                <w:tab w:val="right" w:leader="dot" w:pos="2292"/>
              </w:tabs>
            </w:pPr>
            <w:r>
              <w:t xml:space="preserve">more than 201 </w:t>
            </w:r>
            <w:r>
              <w:tab/>
            </w:r>
          </w:p>
        </w:tc>
        <w:tc>
          <w:tcPr>
            <w:tcW w:w="960" w:type="dxa"/>
          </w:tcPr>
          <w:p>
            <w:pPr>
              <w:pStyle w:val="yTableNAm"/>
              <w:jc w:val="right"/>
            </w:pPr>
            <w:r>
              <w:br/>
            </w:r>
            <w:r>
              <w:br/>
            </w:r>
          </w:p>
          <w:p>
            <w:pPr>
              <w:pStyle w:val="yTableNAm"/>
              <w:jc w:val="right"/>
            </w:pPr>
            <w:r>
              <w:t>1 650</w:t>
            </w:r>
          </w:p>
          <w:p>
            <w:pPr>
              <w:pStyle w:val="yTableNAm"/>
              <w:jc w:val="right"/>
            </w:pPr>
            <w:r>
              <w:t>2 200</w:t>
            </w:r>
          </w:p>
          <w:p>
            <w:pPr>
              <w:pStyle w:val="yTableNAm"/>
              <w:jc w:val="right"/>
            </w:pPr>
            <w:r>
              <w:t>3 300</w:t>
            </w:r>
          </w:p>
          <w:p>
            <w:pPr>
              <w:pStyle w:val="yTableNAm"/>
              <w:jc w:val="right"/>
            </w:pPr>
            <w:r>
              <w:t>5 500</w:t>
            </w:r>
          </w:p>
        </w:tc>
      </w:tr>
    </w:tbl>
    <w:p>
      <w:pPr>
        <w:pStyle w:val="yFootnotesection"/>
      </w:pPr>
      <w:r>
        <w:tab/>
        <w:t>[Schedule 1 inserted in Gazette 30 Oct 2009 p. 4309; amended in Gazette 27 Apr 2010 p. 1582; 6 Jun 2014 p. 1791.]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first" r:id="rId27"/>
          <w:pgSz w:w="11907" w:h="16840" w:code="9"/>
          <w:pgMar w:top="2376" w:right="2405" w:bottom="3542" w:left="2405" w:header="706" w:footer="3380" w:gutter="0"/>
          <w:cols w:space="720"/>
          <w:noEndnote/>
          <w:docGrid w:linePitch="326"/>
        </w:sectPr>
      </w:pPr>
    </w:p>
    <w:p>
      <w:pPr>
        <w:pStyle w:val="nHeading2"/>
      </w:pPr>
      <w:bookmarkStart w:id="83" w:name="_Toc391911929"/>
      <w:bookmarkStart w:id="84" w:name="_Toc391911951"/>
      <w:bookmarkStart w:id="85" w:name="_Toc391911973"/>
      <w:bookmarkStart w:id="86" w:name="_Toc392144026"/>
      <w:bookmarkStart w:id="87" w:name="_Toc392144048"/>
      <w:bookmarkStart w:id="88" w:name="_Toc392144070"/>
      <w:bookmarkStart w:id="89" w:name="_Toc419467353"/>
      <w:r>
        <w:t>Notes</w:t>
      </w:r>
      <w:bookmarkEnd w:id="83"/>
      <w:bookmarkEnd w:id="84"/>
      <w:bookmarkEnd w:id="85"/>
      <w:bookmarkEnd w:id="86"/>
      <w:bookmarkEnd w:id="87"/>
      <w:bookmarkEnd w:id="88"/>
      <w:bookmarkEnd w:id="89"/>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Psychiatric Hostels)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0" w:name="_Toc392144027"/>
      <w:bookmarkStart w:id="91" w:name="_Toc392144049"/>
      <w:bookmarkStart w:id="92" w:name="_Toc392144071"/>
      <w:bookmarkStart w:id="93" w:name="_Toc419467354"/>
      <w:r>
        <w:rPr>
          <w:snapToGrid w:val="0"/>
        </w:rPr>
        <w:t>Compilation table</w:t>
      </w:r>
      <w:bookmarkEnd w:id="90"/>
      <w:bookmarkEnd w:id="91"/>
      <w:bookmarkEnd w:id="92"/>
      <w:bookmarkEnd w:id="93"/>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trPr>
          <w:gridBefore w:val="1"/>
          <w:wBefore w:w="28" w:type="dxa"/>
          <w:tblHeader/>
        </w:trPr>
        <w:tc>
          <w:tcPr>
            <w:tcW w:w="3118" w:type="dxa"/>
            <w:gridSpan w:val="2"/>
            <w:tcBorders>
              <w:top w:val="single" w:sz="8" w:space="0" w:color="auto"/>
              <w:bottom w:val="single" w:sz="8" w:space="0" w:color="auto"/>
            </w:tcBorders>
          </w:tcPr>
          <w:p>
            <w:pPr>
              <w:pStyle w:val="nTable"/>
              <w:spacing w:after="40"/>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28" w:type="dxa"/>
        </w:trPr>
        <w:tc>
          <w:tcPr>
            <w:tcW w:w="3118" w:type="dxa"/>
            <w:gridSpan w:val="2"/>
          </w:tcPr>
          <w:p>
            <w:pPr>
              <w:pStyle w:val="nTable"/>
              <w:spacing w:after="40"/>
            </w:pPr>
            <w:r>
              <w:rPr>
                <w:i/>
              </w:rPr>
              <w:t>Hospitals (Licensing and Conduct of Private Psychiatric Hostels) Regulations 1997</w:t>
            </w:r>
          </w:p>
        </w:tc>
        <w:tc>
          <w:tcPr>
            <w:tcW w:w="1276" w:type="dxa"/>
            <w:gridSpan w:val="2"/>
          </w:tcPr>
          <w:p>
            <w:pPr>
              <w:pStyle w:val="nTable"/>
              <w:spacing w:after="40"/>
            </w:pPr>
            <w:r>
              <w:t>7 Nov 1997 p. 6119</w:t>
            </w:r>
            <w:r>
              <w:noBreakHyphen/>
              <w:t>27</w:t>
            </w:r>
          </w:p>
        </w:tc>
        <w:tc>
          <w:tcPr>
            <w:tcW w:w="2693" w:type="dxa"/>
            <w:gridSpan w:val="2"/>
          </w:tcPr>
          <w:p>
            <w:pPr>
              <w:pStyle w:val="nTable"/>
              <w:spacing w:after="40"/>
            </w:pPr>
            <w:r>
              <w:t>13 Nov 1997 (see r. 2)</w:t>
            </w:r>
          </w:p>
        </w:tc>
      </w:tr>
      <w:tr>
        <w:trPr>
          <w:gridBefore w:val="1"/>
          <w:wBefore w:w="28" w:type="dxa"/>
          <w:cantSplit/>
        </w:trPr>
        <w:tc>
          <w:tcPr>
            <w:tcW w:w="7087" w:type="dxa"/>
            <w:gridSpan w:val="6"/>
          </w:tcPr>
          <w:p>
            <w:pPr>
              <w:pStyle w:val="nTable"/>
              <w:spacing w:after="40"/>
              <w:rPr>
                <w:b/>
              </w:rPr>
            </w:pPr>
            <w:r>
              <w:rPr>
                <w:b/>
              </w:rPr>
              <w:t xml:space="preserve">Reprint 1: The </w:t>
            </w:r>
            <w:r>
              <w:rPr>
                <w:b/>
                <w:i/>
              </w:rPr>
              <w:t>Hospitals (Licensing and Conduct of Private Psychiatric Hostels) Regulations 1997</w:t>
            </w:r>
            <w:r>
              <w:rPr>
                <w:b/>
              </w:rPr>
              <w:t xml:space="preserve"> as at 2 Apr 2004</w:t>
            </w:r>
          </w:p>
        </w:tc>
      </w:tr>
      <w:tr>
        <w:trPr>
          <w:gridBefore w:val="1"/>
          <w:wBefore w:w="28" w:type="dxa"/>
        </w:trPr>
        <w:tc>
          <w:tcPr>
            <w:tcW w:w="3118" w:type="dxa"/>
            <w:gridSpan w:val="2"/>
          </w:tcPr>
          <w:p>
            <w:pPr>
              <w:pStyle w:val="nTable"/>
              <w:spacing w:after="40"/>
            </w:pPr>
            <w:r>
              <w:rPr>
                <w:i/>
              </w:rPr>
              <w:t>Hospitals (Licensing and Conduct of Private Psychiatric Hostels) Amendment Regulations 2006</w:t>
            </w:r>
          </w:p>
        </w:tc>
        <w:tc>
          <w:tcPr>
            <w:tcW w:w="1276" w:type="dxa"/>
            <w:gridSpan w:val="2"/>
          </w:tcPr>
          <w:p>
            <w:pPr>
              <w:pStyle w:val="nTable"/>
              <w:spacing w:after="40"/>
            </w:pPr>
            <w:r>
              <w:t>15 Dec 2006 p. 5626-7</w:t>
            </w:r>
          </w:p>
        </w:tc>
        <w:tc>
          <w:tcPr>
            <w:tcW w:w="2693" w:type="dxa"/>
            <w:gridSpan w:val="2"/>
          </w:tcPr>
          <w:p>
            <w:pPr>
              <w:pStyle w:val="nTable"/>
              <w:spacing w:after="40"/>
            </w:pPr>
            <w:r>
              <w:t>15 Dec 2006</w:t>
            </w:r>
          </w:p>
        </w:tc>
      </w:tr>
      <w:tr>
        <w:trPr>
          <w:gridBefore w:val="1"/>
          <w:wBefore w:w="28" w:type="dxa"/>
        </w:trPr>
        <w:tc>
          <w:tcPr>
            <w:tcW w:w="3118" w:type="dxa"/>
            <w:gridSpan w:val="2"/>
          </w:tcPr>
          <w:p>
            <w:pPr>
              <w:pStyle w:val="nTable"/>
              <w:spacing w:after="40"/>
              <w:rPr>
                <w:i/>
              </w:rPr>
            </w:pPr>
            <w:r>
              <w:rPr>
                <w:i/>
              </w:rPr>
              <w:t>Hospitals (Licensing and Conduct of Private Psychiatric Hostels) Amendment Regulations 2009</w:t>
            </w:r>
          </w:p>
        </w:tc>
        <w:tc>
          <w:tcPr>
            <w:tcW w:w="1276" w:type="dxa"/>
            <w:gridSpan w:val="2"/>
          </w:tcPr>
          <w:p>
            <w:pPr>
              <w:pStyle w:val="nTable"/>
              <w:spacing w:after="40"/>
            </w:pPr>
            <w:r>
              <w:t>30 Oct 2009 p. 4308-9</w:t>
            </w:r>
          </w:p>
        </w:tc>
        <w:tc>
          <w:tcPr>
            <w:tcW w:w="2693" w:type="dxa"/>
            <w:gridSpan w:val="2"/>
          </w:tcPr>
          <w:p>
            <w:pPr>
              <w:pStyle w:val="nTable"/>
              <w:spacing w:after="40"/>
            </w:pPr>
            <w:r>
              <w:t>r. 1 and 2: 30 Oct 2009 (see r. 2(a));</w:t>
            </w:r>
            <w:r>
              <w:br/>
              <w:t>Regulations other than r. 1 and 2: 31 Oct 2009 (see r. 2(b))</w:t>
            </w:r>
          </w:p>
        </w:tc>
      </w:tr>
      <w:tr>
        <w:trPr>
          <w:gridBefore w:val="1"/>
          <w:wBefore w:w="28" w:type="dxa"/>
        </w:trPr>
        <w:tc>
          <w:tcPr>
            <w:tcW w:w="3118" w:type="dxa"/>
            <w:gridSpan w:val="2"/>
          </w:tcPr>
          <w:p>
            <w:pPr>
              <w:pStyle w:val="nTable"/>
              <w:spacing w:after="40"/>
              <w:rPr>
                <w:i/>
              </w:rPr>
            </w:pPr>
            <w:r>
              <w:rPr>
                <w:i/>
              </w:rPr>
              <w:t>Hospitals (Licensing and Conduct of Private Psychiatric Hostels) Amendment Regulations 2010</w:t>
            </w:r>
          </w:p>
        </w:tc>
        <w:tc>
          <w:tcPr>
            <w:tcW w:w="1276" w:type="dxa"/>
            <w:gridSpan w:val="2"/>
          </w:tcPr>
          <w:p>
            <w:pPr>
              <w:pStyle w:val="nTable"/>
              <w:spacing w:after="40"/>
            </w:pPr>
            <w:r>
              <w:t>27 Apr 2010 p. 1582</w:t>
            </w:r>
          </w:p>
        </w:tc>
        <w:tc>
          <w:tcPr>
            <w:tcW w:w="2693" w:type="dxa"/>
            <w:gridSpan w:val="2"/>
          </w:tcPr>
          <w:p>
            <w:pPr>
              <w:pStyle w:val="nTable"/>
              <w:spacing w:after="40"/>
            </w:pPr>
            <w:r>
              <w:t>r. 1 and 2: 27 Apr 2010 (see r. 2(a));</w:t>
            </w:r>
            <w:r>
              <w:br/>
              <w:t>Regulations other than r. 1 and 2: 28 Apr 2010 (see r. 2(b))</w:t>
            </w:r>
          </w:p>
        </w:tc>
      </w:tr>
      <w:tr>
        <w:trPr>
          <w:gridBefore w:val="1"/>
          <w:wBefore w:w="28" w:type="dxa"/>
        </w:trPr>
        <w:tc>
          <w:tcPr>
            <w:tcW w:w="3118" w:type="dxa"/>
            <w:gridSpan w:val="2"/>
          </w:tcPr>
          <w:p>
            <w:pPr>
              <w:pStyle w:val="nTable"/>
              <w:spacing w:after="40"/>
              <w:rPr>
                <w:i/>
              </w:rPr>
            </w:pPr>
            <w:r>
              <w:rPr>
                <w:i/>
              </w:rPr>
              <w:t>Hospitals (Licensing and Conduct of Private Psychiatric Hostels) Amendment Regulations 2011</w:t>
            </w:r>
          </w:p>
        </w:tc>
        <w:tc>
          <w:tcPr>
            <w:tcW w:w="1276" w:type="dxa"/>
            <w:gridSpan w:val="2"/>
          </w:tcPr>
          <w:p>
            <w:pPr>
              <w:pStyle w:val="nTable"/>
              <w:spacing w:after="40"/>
            </w:pPr>
            <w:r>
              <w:t>1 Apr 2011 p. 1180-1</w:t>
            </w:r>
          </w:p>
        </w:tc>
        <w:tc>
          <w:tcPr>
            <w:tcW w:w="2693" w:type="dxa"/>
            <w:gridSpan w:val="2"/>
          </w:tcPr>
          <w:p>
            <w:pPr>
              <w:pStyle w:val="nTable"/>
              <w:spacing w:after="40"/>
            </w:pPr>
            <w:r>
              <w:t>r. 1 and 2: 1 Apr 2011 (see r. 2(a));</w:t>
            </w:r>
            <w:r>
              <w:br/>
              <w:t>Regulations other than r. 1 and 2: 2 Apr 2011 (see r. 2(b))</w:t>
            </w:r>
          </w:p>
        </w:tc>
      </w:tr>
      <w:tr>
        <w:trPr>
          <w:gridBefore w:val="1"/>
          <w:wBefore w:w="28" w:type="dxa"/>
        </w:trPr>
        <w:tc>
          <w:tcPr>
            <w:tcW w:w="3118" w:type="dxa"/>
            <w:gridSpan w:val="2"/>
          </w:tcPr>
          <w:p>
            <w:pPr>
              <w:pStyle w:val="nTable"/>
              <w:spacing w:after="40"/>
              <w:rPr>
                <w:i/>
              </w:rPr>
            </w:pPr>
            <w:r>
              <w:rPr>
                <w:i/>
              </w:rPr>
              <w:t>Hospitals (Licensing and Conduct of Private Psychiatric Hostels) Amendment Regulations (No. 2) 2011</w:t>
            </w:r>
          </w:p>
        </w:tc>
        <w:tc>
          <w:tcPr>
            <w:tcW w:w="1276" w:type="dxa"/>
            <w:gridSpan w:val="2"/>
          </w:tcPr>
          <w:p>
            <w:pPr>
              <w:pStyle w:val="nTable"/>
              <w:spacing w:after="40"/>
            </w:pPr>
            <w:r>
              <w:t>12 Apr 2011 p. 1310</w:t>
            </w:r>
          </w:p>
        </w:tc>
        <w:tc>
          <w:tcPr>
            <w:tcW w:w="2693" w:type="dxa"/>
            <w:gridSpan w:val="2"/>
          </w:tcPr>
          <w:p>
            <w:pPr>
              <w:pStyle w:val="nTable"/>
              <w:spacing w:after="40"/>
            </w:pPr>
            <w:r>
              <w:t>r. 1 and 2: 12 Apr 2011 (see r. 2(a));</w:t>
            </w:r>
            <w:r>
              <w:br/>
              <w:t>Regulations other than r. 1 and 2: 13 Apr 2011 (see r. 2(b))</w:t>
            </w:r>
          </w:p>
        </w:tc>
      </w:tr>
      <w:tr>
        <w:trPr>
          <w:gridBefore w:val="1"/>
          <w:wBefore w:w="28" w:type="dxa"/>
        </w:trPr>
        <w:tc>
          <w:tcPr>
            <w:tcW w:w="7087" w:type="dxa"/>
            <w:gridSpan w:val="6"/>
          </w:tcPr>
          <w:p>
            <w:pPr>
              <w:pStyle w:val="nTable"/>
              <w:spacing w:after="40"/>
            </w:pPr>
            <w:r>
              <w:rPr>
                <w:b/>
              </w:rPr>
              <w:t xml:space="preserve">Reprint 2: The </w:t>
            </w:r>
            <w:r>
              <w:rPr>
                <w:b/>
                <w:i/>
              </w:rPr>
              <w:t>Hospitals (Licensing and Conduct of Private Psychiatric Hostels) Regulations 1997</w:t>
            </w:r>
            <w:r>
              <w:rPr>
                <w:b/>
              </w:rPr>
              <w:t xml:space="preserve"> as at 8 Jul 2011</w:t>
            </w:r>
            <w:r>
              <w:t xml:space="preserve"> (includes amendments listed above)</w:t>
            </w:r>
          </w:p>
        </w:tc>
      </w:tr>
      <w:tr>
        <w:trPr>
          <w:gridAfter w:val="1"/>
          <w:wAfter w:w="28" w:type="dxa"/>
        </w:trPr>
        <w:tc>
          <w:tcPr>
            <w:tcW w:w="3118" w:type="dxa"/>
            <w:gridSpan w:val="2"/>
            <w:tcBorders>
              <w:bottom w:val="single" w:sz="4" w:space="0" w:color="auto"/>
            </w:tcBorders>
          </w:tcPr>
          <w:p>
            <w:pPr>
              <w:pStyle w:val="nTable"/>
              <w:spacing w:after="40"/>
              <w:rPr>
                <w:vertAlign w:val="superscript"/>
              </w:rPr>
            </w:pPr>
            <w:r>
              <w:rPr>
                <w:i/>
              </w:rPr>
              <w:t>Hospitals (Licensing and Conduct of Private Psychiatric Hostels) Amendment Regulations 2014</w:t>
            </w:r>
          </w:p>
        </w:tc>
        <w:tc>
          <w:tcPr>
            <w:tcW w:w="1276" w:type="dxa"/>
            <w:gridSpan w:val="2"/>
            <w:tcBorders>
              <w:bottom w:val="single" w:sz="4" w:space="0" w:color="auto"/>
            </w:tcBorders>
          </w:tcPr>
          <w:p>
            <w:pPr>
              <w:pStyle w:val="nTable"/>
              <w:spacing w:after="40"/>
            </w:pPr>
            <w:r>
              <w:t>6 Jun 2014 p. 1790</w:t>
            </w:r>
            <w:r>
              <w:noBreakHyphen/>
              <w:t>1</w:t>
            </w:r>
          </w:p>
        </w:tc>
        <w:tc>
          <w:tcPr>
            <w:tcW w:w="2693" w:type="dxa"/>
            <w:gridSpan w:val="2"/>
            <w:tcBorders>
              <w:bottom w:val="single" w:sz="4" w:space="0" w:color="auto"/>
            </w:tcBorders>
          </w:tcPr>
          <w:p>
            <w:pPr>
              <w:pStyle w:val="nTable"/>
              <w:spacing w:after="40"/>
            </w:pPr>
            <w:r>
              <w:rPr>
                <w:rFonts w:ascii="Times" w:hAnsi="Times"/>
                <w:bCs/>
                <w:snapToGrid w:val="0"/>
                <w:spacing w:val="-2"/>
              </w:rPr>
              <w:t>r. 1 and 2: 6 Jun 2014 (see r. 2(a));</w:t>
            </w:r>
            <w:r>
              <w:rPr>
                <w:rFonts w:ascii="Times" w:hAnsi="Times"/>
                <w:bCs/>
                <w:snapToGrid w:val="0"/>
                <w:spacing w:val="-2"/>
              </w:rPr>
              <w:br/>
              <w:t>Regulations other than r. 1 and 2: 1 Jul 2014 (see r.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basic pension</w:t>
      </w:r>
      <w:r>
        <w:tab/>
        <w:t>14(2)</w:t>
      </w:r>
    </w:p>
    <w:p>
      <w:pPr>
        <w:pStyle w:val="DefinedTerms"/>
      </w:pPr>
      <w:r>
        <w:t>Chief Psychiatrist</w:t>
      </w:r>
      <w:r>
        <w:tab/>
        <w:t>3</w:t>
      </w:r>
    </w:p>
    <w:p>
      <w:pPr>
        <w:pStyle w:val="DefinedTerms"/>
      </w:pPr>
      <w:r>
        <w:t>hostel</w:t>
      </w:r>
      <w:r>
        <w:tab/>
        <w:t>3</w:t>
      </w:r>
    </w:p>
    <w:p>
      <w:pPr>
        <w:pStyle w:val="DefinedTerms"/>
      </w:pPr>
      <w:r>
        <w:t>licence</w:t>
      </w:r>
      <w:r>
        <w:tab/>
        <w:t>3</w:t>
      </w:r>
    </w:p>
    <w:p>
      <w:pPr>
        <w:pStyle w:val="DefinedTerms"/>
      </w:pPr>
      <w:r>
        <w:t>licence holder</w:t>
      </w:r>
      <w:r>
        <w:tab/>
        <w:t>4</w:t>
      </w:r>
    </w:p>
    <w:p>
      <w:pPr>
        <w:pStyle w:val="DefinedTerms"/>
      </w:pPr>
      <w:r>
        <w:t>medical practitioner</w:t>
      </w:r>
      <w:r>
        <w:tab/>
        <w:t>11(1)</w:t>
      </w:r>
    </w:p>
    <w:p>
      <w:pPr>
        <w:pStyle w:val="DefinedTerms"/>
      </w:pPr>
      <w:r>
        <w:t>National Health and Medical Research Council</w:t>
      </w:r>
      <w:r>
        <w:tab/>
        <w:t>10(2)</w:t>
      </w:r>
    </w:p>
    <w:p>
      <w:pPr>
        <w:pStyle w:val="DefinedTerms"/>
      </w:pPr>
      <w:r>
        <w:t>resident</w:t>
      </w:r>
      <w:r>
        <w:tab/>
        <w:t>3</w:t>
      </w:r>
    </w:p>
    <w:p>
      <w:pPr>
        <w:pStyle w:val="DefinedTerms"/>
      </w:pPr>
      <w:r>
        <w:t>supervisor</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Psychiatric Hostels)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Psychiatric Hostels)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 w:name="DefinedTerms"/>
    <w:bookmarkEnd w:id="9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 w:name="Coversheet"/>
    <w:bookmarkEnd w:id="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Psychiatric Hostels)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5" w:name="Schedule"/>
    <w:bookmarkEnd w:id="7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70895E"/>
    <w:lvl w:ilvl="0">
      <w:start w:val="1"/>
      <w:numFmt w:val="decimal"/>
      <w:lvlText w:val="%1."/>
      <w:lvlJc w:val="left"/>
      <w:pPr>
        <w:tabs>
          <w:tab w:val="num" w:pos="1492"/>
        </w:tabs>
        <w:ind w:left="1492" w:hanging="360"/>
      </w:pPr>
    </w:lvl>
  </w:abstractNum>
  <w:abstractNum w:abstractNumId="1">
    <w:nsid w:val="FFFFFF7D"/>
    <w:multiLevelType w:val="singleLevel"/>
    <w:tmpl w:val="2AB83600"/>
    <w:lvl w:ilvl="0">
      <w:start w:val="1"/>
      <w:numFmt w:val="decimal"/>
      <w:lvlText w:val="%1."/>
      <w:lvlJc w:val="left"/>
      <w:pPr>
        <w:tabs>
          <w:tab w:val="num" w:pos="1209"/>
        </w:tabs>
        <w:ind w:left="1209" w:hanging="360"/>
      </w:pPr>
    </w:lvl>
  </w:abstractNum>
  <w:abstractNum w:abstractNumId="2">
    <w:nsid w:val="FFFFFF7E"/>
    <w:multiLevelType w:val="singleLevel"/>
    <w:tmpl w:val="4094BEB2"/>
    <w:lvl w:ilvl="0">
      <w:start w:val="1"/>
      <w:numFmt w:val="decimal"/>
      <w:lvlText w:val="%1."/>
      <w:lvlJc w:val="left"/>
      <w:pPr>
        <w:tabs>
          <w:tab w:val="num" w:pos="926"/>
        </w:tabs>
        <w:ind w:left="926" w:hanging="360"/>
      </w:pPr>
    </w:lvl>
  </w:abstractNum>
  <w:abstractNum w:abstractNumId="3">
    <w:nsid w:val="FFFFFF7F"/>
    <w:multiLevelType w:val="singleLevel"/>
    <w:tmpl w:val="B272669E"/>
    <w:lvl w:ilvl="0">
      <w:start w:val="1"/>
      <w:numFmt w:val="decimal"/>
      <w:lvlText w:val="%1."/>
      <w:lvlJc w:val="left"/>
      <w:pPr>
        <w:tabs>
          <w:tab w:val="num" w:pos="643"/>
        </w:tabs>
        <w:ind w:left="643" w:hanging="360"/>
      </w:pPr>
    </w:lvl>
  </w:abstractNum>
  <w:abstractNum w:abstractNumId="4">
    <w:nsid w:val="FFFFFF80"/>
    <w:multiLevelType w:val="singleLevel"/>
    <w:tmpl w:val="DA8A9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FAB0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02D4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04A5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FEDD70"/>
    <w:lvl w:ilvl="0">
      <w:start w:val="1"/>
      <w:numFmt w:val="decimal"/>
      <w:lvlText w:val="%1."/>
      <w:lvlJc w:val="left"/>
      <w:pPr>
        <w:tabs>
          <w:tab w:val="num" w:pos="360"/>
        </w:tabs>
        <w:ind w:left="360" w:hanging="360"/>
      </w:pPr>
    </w:lvl>
  </w:abstractNum>
  <w:abstractNum w:abstractNumId="9">
    <w:nsid w:val="FFFFFF89"/>
    <w:multiLevelType w:val="singleLevel"/>
    <w:tmpl w:val="B3B4886A"/>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E8CE7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50543"/>
    <w:docVar w:name="WAFER_20140129150409" w:val="RemoveTocBookmarks,RemoveUnusedBookmarks,RemoveLanguageTags,UsedStyles,ResetPageSize,UpdateArrangement"/>
    <w:docVar w:name="WAFER_20140129150409_GUID" w:val="bf6d879c-2bdf-4956-bb4b-a22991c8feef"/>
    <w:docVar w:name="WAFER_20140129150413" w:val="RemoveTocBookmarks,RunningHeaders"/>
    <w:docVar w:name="WAFER_20140129150413_GUID" w:val="d33c9679-4db5-4395-9fee-23619a38a223"/>
    <w:docVar w:name="WAFER_20140605122928" w:val="RemoveTocBookmarks,RemoveUnusedBookmarks,RemoveLanguageTags,UsedStyles,ResetPageSize,UpdateArrangement"/>
    <w:docVar w:name="WAFER_20140605122928_GUID" w:val="454b9efc-3af4-49cb-ba18-44a528862ec6"/>
    <w:docVar w:name="WAFER_20140606094859" w:val="RemoveTocBookmarks,RunningHeaders"/>
    <w:docVar w:name="WAFER_20140606094859_GUID" w:val="55ff7553-a191-4092-8262-d8c882c17c5c"/>
    <w:docVar w:name="WAFER_20140618144828" w:val="RemoveTocBookmarks,RemoveUnusedBookmarks,RemoveLanguageTags,UsedStyles,ResetPageSize,UpdateArrangement"/>
    <w:docVar w:name="WAFER_20140618144828_GUID" w:val="44d60026-aa6a-406b-bb1d-9c264a803d46"/>
    <w:docVar w:name="WAFER_20140630171243" w:val="RemoveTocBookmarks,RunningHeaders"/>
    <w:docVar w:name="WAFER_20140630171243_GUID" w:val="37c52e08-5542-4f07-b2aa-6c5221478387"/>
    <w:docVar w:name="WAFER_20150515153106" w:val="ResetPageSize,UpdateArrangement,UpdateNTable"/>
    <w:docVar w:name="WAFER_20150515153106_GUID" w:val="661a19db-5aef-4e73-9d4b-bcb6c9d36a39"/>
    <w:docVar w:name="WAFER_20151105150543" w:val="UpdateStyles,UsedStyles"/>
    <w:docVar w:name="WAFER_20151105150543_GUID" w:val="76d74e2b-4daa-459a-b4e4-1481a8a588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64CF0-7CEA-49E0-B965-2D742931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2627</Words>
  <Characters>12220</Characters>
  <Application>Microsoft Office Word</Application>
  <DocSecurity>0</DocSecurity>
  <Lines>436</Lines>
  <Paragraphs>291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1997 - 02-c0-03</dc:title>
  <dc:subject/>
  <dc:creator/>
  <cp:keywords/>
  <dc:description/>
  <cp:lastModifiedBy>svcMRProcess</cp:lastModifiedBy>
  <cp:revision>4</cp:revision>
  <cp:lastPrinted>2011-07-19T05:59:00Z</cp:lastPrinted>
  <dcterms:created xsi:type="dcterms:W3CDTF">2015-11-06T00:38:00Z</dcterms:created>
  <dcterms:modified xsi:type="dcterms:W3CDTF">2015-11-06T00:38:00Z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4511</vt:i4>
  </property>
  <property fmtid="{D5CDD505-2E9C-101B-9397-08002B2CF9AE}" pid="6" name="ReprintNo">
    <vt:lpwstr>2</vt:lpwstr>
  </property>
  <property fmtid="{D5CDD505-2E9C-101B-9397-08002B2CF9AE}" pid="7" name="ReprintedAsAt">
    <vt:filetime>2011-07-07T16:00:00Z</vt:filetime>
  </property>
  <property fmtid="{D5CDD505-2E9C-101B-9397-08002B2CF9AE}" pid="8" name="AsAtDate">
    <vt:lpwstr>01 Jul 2014</vt:lpwstr>
  </property>
  <property fmtid="{D5CDD505-2E9C-101B-9397-08002B2CF9AE}" pid="9" name="Suffix">
    <vt:lpwstr>02-c0-03</vt:lpwstr>
  </property>
</Properties>
</file>