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_Toc391647170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_Toc391647171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_Toc391647172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_Toc391647173 \h </w:instrText>
      </w:r>
      <w:r>
        <w:fldChar w:fldCharType="separate"/>
      </w:r>
      <w:r>
        <w:t>22</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_Toc391647174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_Toc391647175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_Toc391647177 \h </w:instrText>
      </w:r>
      <w:r>
        <w:fldChar w:fldCharType="separate"/>
      </w:r>
      <w:r>
        <w:t>25</w:t>
      </w:r>
      <w:r>
        <w:fldChar w:fldCharType="end"/>
      </w:r>
    </w:p>
    <w:p>
      <w:pPr>
        <w:pStyle w:val="TOC8"/>
        <w:rPr>
          <w:rFonts w:asciiTheme="minorHAnsi" w:eastAsiaTheme="minorEastAsia" w:hAnsiTheme="minorHAnsi" w:cstheme="minorBidi"/>
          <w:szCs w:val="22"/>
        </w:rPr>
      </w:pPr>
      <w:r>
        <w:t>7B.</w:t>
      </w:r>
      <w:r>
        <w:tab/>
        <w:t>Replacement licences, issue of</w:t>
      </w:r>
      <w:r>
        <w:tab/>
      </w:r>
      <w:r>
        <w:fldChar w:fldCharType="begin"/>
      </w:r>
      <w:r>
        <w:instrText xml:space="preserve"> PAGEREF _Toc391647178 \h </w:instrText>
      </w:r>
      <w:r>
        <w:fldChar w:fldCharType="separate"/>
      </w:r>
      <w:r>
        <w:t>28</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_Toc391647179 \h </w:instrText>
      </w:r>
      <w:r>
        <w:fldChar w:fldCharType="separate"/>
      </w:r>
      <w:r>
        <w:t>30</w:t>
      </w:r>
      <w:r>
        <w:fldChar w:fldCharType="end"/>
      </w:r>
    </w:p>
    <w:p>
      <w:pPr>
        <w:pStyle w:val="TOC8"/>
        <w:rPr>
          <w:rFonts w:asciiTheme="minorHAnsi" w:eastAsiaTheme="minorEastAsia" w:hAnsiTheme="minorHAnsi" w:cstheme="minorBidi"/>
          <w:szCs w:val="22"/>
        </w:rPr>
      </w:pPr>
      <w:r>
        <w:t>7D.</w:t>
      </w:r>
      <w:r>
        <w:tab/>
        <w:t>Business licences for autogas work, conditions etc. prescribed for (Act s. 28)</w:t>
      </w:r>
      <w:r>
        <w:tab/>
      </w:r>
      <w:r>
        <w:fldChar w:fldCharType="begin"/>
      </w:r>
      <w:r>
        <w:instrText xml:space="preserve"> PAGEREF _Toc391647180 \h </w:instrText>
      </w:r>
      <w:r>
        <w:fldChar w:fldCharType="separate"/>
      </w:r>
      <w:r>
        <w:t>30</w:t>
      </w:r>
      <w:r>
        <w:fldChar w:fldCharType="end"/>
      </w:r>
    </w:p>
    <w:p>
      <w:pPr>
        <w:pStyle w:val="TOC8"/>
        <w:rPr>
          <w:rFonts w:asciiTheme="minorHAnsi" w:eastAsiaTheme="minorEastAsia" w:hAnsiTheme="minorHAnsi" w:cstheme="minorBidi"/>
          <w:szCs w:val="22"/>
        </w:rPr>
      </w:pPr>
      <w:r>
        <w:t>7E.</w:t>
      </w:r>
      <w:r>
        <w:tab/>
        <w:t>Business licences, duration of (Act s. 30)</w:t>
      </w:r>
      <w:r>
        <w:tab/>
      </w:r>
      <w:r>
        <w:fldChar w:fldCharType="begin"/>
      </w:r>
      <w:r>
        <w:instrText xml:space="preserve"> PAGEREF _Toc391647181 \h </w:instrText>
      </w:r>
      <w:r>
        <w:fldChar w:fldCharType="separate"/>
      </w:r>
      <w:r>
        <w:t>31</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_Toc391647182 \h </w:instrText>
      </w:r>
      <w:r>
        <w:fldChar w:fldCharType="separate"/>
      </w:r>
      <w:r>
        <w:t>31</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_Toc391647183 \h </w:instrText>
      </w:r>
      <w:r>
        <w:fldChar w:fldCharType="separate"/>
      </w:r>
      <w:r>
        <w:t>32</w:t>
      </w:r>
      <w:r>
        <w:fldChar w:fldCharType="end"/>
      </w:r>
    </w:p>
    <w:p>
      <w:pPr>
        <w:pStyle w:val="TOC8"/>
        <w:rPr>
          <w:rFonts w:asciiTheme="minorHAnsi" w:eastAsiaTheme="minorEastAsia" w:hAnsiTheme="minorHAnsi" w:cstheme="minorBidi"/>
          <w:szCs w:val="22"/>
        </w:rPr>
      </w:pPr>
      <w:r>
        <w:t>7H.</w:t>
      </w:r>
      <w:r>
        <w:tab/>
        <w:t>Exemption from requirement for planning certificate in Act s. 13, 58 and 60</w:t>
      </w:r>
      <w:r>
        <w:tab/>
      </w:r>
      <w:r>
        <w:fldChar w:fldCharType="begin"/>
      </w:r>
      <w:r>
        <w:instrText xml:space="preserve"> PAGEREF _Toc391647184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_Toc391647186 \h </w:instrText>
      </w:r>
      <w:r>
        <w:fldChar w:fldCharType="separate"/>
      </w:r>
      <w:r>
        <w:t>34</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_Toc391647187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_Toc391647189 \h </w:instrText>
      </w:r>
      <w:r>
        <w:fldChar w:fldCharType="separate"/>
      </w:r>
      <w:r>
        <w:t>43</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_Toc391647190 \h </w:instrText>
      </w:r>
      <w:r>
        <w:fldChar w:fldCharType="separate"/>
      </w:r>
      <w:r>
        <w:t>45</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_Toc391647191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_Toc391647193 \h </w:instrText>
      </w:r>
      <w:r>
        <w:fldChar w:fldCharType="separate"/>
      </w:r>
      <w:r>
        <w:t>46</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_Toc391647194 \h </w:instrText>
      </w:r>
      <w:r>
        <w:fldChar w:fldCharType="separate"/>
      </w:r>
      <w:r>
        <w:t>46</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_Toc391647195 \h </w:instrText>
      </w:r>
      <w:r>
        <w:fldChar w:fldCharType="separate"/>
      </w:r>
      <w:r>
        <w:t>47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_Toc391647196 \h </w:instrText>
      </w:r>
      <w:r>
        <w:fldChar w:fldCharType="separate"/>
      </w:r>
      <w:r>
        <w:t>48</w:t>
      </w:r>
      <w:r>
        <w:fldChar w:fldCharType="end"/>
      </w:r>
    </w:p>
    <w:p>
      <w:pPr>
        <w:pStyle w:val="TOC8"/>
        <w:rPr>
          <w:rFonts w:asciiTheme="minorHAnsi" w:eastAsiaTheme="minorEastAsia" w:hAnsiTheme="minorHAnsi" w:cstheme="minorBidi"/>
          <w:szCs w:val="22"/>
        </w:rPr>
      </w:pPr>
      <w:r>
        <w:t>16.</w:t>
      </w:r>
      <w:r>
        <w:tab/>
        <w:t>Refund or waiver of fee etc. on withdrawal or refusal of replacement applications</w:t>
      </w:r>
      <w:r>
        <w:tab/>
      </w:r>
      <w:r>
        <w:fldChar w:fldCharType="begin"/>
      </w:r>
      <w:r>
        <w:instrText xml:space="preserve"> PAGEREF _Toc391647197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Transitional matters</w:t>
      </w:r>
    </w:p>
    <w:p>
      <w:pPr>
        <w:pStyle w:val="TOC8"/>
        <w:rPr>
          <w:rFonts w:asciiTheme="minorHAnsi" w:eastAsiaTheme="minorEastAsia" w:hAnsiTheme="minorHAnsi" w:cstheme="minorBidi"/>
          <w:szCs w:val="22"/>
        </w:rPr>
      </w:pPr>
      <w:r>
        <w:t>17.</w:t>
      </w:r>
      <w:r>
        <w:tab/>
        <w:t>Application of Part</w:t>
      </w:r>
      <w:r>
        <w:tab/>
      </w:r>
      <w:r>
        <w:fldChar w:fldCharType="begin"/>
      </w:r>
      <w:r>
        <w:instrText xml:space="preserve"> PAGEREF _Toc391647199 \h </w:instrText>
      </w:r>
      <w:r>
        <w:fldChar w:fldCharType="separate"/>
      </w:r>
      <w:r>
        <w:t>50</w:t>
      </w:r>
      <w:r>
        <w:fldChar w:fldCharType="end"/>
      </w:r>
    </w:p>
    <w:p>
      <w:pPr>
        <w:pStyle w:val="TOC8"/>
        <w:rPr>
          <w:rFonts w:asciiTheme="minorHAnsi" w:eastAsiaTheme="minorEastAsia" w:hAnsiTheme="minorHAnsi" w:cstheme="minorBidi"/>
          <w:szCs w:val="22"/>
        </w:rPr>
      </w:pPr>
      <w:r>
        <w:t>18.</w:t>
      </w:r>
      <w:r>
        <w:tab/>
        <w:t>Duration of transitional licences</w:t>
      </w:r>
      <w:r>
        <w:tab/>
      </w:r>
      <w:r>
        <w:fldChar w:fldCharType="begin"/>
      </w:r>
      <w:r>
        <w:instrText xml:space="preserve"> PAGEREF _Toc391647200 \h </w:instrText>
      </w:r>
      <w:r>
        <w:fldChar w:fldCharType="separate"/>
      </w:r>
      <w:r>
        <w:t>50</w:t>
      </w:r>
      <w:r>
        <w:fldChar w:fldCharType="end"/>
      </w:r>
    </w:p>
    <w:p>
      <w:pPr>
        <w:pStyle w:val="TOC8"/>
        <w:rPr>
          <w:rFonts w:asciiTheme="minorHAnsi" w:eastAsiaTheme="minorEastAsia" w:hAnsiTheme="minorHAnsi" w:cstheme="minorBidi"/>
          <w:szCs w:val="22"/>
        </w:rPr>
      </w:pPr>
      <w:r>
        <w:t>19.</w:t>
      </w:r>
      <w:r>
        <w:tab/>
        <w:t>Notice and waiver of fee relating to transitional applications</w:t>
      </w:r>
      <w:r>
        <w:tab/>
      </w:r>
      <w:r>
        <w:fldChar w:fldCharType="begin"/>
      </w:r>
      <w:r>
        <w:instrText xml:space="preserve"> PAGEREF _Toc391647201 \h </w:instrText>
      </w:r>
      <w:r>
        <w:fldChar w:fldCharType="separate"/>
      </w:r>
      <w:r>
        <w:t>52</w:t>
      </w:r>
      <w:r>
        <w:fldChar w:fldCharType="end"/>
      </w:r>
    </w:p>
    <w:p>
      <w:pPr>
        <w:pStyle w:val="TOC8"/>
        <w:rPr>
          <w:rFonts w:asciiTheme="minorHAnsi" w:eastAsiaTheme="minorEastAsia" w:hAnsiTheme="minorHAnsi" w:cstheme="minorBidi"/>
          <w:szCs w:val="22"/>
        </w:rPr>
      </w:pPr>
      <w:r>
        <w:t>20.</w:t>
      </w:r>
      <w:r>
        <w:tab/>
        <w:t>Refund or waiver of fee on withdrawal or refusal of transitional applications</w:t>
      </w:r>
      <w:r>
        <w:tab/>
      </w:r>
      <w:r>
        <w:fldChar w:fldCharType="begin"/>
      </w:r>
      <w:r>
        <w:instrText xml:space="preserve"> PAGEREF _Toc391647202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_Toc391647205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39164716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1647170"/>
      <w:r>
        <w:rPr>
          <w:rStyle w:val="CharSectno"/>
        </w:rPr>
        <w:t>1</w:t>
      </w:r>
      <w:r>
        <w:t>.</w:t>
      </w:r>
      <w:r>
        <w:tab/>
        <w:t>Citation</w:t>
      </w:r>
      <w:bookmarkEnd w:id="2"/>
    </w:p>
    <w:p>
      <w:pPr>
        <w:pStyle w:val="Subsection"/>
        <w:spacing w:before="120"/>
        <w:rPr>
          <w:i/>
        </w:rPr>
      </w:pPr>
      <w:r>
        <w:tab/>
      </w:r>
      <w:r>
        <w:tab/>
      </w:r>
      <w:bookmarkStart w:id="3" w:name="Start_Cursor"/>
      <w:bookmarkEnd w:id="3"/>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4" w:name="_Toc391647171"/>
      <w:r>
        <w:rPr>
          <w:rStyle w:val="CharSectno"/>
        </w:rPr>
        <w:t>2</w:t>
      </w:r>
      <w:r>
        <w:rPr>
          <w:spacing w:val="-2"/>
        </w:rPr>
        <w:t>.</w:t>
      </w:r>
      <w:r>
        <w:rPr>
          <w:spacing w:val="-2"/>
        </w:rPr>
        <w:tab/>
        <w:t>Commencement</w:t>
      </w:r>
      <w:bookmarkEnd w:id="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5" w:name="_Toc391647172"/>
      <w:r>
        <w:rPr>
          <w:rStyle w:val="CharSectno"/>
        </w:rPr>
        <w:t>3</w:t>
      </w:r>
      <w:r>
        <w:t>.</w:t>
      </w:r>
      <w:r>
        <w:tab/>
        <w:t>Terms used</w:t>
      </w:r>
      <w:bookmarkEnd w:id="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6" w:name="_Toc391647173"/>
      <w:r>
        <w:rPr>
          <w:rStyle w:val="CharSectno"/>
        </w:rPr>
        <w:t>4</w:t>
      </w:r>
      <w:r>
        <w:t>.</w:t>
      </w:r>
      <w:r>
        <w:tab/>
        <w:t>Exclusions from definition of motor vehicle</w:t>
      </w:r>
      <w:bookmarkEnd w:id="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 w:name="_Toc391647174"/>
      <w:r>
        <w:rPr>
          <w:rStyle w:val="CharSectno"/>
        </w:rPr>
        <w:t>5</w:t>
      </w:r>
      <w:r>
        <w:t>.</w:t>
      </w:r>
      <w:r>
        <w:tab/>
        <w:t>Classes of repair work prescribed (Act s. 5)</w:t>
      </w:r>
      <w:bookmarkEnd w:id="7"/>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8" w:name="_Toc391647175"/>
      <w:r>
        <w:rPr>
          <w:rStyle w:val="CharSectno"/>
        </w:rPr>
        <w:t>6</w:t>
      </w:r>
      <w:r>
        <w:t>.</w:t>
      </w:r>
      <w:r>
        <w:tab/>
        <w:t>Work that is not repair work prescribed (Act s. 5)</w:t>
      </w:r>
      <w:bookmarkEnd w:id="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 w:name="_Toc391647176"/>
      <w:r>
        <w:rPr>
          <w:rStyle w:val="CharPartNo"/>
        </w:rPr>
        <w:t>Part 2A</w:t>
      </w:r>
      <w:r>
        <w:rPr>
          <w:b w:val="0"/>
        </w:rPr>
        <w:t> </w:t>
      </w:r>
      <w:r>
        <w:t>—</w:t>
      </w:r>
      <w:r>
        <w:rPr>
          <w:b w:val="0"/>
        </w:rPr>
        <w:t> </w:t>
      </w:r>
      <w:r>
        <w:rPr>
          <w:rStyle w:val="CharPartText"/>
        </w:rPr>
        <w:t>Licensing of motor vehicle repair businesses</w:t>
      </w:r>
      <w:bookmarkEnd w:id="9"/>
    </w:p>
    <w:p>
      <w:pPr>
        <w:pStyle w:val="Footnoteheading"/>
      </w:pPr>
      <w:r>
        <w:tab/>
        <w:t>[Heading inserted in Gazette 24 Jun 2008 p. 2812.]</w:t>
      </w:r>
    </w:p>
    <w:p>
      <w:pPr>
        <w:pStyle w:val="Heading5"/>
      </w:pPr>
      <w:bookmarkStart w:id="10" w:name="_Toc391647177"/>
      <w:r>
        <w:rPr>
          <w:rStyle w:val="CharSectno"/>
        </w:rPr>
        <w:t>7A</w:t>
      </w:r>
      <w:r>
        <w:t>.</w:t>
      </w:r>
      <w:r>
        <w:tab/>
        <w:t>Fees prescribed (Act s. 13)</w:t>
      </w:r>
      <w:bookmarkEnd w:id="10"/>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$161;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$120;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$161;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w:t>
      </w:r>
    </w:p>
    <w:p>
      <w:pPr>
        <w:pStyle w:val="Heading5"/>
      </w:pPr>
      <w:bookmarkStart w:id="11" w:name="_Toc391647178"/>
      <w:r>
        <w:rPr>
          <w:rStyle w:val="CharSectno"/>
        </w:rPr>
        <w:t>7B</w:t>
      </w:r>
      <w:r>
        <w:t>.</w:t>
      </w:r>
      <w:r>
        <w:tab/>
        <w:t>Replacement licences, issue of</w:t>
      </w:r>
      <w:bookmarkEnd w:id="11"/>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2" w:name="_Toc391647179"/>
      <w:r>
        <w:rPr>
          <w:rStyle w:val="CharSectno"/>
        </w:rPr>
        <w:t>7C</w:t>
      </w:r>
      <w:r>
        <w:t>.</w:t>
      </w:r>
      <w:r>
        <w:tab/>
        <w:t>Duplicate business licence, fee for (Act s. 25)</w:t>
      </w:r>
      <w:bookmarkEnd w:id="12"/>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3" w:name="_Toc391647180"/>
      <w:r>
        <w:rPr>
          <w:rStyle w:val="CharSectno"/>
        </w:rPr>
        <w:t>7D</w:t>
      </w:r>
      <w:r>
        <w:t>.</w:t>
      </w:r>
      <w:r>
        <w:tab/>
        <w:t>Business licences for autogas work, conditions etc. prescribed for (Act s. 28)</w:t>
      </w:r>
      <w:bookmarkEnd w:id="13"/>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4" w:name="_Toc391647181"/>
      <w:r>
        <w:rPr>
          <w:rStyle w:val="CharSectno"/>
        </w:rPr>
        <w:t>7E</w:t>
      </w:r>
      <w:r>
        <w:t>.</w:t>
      </w:r>
      <w:r>
        <w:tab/>
        <w:t>Business licences, duration of (Act s. 30)</w:t>
      </w:r>
      <w:bookmarkEnd w:id="14"/>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5" w:name="_Toc391647182"/>
      <w:r>
        <w:rPr>
          <w:rStyle w:val="CharSectno"/>
        </w:rPr>
        <w:t>7F</w:t>
      </w:r>
      <w:r>
        <w:t>.</w:t>
      </w:r>
      <w:r>
        <w:tab/>
        <w:t>Renewal of licence, fees for (Act s. 31(3)(b))</w:t>
      </w:r>
      <w:bookmarkEnd w:id="15"/>
    </w:p>
    <w:p>
      <w:pPr>
        <w:pStyle w:val="Subsection"/>
      </w:pPr>
      <w:r>
        <w:tab/>
        <w:t>(1)</w:t>
      </w:r>
      <w:r>
        <w:tab/>
        <w:t xml:space="preserve">For the purposes of the Act section 31(3)(b), the prescribed fee is the sum of — </w:t>
      </w:r>
    </w:p>
    <w:p>
      <w:pPr>
        <w:pStyle w:val="Indenta"/>
      </w:pPr>
      <w:r>
        <w:tab/>
        <w:t>(a)</w:t>
      </w:r>
      <w:r>
        <w:tab/>
        <w:t>$161;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w:t>
      </w:r>
    </w:p>
    <w:p>
      <w:pPr>
        <w:pStyle w:val="Heading5"/>
      </w:pPr>
      <w:bookmarkStart w:id="16" w:name="_Toc391647183"/>
      <w:r>
        <w:rPr>
          <w:rStyle w:val="CharSectno"/>
        </w:rPr>
        <w:t>7G</w:t>
      </w:r>
      <w:r>
        <w:t>.</w:t>
      </w:r>
      <w:r>
        <w:tab/>
        <w:t>Change of certain information, licensee to notify Commissioner of</w:t>
      </w:r>
      <w:bookmarkEnd w:id="16"/>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7" w:name="_Toc391647184"/>
      <w:r>
        <w:rPr>
          <w:rStyle w:val="CharSectno"/>
        </w:rPr>
        <w:t>7H</w:t>
      </w:r>
      <w:r>
        <w:t>.</w:t>
      </w:r>
      <w:r>
        <w:tab/>
        <w:t>Exemption from requirement for planning certificate in Act s. 13, 58 and 60</w:t>
      </w:r>
      <w:bookmarkEnd w:id="17"/>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8" w:name="_Toc391647185"/>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391647186"/>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0" w:name="_Toc391647187"/>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391647188"/>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391647189"/>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3" w:name="_Toc391647190"/>
      <w:r>
        <w:rPr>
          <w:rStyle w:val="CharSectno"/>
        </w:rPr>
        <w:t>10</w:t>
      </w:r>
      <w:r>
        <w:t>.</w:t>
      </w:r>
      <w:r>
        <w:tab/>
        <w:t>Fees for inspecting, and obtaining copies of, register (Act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4" w:name="_Toc391647191"/>
      <w:r>
        <w:rPr>
          <w:rStyle w:val="CharSectno"/>
        </w:rPr>
        <w:t>11</w:t>
      </w:r>
      <w:r>
        <w:t>.</w:t>
      </w:r>
      <w:r>
        <w:tab/>
        <w:t>Certified copy of certificate, fee for (Act s. 54(1))</w:t>
      </w:r>
      <w:bookmarkEnd w:id="24"/>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5" w:name="_Toc391647192"/>
      <w:r>
        <w:rPr>
          <w:rStyle w:val="CharPartNo"/>
        </w:rPr>
        <w:t>Part 4</w:t>
      </w:r>
      <w:r>
        <w:rPr>
          <w:b w:val="0"/>
        </w:rPr>
        <w:t> </w:t>
      </w:r>
      <w:r>
        <w:t>—</w:t>
      </w:r>
      <w:r>
        <w:rPr>
          <w:b w:val="0"/>
        </w:rPr>
        <w:t> </w:t>
      </w:r>
      <w:r>
        <w:rPr>
          <w:rStyle w:val="CharPartText"/>
        </w:rPr>
        <w:t>Miscellaneous</w:t>
      </w:r>
      <w:bookmarkEnd w:id="25"/>
    </w:p>
    <w:p>
      <w:pPr>
        <w:pStyle w:val="Footnoteheading"/>
      </w:pPr>
      <w:r>
        <w:tab/>
        <w:t>[Heading inserted in Gazette 24 Jun 2008 p. 2822.]</w:t>
      </w:r>
    </w:p>
    <w:p>
      <w:pPr>
        <w:pStyle w:val="Heading5"/>
      </w:pPr>
      <w:bookmarkStart w:id="26" w:name="_Toc391647193"/>
      <w:r>
        <w:rPr>
          <w:rStyle w:val="CharSectno"/>
        </w:rPr>
        <w:t>12</w:t>
      </w:r>
      <w:r>
        <w:rPr>
          <w:color w:val="000000"/>
        </w:rPr>
        <w:t>.</w:t>
      </w:r>
      <w:r>
        <w:rPr>
          <w:color w:val="000000"/>
        </w:rPr>
        <w:tab/>
        <w:t>Changes of authorised premises, fees for (Act s. 61(1)(c))</w:t>
      </w:r>
      <w:bookmarkEnd w:id="2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27" w:name="_Toc391647194"/>
      <w:r>
        <w:rPr>
          <w:rStyle w:val="CharSectno"/>
        </w:rPr>
        <w:t>13</w:t>
      </w:r>
      <w:r>
        <w:t>.</w:t>
      </w:r>
      <w:r>
        <w:tab/>
        <w:t>Infringement notice offences and modified penalties (Act s. 98 and 99(1))</w:t>
      </w:r>
      <w:bookmarkEnd w:id="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8" w:name="_Toc391647195"/>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391647196"/>
      <w:r>
        <w:rPr>
          <w:rStyle w:val="CharSectno"/>
        </w:rPr>
        <w:t>15</w:t>
      </w:r>
      <w:r>
        <w:t>.</w:t>
      </w:r>
      <w:r>
        <w:tab/>
        <w:t>Refund of fee on withdrawal or refusal of certain applications</w:t>
      </w:r>
      <w:bookmarkEnd w:id="2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0" w:name="_Toc391647197"/>
      <w:r>
        <w:rPr>
          <w:rStyle w:val="CharSectno"/>
        </w:rPr>
        <w:t>16</w:t>
      </w:r>
      <w:r>
        <w:t>.</w:t>
      </w:r>
      <w:r>
        <w:tab/>
        <w:t>Refund or waiver of fee etc. on withdrawal or refusal of replacement applications</w:t>
      </w:r>
      <w:bookmarkEnd w:id="30"/>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1" w:name="_Toc391647198"/>
      <w:r>
        <w:rPr>
          <w:rStyle w:val="CharPartNo"/>
        </w:rPr>
        <w:t>Part 5</w:t>
      </w:r>
      <w:r>
        <w:rPr>
          <w:b w:val="0"/>
        </w:rPr>
        <w:t> </w:t>
      </w:r>
      <w:r>
        <w:t>—</w:t>
      </w:r>
      <w:r>
        <w:rPr>
          <w:b w:val="0"/>
        </w:rPr>
        <w:t> </w:t>
      </w:r>
      <w:r>
        <w:rPr>
          <w:rStyle w:val="CharPartText"/>
        </w:rPr>
        <w:t>Transitional matters</w:t>
      </w:r>
      <w:bookmarkEnd w:id="31"/>
    </w:p>
    <w:p>
      <w:pPr>
        <w:pStyle w:val="Footnoteheading"/>
      </w:pPr>
      <w:r>
        <w:tab/>
        <w:t>[Heading inserted in Gazette 24 Jun 2008 p. 2825.]</w:t>
      </w:r>
    </w:p>
    <w:p>
      <w:pPr>
        <w:pStyle w:val="Heading5"/>
      </w:pPr>
      <w:bookmarkStart w:id="32" w:name="_Toc391647199"/>
      <w:r>
        <w:rPr>
          <w:rStyle w:val="CharSectno"/>
        </w:rPr>
        <w:t>17</w:t>
      </w:r>
      <w:r>
        <w:t>.</w:t>
      </w:r>
      <w:r>
        <w:tab/>
        <w:t>Application of Part</w:t>
      </w:r>
      <w:bookmarkEnd w:id="32"/>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3" w:name="_Toc391647200"/>
      <w:r>
        <w:rPr>
          <w:rStyle w:val="CharSectno"/>
        </w:rPr>
        <w:t>18</w:t>
      </w:r>
      <w:r>
        <w:t>.</w:t>
      </w:r>
      <w:r>
        <w:tab/>
        <w:t>Duration of transitional licences</w:t>
      </w:r>
      <w:bookmarkEnd w:id="33"/>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4" w:name="_Toc391647201"/>
      <w:r>
        <w:rPr>
          <w:rStyle w:val="CharSectno"/>
        </w:rPr>
        <w:t>19</w:t>
      </w:r>
      <w:r>
        <w:t>.</w:t>
      </w:r>
      <w:r>
        <w:tab/>
        <w:t>Notice and waiver of fee relating to transitional applications</w:t>
      </w:r>
      <w:bookmarkEnd w:id="34"/>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5" w:name="_Toc391647202"/>
      <w:r>
        <w:rPr>
          <w:rStyle w:val="CharSectno"/>
        </w:rPr>
        <w:t>20</w:t>
      </w:r>
      <w:r>
        <w:t>.</w:t>
      </w:r>
      <w:r>
        <w:tab/>
        <w:t>Refund or waiver of fee on withdrawal or refusal of transitional applications</w:t>
      </w:r>
      <w:bookmarkEnd w:id="35"/>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 w:name="_Toc391647203"/>
      <w:r>
        <w:rPr>
          <w:rStyle w:val="CharSchNo"/>
        </w:rPr>
        <w:t>Schedule 1</w:t>
      </w:r>
      <w:r>
        <w:t> — </w:t>
      </w:r>
      <w:r>
        <w:rPr>
          <w:rStyle w:val="CharSchText"/>
        </w:rPr>
        <w:t>Forms</w:t>
      </w:r>
      <w:bookmarkEnd w:id="36"/>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391647204"/>
      <w:r>
        <w:t>Notes</w:t>
      </w:r>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8" w:name="_Toc391647205"/>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single" w:sz="4" w:space="0" w:color="auto"/>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single" w:sz="4" w:space="0" w:color="auto"/>
            </w:tcBorders>
            <w:shd w:val="clear" w:color="auto" w:fill="auto"/>
          </w:tcPr>
          <w:p>
            <w:pPr>
              <w:pStyle w:val="nTable"/>
              <w:spacing w:before="60" w:after="60"/>
              <w:rPr>
                <w:sz w:val="19"/>
              </w:rPr>
            </w:pPr>
            <w:r>
              <w:rPr>
                <w:sz w:val="19"/>
              </w:rPr>
              <w:t>17 Jun 2014 p. 1970-3</w:t>
            </w:r>
          </w:p>
        </w:tc>
        <w:tc>
          <w:tcPr>
            <w:tcW w:w="2693" w:type="dxa"/>
            <w:tcBorders>
              <w:top w:val="nil"/>
              <w:bottom w:val="single" w:sz="4" w:space="0" w:color="auto"/>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9" w:name="_Toc391647206"/>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312165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12861</Words>
  <Characters>63795</Characters>
  <Application>Microsoft Office Word</Application>
  <DocSecurity>0</DocSecurity>
  <Lines>2551</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2007 - 02-e0-00</dc:title>
  <dc:subject/>
  <dc:creator/>
  <cp:keywords/>
  <dc:description/>
  <cp:lastModifiedBy>svcMRProcess</cp:lastModifiedBy>
  <cp:revision>4</cp:revision>
  <cp:lastPrinted>2012-01-17T04:19:00Z</cp:lastPrinted>
  <dcterms:created xsi:type="dcterms:W3CDTF">2020-02-26T03:33:00Z</dcterms:created>
  <dcterms:modified xsi:type="dcterms:W3CDTF">2020-02-26T03:33:00Z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20140701</vt:lpwstr>
  </property>
  <property fmtid="{D5CDD505-2E9C-101B-9397-08002B2CF9AE}" pid="4" name="OwlsUID">
    <vt:i4>38522</vt:i4>
  </property>
  <property fmtid="{D5CDD505-2E9C-101B-9397-08002B2CF9AE}" pid="5" name="AsAtDate">
    <vt:lpwstr>01 Jul 2014</vt:lpwstr>
  </property>
  <property fmtid="{D5CDD505-2E9C-101B-9397-08002B2CF9AE}" pid="6" name="Suffix">
    <vt:lpwstr>02-e0-00</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