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Statutory Corporations (Liability of Directors)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_Toc391906319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_Toc391906320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Statutory corporations generally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_Toc391906323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_Toc391906325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_Toc391906327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_Toc391906330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_Toc391906331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_Toc391906333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_Toc391906334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_Toc391906335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_Toc391906336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_Toc391906338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_Toc391906339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_Toc391906340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_Toc391906342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_Toc391906343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_Toc391906344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_Toc391906345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_Toc391906347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_Toc391906348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_Toc391906349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_Toc391906352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_Toc391906353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391906318"/>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1906319"/>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 w:name="_Toc391906320"/>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 w:name="_Toc391906321"/>
      <w:r>
        <w:rPr>
          <w:rStyle w:val="CharPartNo"/>
        </w:rPr>
        <w:t>Part 2</w:t>
      </w:r>
      <w:r>
        <w:t> — </w:t>
      </w:r>
      <w:r>
        <w:rPr>
          <w:rStyle w:val="CharPartText"/>
        </w:rPr>
        <w:t>Statutory corporations generally</w:t>
      </w:r>
      <w:bookmarkEnd w:id="4"/>
      <w:r>
        <w:rPr>
          <w:rStyle w:val="CharPartText"/>
        </w:rPr>
        <w:t xml:space="preserve"> </w:t>
      </w:r>
    </w:p>
    <w:p>
      <w:pPr>
        <w:pStyle w:val="Heading3"/>
        <w:rPr>
          <w:snapToGrid w:val="0"/>
        </w:rPr>
      </w:pPr>
      <w:bookmarkStart w:id="5" w:name="_Toc391906322"/>
      <w:r>
        <w:rPr>
          <w:rStyle w:val="CharDivNo"/>
        </w:rPr>
        <w:t>Division 1</w:t>
      </w:r>
      <w:r>
        <w:rPr>
          <w:snapToGrid w:val="0"/>
        </w:rPr>
        <w:t> — </w:t>
      </w:r>
      <w:r>
        <w:rPr>
          <w:rStyle w:val="CharDivText"/>
        </w:rPr>
        <w:t>Interpretation</w:t>
      </w:r>
      <w:bookmarkEnd w:id="5"/>
      <w:r>
        <w:rPr>
          <w:rStyle w:val="CharDivText"/>
        </w:rPr>
        <w:t xml:space="preserve"> </w:t>
      </w:r>
    </w:p>
    <w:p>
      <w:pPr>
        <w:pStyle w:val="Heading5"/>
        <w:rPr>
          <w:snapToGrid w:val="0"/>
        </w:rPr>
      </w:pPr>
      <w:bookmarkStart w:id="6" w:name="_Toc391906323"/>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7" w:name="_Toc391906324"/>
      <w:r>
        <w:rPr>
          <w:rStyle w:val="CharDivNo"/>
        </w:rPr>
        <w:t>Division 2</w:t>
      </w:r>
      <w:r>
        <w:rPr>
          <w:snapToGrid w:val="0"/>
        </w:rPr>
        <w:t> — </w:t>
      </w:r>
      <w:r>
        <w:rPr>
          <w:rStyle w:val="CharDivText"/>
        </w:rPr>
        <w:t>Duties of directors stated</w:t>
      </w:r>
      <w:bookmarkEnd w:id="7"/>
      <w:r>
        <w:rPr>
          <w:rStyle w:val="CharDivText"/>
        </w:rPr>
        <w:t xml:space="preserve"> </w:t>
      </w:r>
    </w:p>
    <w:p>
      <w:pPr>
        <w:pStyle w:val="Heading5"/>
        <w:rPr>
          <w:snapToGrid w:val="0"/>
        </w:rPr>
      </w:pPr>
      <w:bookmarkStart w:id="8" w:name="_Toc391906325"/>
      <w:r>
        <w:rPr>
          <w:rStyle w:val="CharSectno"/>
        </w:rPr>
        <w:t>5</w:t>
      </w:r>
      <w:r>
        <w:rPr>
          <w:snapToGrid w:val="0"/>
        </w:rPr>
        <w:t>.</w:t>
      </w:r>
      <w:r>
        <w:rPr>
          <w:snapToGrid w:val="0"/>
        </w:rPr>
        <w:tab/>
        <w:t>Directors’ fiduciary relationship with and duties to corporation</w:t>
      </w:r>
      <w:bookmarkEnd w:id="8"/>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9" w:name="_Toc391906326"/>
      <w:r>
        <w:rPr>
          <w:rStyle w:val="CharDivNo"/>
        </w:rPr>
        <w:t>Division 3</w:t>
      </w:r>
      <w:r>
        <w:rPr>
          <w:snapToGrid w:val="0"/>
        </w:rPr>
        <w:t> — </w:t>
      </w:r>
      <w:r>
        <w:rPr>
          <w:rStyle w:val="CharDivText"/>
        </w:rPr>
        <w:t>Ministerial directions</w:t>
      </w:r>
      <w:bookmarkEnd w:id="9"/>
      <w:r>
        <w:rPr>
          <w:rStyle w:val="CharDivText"/>
        </w:rPr>
        <w:t xml:space="preserve"> </w:t>
      </w:r>
    </w:p>
    <w:p>
      <w:pPr>
        <w:pStyle w:val="Heading5"/>
        <w:rPr>
          <w:snapToGrid w:val="0"/>
        </w:rPr>
      </w:pPr>
      <w:bookmarkStart w:id="10" w:name="_Toc391906327"/>
      <w:r>
        <w:rPr>
          <w:rStyle w:val="CharSectno"/>
        </w:rPr>
        <w:t>6</w:t>
      </w:r>
      <w:r>
        <w:rPr>
          <w:snapToGrid w:val="0"/>
        </w:rPr>
        <w:t>.</w:t>
      </w:r>
      <w:r>
        <w:rPr>
          <w:snapToGrid w:val="0"/>
        </w:rPr>
        <w:tab/>
        <w:t>Unlawful directions</w:t>
      </w:r>
      <w:bookmarkEnd w:id="1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1" w:name="_Toc391906328"/>
      <w:r>
        <w:rPr>
          <w:rStyle w:val="CharPartNo"/>
        </w:rPr>
        <w:t>Part 3</w:t>
      </w:r>
      <w:r>
        <w:t> — </w:t>
      </w:r>
      <w:r>
        <w:rPr>
          <w:rStyle w:val="CharPartText"/>
        </w:rPr>
        <w:t>Duties of directors of certain corporations</w:t>
      </w:r>
      <w:bookmarkEnd w:id="11"/>
      <w:r>
        <w:rPr>
          <w:rStyle w:val="CharPartText"/>
        </w:rPr>
        <w:t xml:space="preserve"> </w:t>
      </w:r>
    </w:p>
    <w:p>
      <w:pPr>
        <w:pStyle w:val="Heading3"/>
        <w:rPr>
          <w:snapToGrid w:val="0"/>
        </w:rPr>
      </w:pPr>
      <w:bookmarkStart w:id="12" w:name="_Toc391906329"/>
      <w:r>
        <w:rPr>
          <w:rStyle w:val="CharDivNo"/>
        </w:rPr>
        <w:t>Division 1</w:t>
      </w:r>
      <w:r>
        <w:rPr>
          <w:snapToGrid w:val="0"/>
        </w:rPr>
        <w:t> — </w:t>
      </w:r>
      <w:r>
        <w:rPr>
          <w:rStyle w:val="CharDivText"/>
        </w:rPr>
        <w:t>Interpretation</w:t>
      </w:r>
      <w:bookmarkEnd w:id="12"/>
      <w:r>
        <w:rPr>
          <w:rStyle w:val="CharDivText"/>
        </w:rPr>
        <w:t xml:space="preserve"> </w:t>
      </w:r>
    </w:p>
    <w:p>
      <w:pPr>
        <w:pStyle w:val="Heading5"/>
        <w:rPr>
          <w:snapToGrid w:val="0"/>
        </w:rPr>
      </w:pPr>
      <w:bookmarkStart w:id="13" w:name="_Toc391906330"/>
      <w:r>
        <w:rPr>
          <w:rStyle w:val="CharSectno"/>
        </w:rPr>
        <w:t>7</w:t>
      </w:r>
      <w:r>
        <w:rPr>
          <w:snapToGrid w:val="0"/>
        </w:rPr>
        <w:t>.</w:t>
      </w:r>
      <w:r>
        <w:rPr>
          <w:snapToGrid w:val="0"/>
        </w:rPr>
        <w:tab/>
        <w:t>Terms used; attempted offences; application of Part</w:t>
      </w:r>
      <w:bookmarkEnd w:id="13"/>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4" w:name="_Toc391906331"/>
      <w:r>
        <w:rPr>
          <w:rStyle w:val="CharSectno"/>
        </w:rPr>
        <w:t>8</w:t>
      </w:r>
      <w:r>
        <w:rPr>
          <w:snapToGrid w:val="0"/>
        </w:rPr>
        <w:t>.</w:t>
      </w:r>
      <w:r>
        <w:rPr>
          <w:snapToGrid w:val="0"/>
        </w:rPr>
        <w:tab/>
        <w:t>Amendment of Sch. 1</w:t>
      </w:r>
      <w:bookmarkEnd w:id="14"/>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5" w:name="_Toc391906332"/>
      <w:r>
        <w:rPr>
          <w:rStyle w:val="CharDivNo"/>
        </w:rPr>
        <w:t>Division 2</w:t>
      </w:r>
      <w:r>
        <w:rPr>
          <w:snapToGrid w:val="0"/>
        </w:rPr>
        <w:t> — </w:t>
      </w:r>
      <w:r>
        <w:rPr>
          <w:rStyle w:val="CharDivText"/>
        </w:rPr>
        <w:t>Duties stated</w:t>
      </w:r>
      <w:bookmarkEnd w:id="15"/>
      <w:r>
        <w:rPr>
          <w:rStyle w:val="CharDivText"/>
        </w:rPr>
        <w:t xml:space="preserve"> </w:t>
      </w:r>
    </w:p>
    <w:p>
      <w:pPr>
        <w:pStyle w:val="Heading5"/>
        <w:spacing w:before="180"/>
        <w:rPr>
          <w:snapToGrid w:val="0"/>
        </w:rPr>
      </w:pPr>
      <w:bookmarkStart w:id="16" w:name="_Toc391906333"/>
      <w:r>
        <w:rPr>
          <w:rStyle w:val="CharSectno"/>
        </w:rPr>
        <w:t>9</w:t>
      </w:r>
      <w:r>
        <w:rPr>
          <w:snapToGrid w:val="0"/>
        </w:rPr>
        <w:t>.</w:t>
      </w:r>
      <w:r>
        <w:rPr>
          <w:snapToGrid w:val="0"/>
        </w:rPr>
        <w:tab/>
        <w:t>Duty to act honestly</w:t>
      </w:r>
      <w:bookmarkEnd w:id="16"/>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17" w:name="_Toc391906334"/>
      <w:r>
        <w:rPr>
          <w:rStyle w:val="CharSectno"/>
        </w:rPr>
        <w:t>10</w:t>
      </w:r>
      <w:r>
        <w:rPr>
          <w:snapToGrid w:val="0"/>
        </w:rPr>
        <w:t>.</w:t>
      </w:r>
      <w:r>
        <w:rPr>
          <w:snapToGrid w:val="0"/>
        </w:rPr>
        <w:tab/>
        <w:t>Duty to exercise reasonable care and diligence</w:t>
      </w:r>
      <w:bookmarkEnd w:id="17"/>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18" w:name="_Toc391906335"/>
      <w:r>
        <w:rPr>
          <w:rStyle w:val="CharSectno"/>
        </w:rPr>
        <w:t>11</w:t>
      </w:r>
      <w:r>
        <w:rPr>
          <w:snapToGrid w:val="0"/>
        </w:rPr>
        <w:t>.</w:t>
      </w:r>
      <w:r>
        <w:rPr>
          <w:snapToGrid w:val="0"/>
        </w:rPr>
        <w:tab/>
        <w:t>Duty not to make improper use of information</w:t>
      </w:r>
      <w:bookmarkEnd w:id="18"/>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19" w:name="_Toc391906336"/>
      <w:r>
        <w:rPr>
          <w:rStyle w:val="CharSectno"/>
        </w:rPr>
        <w:t>12</w:t>
      </w:r>
      <w:r>
        <w:rPr>
          <w:snapToGrid w:val="0"/>
        </w:rPr>
        <w:t>.</w:t>
      </w:r>
      <w:r>
        <w:rPr>
          <w:snapToGrid w:val="0"/>
        </w:rPr>
        <w:tab/>
        <w:t>Duty not to make improper use of position</w:t>
      </w:r>
      <w:bookmarkEnd w:id="19"/>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0" w:name="_Toc391906337"/>
      <w:r>
        <w:rPr>
          <w:rStyle w:val="CharDivNo"/>
        </w:rPr>
        <w:t>Division 3</w:t>
      </w:r>
      <w:r>
        <w:rPr>
          <w:snapToGrid w:val="0"/>
        </w:rPr>
        <w:t> — </w:t>
      </w:r>
      <w:r>
        <w:rPr>
          <w:rStyle w:val="CharDivText"/>
        </w:rPr>
        <w:t>Compensation</w:t>
      </w:r>
      <w:bookmarkEnd w:id="20"/>
      <w:r>
        <w:rPr>
          <w:rStyle w:val="CharDivText"/>
        </w:rPr>
        <w:t xml:space="preserve"> </w:t>
      </w:r>
    </w:p>
    <w:p>
      <w:pPr>
        <w:pStyle w:val="Heading5"/>
        <w:rPr>
          <w:snapToGrid w:val="0"/>
        </w:rPr>
      </w:pPr>
      <w:bookmarkStart w:id="21" w:name="_Toc391906338"/>
      <w:r>
        <w:rPr>
          <w:rStyle w:val="CharSectno"/>
        </w:rPr>
        <w:t>13</w:t>
      </w:r>
      <w:r>
        <w:rPr>
          <w:snapToGrid w:val="0"/>
        </w:rPr>
        <w:t>.</w:t>
      </w:r>
      <w:r>
        <w:rPr>
          <w:snapToGrid w:val="0"/>
        </w:rPr>
        <w:tab/>
        <w:t>Compensation may be ordered for breach of s. 9, 10, 11 or 12</w:t>
      </w:r>
      <w:bookmarkEnd w:id="2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2" w:name="_Toc391906339"/>
      <w:r>
        <w:rPr>
          <w:rStyle w:val="CharSectno"/>
        </w:rPr>
        <w:t>14</w:t>
      </w:r>
      <w:r>
        <w:rPr>
          <w:snapToGrid w:val="0"/>
        </w:rPr>
        <w:t>.</w:t>
      </w:r>
      <w:r>
        <w:rPr>
          <w:snapToGrid w:val="0"/>
        </w:rPr>
        <w:tab/>
        <w:t>Civil proceedings for breach of s. 9, 10, 11 or 12</w:t>
      </w:r>
      <w:bookmarkEnd w:id="22"/>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3" w:name="_Toc391906340"/>
      <w:r>
        <w:rPr>
          <w:rStyle w:val="CharSectno"/>
        </w:rPr>
        <w:t>15</w:t>
      </w:r>
      <w:r>
        <w:rPr>
          <w:snapToGrid w:val="0"/>
        </w:rPr>
        <w:t>.</w:t>
      </w:r>
      <w:r>
        <w:rPr>
          <w:snapToGrid w:val="0"/>
        </w:rPr>
        <w:tab/>
        <w:t>Corporation’s power to insure</w:t>
      </w:r>
      <w:bookmarkEnd w:id="23"/>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24" w:name="_Toc391906341"/>
      <w:r>
        <w:rPr>
          <w:rStyle w:val="CharDivNo"/>
        </w:rPr>
        <w:t>Division 4</w:t>
      </w:r>
      <w:r>
        <w:rPr>
          <w:snapToGrid w:val="0"/>
        </w:rPr>
        <w:t> — </w:t>
      </w:r>
      <w:r>
        <w:rPr>
          <w:rStyle w:val="CharDivText"/>
        </w:rPr>
        <w:t>Ministerial directions</w:t>
      </w:r>
      <w:bookmarkEnd w:id="24"/>
      <w:r>
        <w:rPr>
          <w:rStyle w:val="CharDivText"/>
        </w:rPr>
        <w:t xml:space="preserve"> </w:t>
      </w:r>
    </w:p>
    <w:p>
      <w:pPr>
        <w:pStyle w:val="Heading5"/>
        <w:keepNext w:val="0"/>
        <w:keepLines w:val="0"/>
        <w:rPr>
          <w:snapToGrid w:val="0"/>
        </w:rPr>
      </w:pPr>
      <w:bookmarkStart w:id="25" w:name="_Toc391906342"/>
      <w:r>
        <w:rPr>
          <w:rStyle w:val="CharSectno"/>
        </w:rPr>
        <w:t>16</w:t>
      </w:r>
      <w:r>
        <w:rPr>
          <w:snapToGrid w:val="0"/>
        </w:rPr>
        <w:t>.</w:t>
      </w:r>
      <w:r>
        <w:rPr>
          <w:snapToGrid w:val="0"/>
        </w:rPr>
        <w:tab/>
        <w:t>Terms used</w:t>
      </w:r>
      <w:bookmarkEnd w:id="25"/>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26" w:name="_Toc391906343"/>
      <w:r>
        <w:rPr>
          <w:rStyle w:val="CharSectno"/>
        </w:rPr>
        <w:t>17</w:t>
      </w:r>
      <w:r>
        <w:rPr>
          <w:snapToGrid w:val="0"/>
        </w:rPr>
        <w:t>.</w:t>
      </w:r>
      <w:r>
        <w:rPr>
          <w:snapToGrid w:val="0"/>
        </w:rPr>
        <w:tab/>
        <w:t>Governing body may question direction</w:t>
      </w:r>
      <w:bookmarkEnd w:id="2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7" w:name="_Toc391906344"/>
      <w:r>
        <w:rPr>
          <w:rStyle w:val="CharSectno"/>
        </w:rPr>
        <w:t>18</w:t>
      </w:r>
      <w:r>
        <w:rPr>
          <w:snapToGrid w:val="0"/>
        </w:rPr>
        <w:t>.</w:t>
      </w:r>
      <w:r>
        <w:rPr>
          <w:snapToGrid w:val="0"/>
        </w:rPr>
        <w:tab/>
        <w:t>Corporation may challenge direction</w:t>
      </w:r>
      <w:bookmarkEnd w:id="27"/>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28" w:name="_Toc391906345"/>
      <w:r>
        <w:rPr>
          <w:rStyle w:val="CharSectno"/>
        </w:rPr>
        <w:t>19</w:t>
      </w:r>
      <w:r>
        <w:rPr>
          <w:snapToGrid w:val="0"/>
        </w:rPr>
        <w:t>.</w:t>
      </w:r>
      <w:r>
        <w:rPr>
          <w:snapToGrid w:val="0"/>
        </w:rPr>
        <w:tab/>
        <w:t>Protection of directors</w:t>
      </w:r>
      <w:bookmarkEnd w:id="2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29" w:name="_Toc391906346"/>
      <w:r>
        <w:rPr>
          <w:rStyle w:val="CharPartNo"/>
        </w:rPr>
        <w:t>Part 4</w:t>
      </w:r>
      <w:r>
        <w:rPr>
          <w:rStyle w:val="CharDivNo"/>
        </w:rPr>
        <w:t> </w:t>
      </w:r>
      <w:r>
        <w:t>—</w:t>
      </w:r>
      <w:r>
        <w:rPr>
          <w:rStyle w:val="CharDivText"/>
        </w:rPr>
        <w:t> </w:t>
      </w:r>
      <w:r>
        <w:rPr>
          <w:rStyle w:val="CharPartText"/>
        </w:rPr>
        <w:t>Relief from liability</w:t>
      </w:r>
      <w:bookmarkEnd w:id="29"/>
      <w:r>
        <w:rPr>
          <w:rStyle w:val="CharPartText"/>
        </w:rPr>
        <w:t xml:space="preserve"> </w:t>
      </w:r>
    </w:p>
    <w:p>
      <w:pPr>
        <w:pStyle w:val="Heading5"/>
        <w:rPr>
          <w:snapToGrid w:val="0"/>
        </w:rPr>
      </w:pPr>
      <w:bookmarkStart w:id="30" w:name="_Toc391906347"/>
      <w:r>
        <w:rPr>
          <w:rStyle w:val="CharSectno"/>
        </w:rPr>
        <w:t>20</w:t>
      </w:r>
      <w:r>
        <w:rPr>
          <w:snapToGrid w:val="0"/>
        </w:rPr>
        <w:t>.</w:t>
      </w:r>
      <w:r>
        <w:rPr>
          <w:snapToGrid w:val="0"/>
        </w:rPr>
        <w:tab/>
        <w:t>Relief from liability under s. 5, 13 and 14</w:t>
      </w:r>
      <w:bookmarkEnd w:id="30"/>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1" w:name="_Toc391906348"/>
      <w:r>
        <w:rPr>
          <w:rStyle w:val="CharSectno"/>
        </w:rPr>
        <w:t>21</w:t>
      </w:r>
      <w:r>
        <w:rPr>
          <w:snapToGrid w:val="0"/>
        </w:rPr>
        <w:t>.</w:t>
      </w:r>
      <w:r>
        <w:rPr>
          <w:snapToGrid w:val="0"/>
        </w:rPr>
        <w:tab/>
        <w:t>Application for relief from liability under s. 5, 13 or 14</w:t>
      </w:r>
      <w:bookmarkEnd w:id="31"/>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2" w:name="_Toc391906349"/>
      <w:r>
        <w:rPr>
          <w:rStyle w:val="CharSectno"/>
        </w:rPr>
        <w:t>22</w:t>
      </w:r>
      <w:r>
        <w:rPr>
          <w:snapToGrid w:val="0"/>
        </w:rPr>
        <w:t>.</w:t>
      </w:r>
      <w:r>
        <w:rPr>
          <w:snapToGrid w:val="0"/>
        </w:rPr>
        <w:tab/>
        <w:t>Case may be withdrawn from jury</w:t>
      </w:r>
      <w:bookmarkEnd w:id="32"/>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3" w:name="_Toc391906350"/>
      <w:r>
        <w:rPr>
          <w:rStyle w:val="CharSchNo"/>
        </w:rPr>
        <w:t>Schedule 1</w:t>
      </w:r>
      <w:r>
        <w:t> — </w:t>
      </w:r>
      <w:r>
        <w:rPr>
          <w:rStyle w:val="CharSchText"/>
        </w:rPr>
        <w:t>Persons who are directors under Part 3</w:t>
      </w:r>
      <w:bookmarkEnd w:id="33"/>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rPr>
          <w:cantSplit/>
        </w:trPr>
        <w:tc>
          <w:tcPr>
            <w:tcW w:w="2552" w:type="dxa"/>
          </w:tcPr>
          <w:p>
            <w:pPr>
              <w:pStyle w:val="yTableNAm"/>
            </w:pPr>
            <w:r>
              <w:t xml:space="preserve">Bunbury </w:t>
            </w:r>
            <w:smartTag w:uri="urn:schemas-microsoft-com:office:smarttags" w:element="PlaceType">
              <w:r>
                <w:t>Port</w:t>
              </w:r>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 xml:space="preserve">Esperance </w:t>
            </w:r>
            <w:smartTag w:uri="urn:schemas-microsoft-com:office:smarttags" w:element="PlaceType">
              <w:r>
                <w:t>Port</w:t>
              </w:r>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45(1) and (3)</w:t>
      </w:r>
      <w:r>
        <w:noBreakHyphen/>
        <w:t>(5); amended in Gazette 26 Nov 2004 p. 5314</w:t>
      </w:r>
      <w:r>
        <w:noBreakHyphen/>
        <w:t>15.]</w:t>
      </w:r>
    </w:p>
    <w:p>
      <w:pPr>
        <w:pStyle w:val="yEdnoteschedule"/>
      </w:pPr>
      <w:r>
        <w:t>[Schedule 2 omitted under the Reprints Act 1984 s. 7(4)(e).]</w:t>
      </w:r>
    </w:p>
    <w:p>
      <w:pPr>
        <w:pStyle w:val="CentredBaseLine"/>
        <w:jc w:val="cente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4" w:name="_Toc391906351"/>
      <w:r>
        <w:t>Notes</w:t>
      </w:r>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35" w:name="_Toc391906352"/>
      <w:r>
        <w:rPr>
          <w:snapToGrid w:val="0"/>
        </w:rPr>
        <w:t>Compilation table</w:t>
      </w:r>
      <w:bookmarkEnd w:id="3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1" w:type="dxa"/>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1"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1"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1"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1"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1"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1"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1"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1"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5"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1"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Land Information Authority Act 2006</w:t>
            </w:r>
            <w:r>
              <w:rPr>
                <w:iCs/>
                <w:snapToGrid w:val="0"/>
                <w:sz w:val="19"/>
              </w:rPr>
              <w:t xml:space="preserve"> s. 188 </w:t>
            </w:r>
          </w:p>
        </w:tc>
        <w:tc>
          <w:tcPr>
            <w:tcW w:w="1134" w:type="dxa"/>
          </w:tcPr>
          <w:p>
            <w:pPr>
              <w:pStyle w:val="nTable"/>
              <w:spacing w:after="40"/>
              <w:rPr>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rPr>
              <w:t>Chemistry Centre (WA) Act 2007</w:t>
            </w:r>
            <w:r>
              <w:rPr>
                <w:iCs/>
                <w:snapToGrid w:val="0"/>
                <w:sz w:val="19"/>
              </w:rPr>
              <w:t xml:space="preserve"> s. 43</w:t>
            </w:r>
          </w:p>
        </w:tc>
        <w:tc>
          <w:tcPr>
            <w:tcW w:w="1134" w:type="dxa"/>
          </w:tcPr>
          <w:p>
            <w:pPr>
              <w:pStyle w:val="nTable"/>
              <w:spacing w:after="40"/>
              <w:rPr>
                <w:sz w:val="19"/>
              </w:rPr>
            </w:pPr>
            <w:r>
              <w:rPr>
                <w:snapToGrid w:val="0"/>
                <w:sz w:val="19"/>
              </w:rPr>
              <w:t>10 of 2007</w:t>
            </w:r>
          </w:p>
        </w:tc>
        <w:tc>
          <w:tcPr>
            <w:tcW w:w="1134" w:type="dxa"/>
          </w:tcPr>
          <w:p>
            <w:pPr>
              <w:pStyle w:val="nTable"/>
              <w:spacing w:after="40"/>
              <w:rPr>
                <w:sz w:val="19"/>
              </w:rPr>
            </w:pPr>
            <w:r>
              <w:rPr>
                <w:snapToGrid w:val="0"/>
                <w:sz w:val="19"/>
              </w:rPr>
              <w:t>29</w:t>
            </w:r>
            <w:r>
              <w:rPr>
                <w:sz w:val="19"/>
              </w:rPr>
              <w:t> Jun 2007</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rPr>
            </w:pPr>
            <w:r>
              <w:rPr>
                <w:i/>
                <w:snapToGrid w:val="0"/>
                <w:sz w:val="19"/>
              </w:rPr>
              <w:t>Eastern Goldfields Transport Board Repeal Act 2008</w:t>
            </w:r>
            <w:r>
              <w:rPr>
                <w:snapToGrid w:val="0"/>
                <w:sz w:val="19"/>
              </w:rPr>
              <w:t xml:space="preserve"> s. 14 </w:t>
            </w:r>
          </w:p>
        </w:tc>
        <w:tc>
          <w:tcPr>
            <w:tcW w:w="1134" w:type="dxa"/>
          </w:tcPr>
          <w:p>
            <w:pPr>
              <w:pStyle w:val="nTable"/>
              <w:spacing w:after="40"/>
              <w:rPr>
                <w:snapToGrid w:val="0"/>
                <w:sz w:val="19"/>
              </w:rPr>
            </w:pPr>
            <w:r>
              <w:rPr>
                <w:snapToGrid w:val="0"/>
                <w:sz w:val="19"/>
              </w:rPr>
              <w:t>28 of 2008</w:t>
            </w:r>
          </w:p>
        </w:tc>
        <w:tc>
          <w:tcPr>
            <w:tcW w:w="1134" w:type="dxa"/>
          </w:tcPr>
          <w:p>
            <w:pPr>
              <w:pStyle w:val="nTable"/>
              <w:spacing w:after="40"/>
              <w:rPr>
                <w:snapToGrid w:val="0"/>
                <w:sz w:val="19"/>
              </w:rPr>
            </w:pPr>
            <w:r>
              <w:rPr>
                <w:sz w:val="19"/>
              </w:rPr>
              <w:t>1 Jul 2008</w:t>
            </w:r>
          </w:p>
        </w:tc>
        <w:tc>
          <w:tcPr>
            <w:tcW w:w="2551" w:type="dxa"/>
          </w:tcPr>
          <w:p>
            <w:pPr>
              <w:pStyle w:val="nTable"/>
              <w:spacing w:after="40"/>
              <w:rPr>
                <w:sz w:val="19"/>
              </w:rPr>
            </w:pPr>
            <w:r>
              <w:rPr>
                <w:snapToGrid w:val="0"/>
                <w:spacing w:val="-2"/>
                <w:sz w:val="19"/>
              </w:rPr>
              <w:t>29</w:t>
            </w:r>
            <w:r>
              <w:rPr>
                <w:snapToGrid w:val="0"/>
                <w:sz w:val="19"/>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shd w:val="clear" w:color="auto" w:fill="auto"/>
          </w:tcPr>
          <w:p>
            <w:pPr>
              <w:pStyle w:val="nTable"/>
              <w:spacing w:after="40"/>
              <w:rPr>
                <w:snapToGrid w:val="0"/>
                <w:sz w:val="19"/>
              </w:rPr>
            </w:pPr>
            <w:r>
              <w:rPr>
                <w:snapToGrid w:val="0"/>
                <w:sz w:val="19"/>
              </w:rPr>
              <w:t>19 of 2010</w:t>
            </w:r>
          </w:p>
        </w:tc>
        <w:tc>
          <w:tcPr>
            <w:tcW w:w="1134" w:type="dxa"/>
            <w:shd w:val="clear" w:color="auto" w:fill="auto"/>
          </w:tcPr>
          <w:p>
            <w:pPr>
              <w:pStyle w:val="nTable"/>
              <w:spacing w:after="40"/>
              <w:rPr>
                <w:snapToGrid w:val="0"/>
                <w:sz w:val="19"/>
              </w:rPr>
            </w:pPr>
            <w:r>
              <w:rPr>
                <w:snapToGrid w:val="0"/>
                <w:sz w:val="19"/>
              </w:rPr>
              <w:t>28 Jun 2010</w:t>
            </w:r>
          </w:p>
        </w:tc>
        <w:tc>
          <w:tcPr>
            <w:tcW w:w="2551" w:type="dxa"/>
            <w:shd w:val="clear" w:color="auto" w:fill="auto"/>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insideH w:val="none" w:sz="0" w:space="0" w:color="auto"/>
          </w:tblBorders>
        </w:tblPrEx>
        <w:trPr>
          <w:cantSplit/>
        </w:trPr>
        <w:tc>
          <w:tcPr>
            <w:tcW w:w="7087" w:type="dxa"/>
            <w:gridSpan w:val="4"/>
            <w:shd w:val="clear" w:color="auto" w:fill="auto"/>
          </w:tcPr>
          <w:p>
            <w:pPr>
              <w:pStyle w:val="nTable"/>
              <w:spacing w:after="40"/>
              <w:rPr>
                <w:snapToGrid w:val="0"/>
                <w:sz w:val="19"/>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Metropolitan Redevelopment Authority Act 2011 </w:t>
            </w:r>
            <w:r>
              <w:rPr>
                <w:snapToGrid w:val="0"/>
                <w:sz w:val="19"/>
              </w:rPr>
              <w:t>s. 143</w:t>
            </w:r>
            <w:r>
              <w:rPr>
                <w:snapToGrid w:val="0"/>
                <w:sz w:val="19"/>
                <w:vertAlign w:val="superscript"/>
              </w:rPr>
              <w:t> </w:t>
            </w:r>
          </w:p>
        </w:tc>
        <w:tc>
          <w:tcPr>
            <w:tcW w:w="1134" w:type="dxa"/>
            <w:tcBorders>
              <w:top w:val="nil"/>
              <w:bottom w:val="nil"/>
            </w:tcBorders>
          </w:tcPr>
          <w:p>
            <w:pPr>
              <w:pStyle w:val="nTable"/>
              <w:spacing w:after="40"/>
              <w:rPr>
                <w:snapToGrid w:val="0"/>
                <w:sz w:val="19"/>
              </w:rPr>
            </w:pPr>
            <w:r>
              <w:rPr>
                <w:snapToGrid w:val="0"/>
                <w:sz w:val="19"/>
              </w:rPr>
              <w:t>45 of 2011</w:t>
            </w:r>
          </w:p>
        </w:tc>
        <w:tc>
          <w:tcPr>
            <w:tcW w:w="1134" w:type="dxa"/>
            <w:tcBorders>
              <w:top w:val="nil"/>
              <w:bottom w:val="nil"/>
            </w:tcBorders>
          </w:tcPr>
          <w:p>
            <w:pPr>
              <w:pStyle w:val="nTable"/>
              <w:spacing w:after="40"/>
              <w:rPr>
                <w:sz w:val="19"/>
              </w:rPr>
            </w:pPr>
            <w:r>
              <w:rPr>
                <w:snapToGrid w:val="0"/>
                <w:sz w:val="19"/>
              </w:rPr>
              <w:t>12 Oct 2011</w:t>
            </w:r>
          </w:p>
        </w:tc>
        <w:tc>
          <w:tcPr>
            <w:tcW w:w="2551" w:type="dxa"/>
            <w:tcBorders>
              <w:top w:val="nil"/>
              <w:bottom w:val="nil"/>
            </w:tcBorders>
          </w:tcPr>
          <w:p>
            <w:pPr>
              <w:pStyle w:val="nTable"/>
              <w:spacing w:after="4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Water Services Legislation Amendment and Repeal Act 2012</w:t>
            </w:r>
            <w:r>
              <w:rPr>
                <w:snapToGrid w:val="0"/>
                <w:sz w:val="19"/>
              </w:rPr>
              <w:t xml:space="preserve"> s. 231</w:t>
            </w:r>
          </w:p>
        </w:tc>
        <w:tc>
          <w:tcPr>
            <w:tcW w:w="1134" w:type="dxa"/>
            <w:tcBorders>
              <w:top w:val="nil"/>
              <w:bottom w:val="nil"/>
            </w:tcBorders>
          </w:tcPr>
          <w:p>
            <w:pPr>
              <w:pStyle w:val="nTable"/>
              <w:spacing w:after="40"/>
              <w:rPr>
                <w:snapToGrid w:val="0"/>
                <w:sz w:val="19"/>
              </w:rPr>
            </w:pPr>
            <w:r>
              <w:rPr>
                <w:snapToGrid w:val="0"/>
                <w:sz w:val="19"/>
              </w:rPr>
              <w:t>25 of 2012</w:t>
            </w:r>
          </w:p>
        </w:tc>
        <w:tc>
          <w:tcPr>
            <w:tcW w:w="1134" w:type="dxa"/>
            <w:tcBorders>
              <w:top w:val="nil"/>
              <w:bottom w:val="nil"/>
            </w:tcBorders>
          </w:tcPr>
          <w:p>
            <w:pPr>
              <w:pStyle w:val="nTable"/>
              <w:spacing w:after="40"/>
              <w:rPr>
                <w:snapToGrid w:val="0"/>
                <w:sz w:val="19"/>
              </w:rPr>
            </w:pPr>
            <w:r>
              <w:rPr>
                <w:sz w:val="19"/>
              </w:rPr>
              <w:t>3 Sep 2012</w:t>
            </w:r>
          </w:p>
        </w:tc>
        <w:tc>
          <w:tcPr>
            <w:tcW w:w="2551" w:type="dxa"/>
            <w:tcBorders>
              <w:top w:val="nil"/>
              <w:bottom w:val="nil"/>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shd w:val="clear" w:color="auto" w:fill="auto"/>
          </w:tcPr>
          <w:p>
            <w:pPr>
              <w:pStyle w:val="nTable"/>
              <w:spacing w:after="40"/>
              <w:rPr>
                <w:i/>
                <w:snapToGrid w:val="0"/>
                <w:sz w:val="19"/>
              </w:rPr>
            </w:pPr>
            <w:r>
              <w:rPr>
                <w:i/>
                <w:snapToGrid w:val="0"/>
                <w:sz w:val="19"/>
              </w:rPr>
              <w:t>Ports Legislation Amendment Act 2014</w:t>
            </w:r>
            <w:r>
              <w:rPr>
                <w:snapToGrid w:val="0"/>
                <w:sz w:val="19"/>
              </w:rPr>
              <w:t xml:space="preserve"> s. 45(1) and (3)</w:t>
            </w:r>
            <w:r>
              <w:rPr>
                <w:snapToGrid w:val="0"/>
                <w:sz w:val="19"/>
              </w:rPr>
              <w:noBreakHyphen/>
              <w:t>(5)</w:t>
            </w:r>
          </w:p>
        </w:tc>
        <w:tc>
          <w:tcPr>
            <w:tcW w:w="1134" w:type="dxa"/>
            <w:tcBorders>
              <w:top w:val="nil"/>
              <w:bottom w:val="single" w:sz="8" w:space="0" w:color="auto"/>
            </w:tcBorders>
            <w:shd w:val="clear" w:color="auto" w:fill="auto"/>
          </w:tcPr>
          <w:p>
            <w:pPr>
              <w:pStyle w:val="nTable"/>
              <w:spacing w:after="40"/>
              <w:rPr>
                <w:snapToGrid w:val="0"/>
                <w:sz w:val="19"/>
              </w:rPr>
            </w:pPr>
            <w:r>
              <w:rPr>
                <w:snapToGrid w:val="0"/>
                <w:sz w:val="19"/>
              </w:rPr>
              <w:t>9 of 2014</w:t>
            </w:r>
          </w:p>
        </w:tc>
        <w:tc>
          <w:tcPr>
            <w:tcW w:w="1134" w:type="dxa"/>
            <w:tcBorders>
              <w:top w:val="nil"/>
              <w:bottom w:val="single" w:sz="8" w:space="0" w:color="auto"/>
            </w:tcBorders>
            <w:shd w:val="clear" w:color="auto" w:fill="auto"/>
          </w:tcPr>
          <w:p>
            <w:pPr>
              <w:pStyle w:val="nTable"/>
              <w:spacing w:after="40"/>
              <w:rPr>
                <w:sz w:val="19"/>
              </w:rPr>
            </w:pPr>
            <w:r>
              <w:rPr>
                <w:snapToGrid w:val="0"/>
                <w:sz w:val="19"/>
              </w:rPr>
              <w:t>20 May 2014</w:t>
            </w:r>
          </w:p>
        </w:tc>
        <w:tc>
          <w:tcPr>
            <w:tcW w:w="2551" w:type="dxa"/>
            <w:tcBorders>
              <w:top w:val="nil"/>
              <w:bottom w:val="single" w:sz="8" w:space="0" w:color="auto"/>
            </w:tcBorders>
            <w:shd w:val="clear" w:color="auto" w:fill="auto"/>
          </w:tcPr>
          <w:p>
            <w:pPr>
              <w:pStyle w:val="nTable"/>
              <w:spacing w:after="40"/>
              <w:rPr>
                <w:snapToGrid w:val="0"/>
                <w:sz w:val="19"/>
                <w:szCs w:val="19"/>
              </w:rPr>
            </w:pPr>
            <w:r>
              <w:rPr>
                <w:snapToGrid w:val="0"/>
                <w:sz w:val="19"/>
              </w:rPr>
              <w:t xml:space="preserve">1 Jul 2014 (see s. 2(1)(c) and </w:t>
            </w:r>
            <w:r>
              <w:rPr>
                <w:i/>
                <w:snapToGrid w:val="0"/>
                <w:sz w:val="19"/>
              </w:rPr>
              <w:t>Gazette</w:t>
            </w:r>
            <w:r>
              <w:rPr>
                <w:snapToGrid w:val="0"/>
                <w:sz w:val="19"/>
              </w:rPr>
              <w:t xml:space="preserve"> 20 Jun 2014 p. 2023)</w:t>
            </w:r>
          </w:p>
        </w:tc>
      </w:tr>
    </w:tbl>
    <w:p>
      <w:pPr>
        <w:pStyle w:val="nSubsection"/>
        <w:spacing w:before="10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6" w:name="_Toc391906353"/>
      <w:r>
        <w:rPr>
          <w:snapToGrid w:val="0"/>
        </w:rPr>
        <w:t>Provisions that have not come into operation</w:t>
      </w:r>
      <w:bookmarkEnd w:id="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c>
          <w:tcPr>
            <w:tcW w:w="2268" w:type="dxa"/>
            <w:tcBorders>
              <w:bottom w:val="single" w:sz="8" w:space="0" w:color="auto"/>
            </w:tcBorders>
          </w:tcPr>
          <w:p>
            <w:pPr>
              <w:pStyle w:val="nTable"/>
              <w:keepNext/>
              <w:keepLines/>
              <w:spacing w:after="40"/>
              <w:rPr>
                <w:b/>
                <w:snapToGrid w:val="0"/>
                <w:sz w:val="19"/>
              </w:rPr>
            </w:pPr>
            <w:r>
              <w:rPr>
                <w:b/>
                <w:snapToGrid w:val="0"/>
                <w:sz w:val="19"/>
              </w:rPr>
              <w:t>Short title</w:t>
            </w:r>
          </w:p>
        </w:tc>
        <w:tc>
          <w:tcPr>
            <w:tcW w:w="1134" w:type="dxa"/>
            <w:tcBorders>
              <w:bottom w:val="single" w:sz="8" w:space="0" w:color="auto"/>
            </w:tcBorders>
          </w:tcPr>
          <w:p>
            <w:pPr>
              <w:pStyle w:val="nTable"/>
              <w:keepNext/>
              <w:keepLines/>
              <w:spacing w:after="40"/>
              <w:rPr>
                <w:b/>
                <w:snapToGrid w:val="0"/>
                <w:sz w:val="19"/>
              </w:rPr>
            </w:pPr>
            <w:r>
              <w:rPr>
                <w:b/>
                <w:snapToGrid w:val="0"/>
                <w:sz w:val="19"/>
              </w:rPr>
              <w:t>Number and year</w:t>
            </w:r>
          </w:p>
        </w:tc>
        <w:tc>
          <w:tcPr>
            <w:tcW w:w="1135" w:type="dxa"/>
            <w:tcBorders>
              <w:bottom w:val="single" w:sz="8" w:space="0" w:color="auto"/>
            </w:tcBorders>
          </w:tcPr>
          <w:p>
            <w:pPr>
              <w:pStyle w:val="nTable"/>
              <w:keepNext/>
              <w:keepLines/>
              <w:spacing w:after="40"/>
              <w:rPr>
                <w:b/>
                <w:snapToGrid w:val="0"/>
                <w:sz w:val="19"/>
              </w:rPr>
            </w:pPr>
            <w:r>
              <w:rPr>
                <w:b/>
                <w:snapToGrid w:val="0"/>
                <w:sz w:val="19"/>
              </w:rPr>
              <w:t>Assent</w:t>
            </w:r>
          </w:p>
        </w:tc>
        <w:tc>
          <w:tcPr>
            <w:tcW w:w="2552" w:type="dxa"/>
            <w:tcBorders>
              <w:bottom w:val="single" w:sz="8" w:space="0" w:color="auto"/>
            </w:tcBorders>
          </w:tcPr>
          <w:p>
            <w:pPr>
              <w:pStyle w:val="nTable"/>
              <w:keepNext/>
              <w:keepLines/>
              <w:spacing w:after="40"/>
              <w:rPr>
                <w:b/>
                <w:snapToGrid w:val="0"/>
                <w:sz w:val="19"/>
              </w:rPr>
            </w:pPr>
            <w:r>
              <w:rPr>
                <w:b/>
                <w:snapToGrid w:val="0"/>
                <w:sz w:val="19"/>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snapToGrid w:val="0"/>
                <w:sz w:val="19"/>
              </w:rPr>
            </w:pPr>
            <w:r>
              <w:rPr>
                <w:i/>
                <w:snapToGrid w:val="0"/>
                <w:sz w:val="19"/>
              </w:rPr>
              <w:t>Ports Legislation Amendment Act 2014</w:t>
            </w:r>
            <w:r>
              <w:rPr>
                <w:snapToGrid w:val="0"/>
                <w:sz w:val="19"/>
              </w:rPr>
              <w:t xml:space="preserve"> s. 45(2)</w:t>
            </w:r>
            <w:r>
              <w:rPr>
                <w:snapToGrid w:val="0"/>
                <w:sz w:val="19"/>
                <w:vertAlign w:val="superscript"/>
              </w:rPr>
              <w:t> 6</w:t>
            </w:r>
          </w:p>
        </w:tc>
        <w:tc>
          <w:tcPr>
            <w:tcW w:w="1134" w:type="dxa"/>
            <w:tcBorders>
              <w:top w:val="nil"/>
              <w:bottom w:val="single" w:sz="4" w:space="0" w:color="auto"/>
            </w:tcBorders>
          </w:tcPr>
          <w:p>
            <w:pPr>
              <w:pStyle w:val="nTable"/>
              <w:spacing w:after="40"/>
              <w:rPr>
                <w:snapToGrid w:val="0"/>
                <w:sz w:val="19"/>
              </w:rPr>
            </w:pPr>
            <w:r>
              <w:rPr>
                <w:snapToGrid w:val="0"/>
                <w:sz w:val="19"/>
              </w:rPr>
              <w:t>9 of 2014</w:t>
            </w:r>
          </w:p>
        </w:tc>
        <w:tc>
          <w:tcPr>
            <w:tcW w:w="1135" w:type="dxa"/>
            <w:tcBorders>
              <w:top w:val="nil"/>
              <w:bottom w:val="single" w:sz="4" w:space="0" w:color="auto"/>
            </w:tcBorders>
          </w:tcPr>
          <w:p>
            <w:pPr>
              <w:pStyle w:val="nTable"/>
              <w:spacing w:after="40"/>
              <w:rPr>
                <w:snapToGrid w:val="0"/>
                <w:sz w:val="19"/>
              </w:rPr>
            </w:pPr>
            <w:r>
              <w:rPr>
                <w:snapToGrid w:val="0"/>
                <w:sz w:val="19"/>
              </w:rPr>
              <w:t>20 May 2014</w:t>
            </w:r>
          </w:p>
        </w:tc>
        <w:tc>
          <w:tcPr>
            <w:tcW w:w="2552" w:type="dxa"/>
            <w:tcBorders>
              <w:top w:val="nil"/>
              <w:bottom w:val="single" w:sz="4" w:space="0" w:color="auto"/>
            </w:tcBorders>
          </w:tcPr>
          <w:p>
            <w:pPr>
              <w:pStyle w:val="nTable"/>
              <w:spacing w:after="40"/>
              <w:rPr>
                <w:snapToGrid w:val="0"/>
                <w:sz w:val="19"/>
              </w:rPr>
            </w:pPr>
            <w:r>
              <w:rPr>
                <w:snapToGrid w:val="0"/>
                <w:sz w:val="19"/>
              </w:rPr>
              <w:t>To be proclaimed (see s. 2(1)(c))</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Ports Legislation </w:t>
      </w:r>
      <w:r>
        <w:rPr>
          <w:i/>
        </w:rPr>
        <w:t xml:space="preserve">Amendment </w:t>
      </w:r>
      <w:r>
        <w:rPr>
          <w:i/>
          <w:snapToGrid w:val="0"/>
        </w:rPr>
        <w:t>Act 2014</w:t>
      </w:r>
      <w:r>
        <w:rPr>
          <w:snapToGrid w:val="0"/>
        </w:rPr>
        <w:t xml:space="preserve"> s. 45(2) had not come into operation.  It reads as follows:</w:t>
      </w:r>
    </w:p>
    <w:p>
      <w:pPr>
        <w:pStyle w:val="BlankOpen"/>
        <w:rPr>
          <w:snapToGrid w:val="0"/>
        </w:rPr>
      </w:pPr>
    </w:p>
    <w:p>
      <w:pPr>
        <w:pStyle w:val="nzHeading5"/>
      </w:pPr>
      <w:r>
        <w:rPr>
          <w:rStyle w:val="CharSectno"/>
        </w:rPr>
        <w:t>45</w:t>
      </w:r>
      <w:r>
        <w:t>.</w:t>
      </w:r>
      <w:r>
        <w:tab/>
      </w:r>
      <w:r>
        <w:rPr>
          <w:i/>
          <w:iCs/>
        </w:rPr>
        <w:t>Statutory Corporations (Liability of Directors) Act 1996</w:t>
      </w:r>
      <w:r>
        <w:t> amended</w:t>
      </w:r>
    </w:p>
    <w:p>
      <w:pPr>
        <w:pStyle w:val="nzSubsection"/>
      </w:pPr>
      <w:r>
        <w:tab/>
        <w:t>(2)</w:t>
      </w:r>
      <w:r>
        <w:tab/>
        <w:t>In Schedule 1:</w:t>
      </w:r>
    </w:p>
    <w:p>
      <w:pPr>
        <w:pStyle w:val="nzIndenta"/>
      </w:pPr>
      <w:r>
        <w:tab/>
        <w:t>(a)</w:t>
      </w:r>
      <w:r>
        <w:tab/>
        <w:t xml:space="preserve">delete the items relating to Albany Port Authority, Bunbury Port Authority and </w:t>
      </w:r>
      <w:r>
        <w:rPr>
          <w:szCs w:val="24"/>
        </w:rPr>
        <w:t>Esperance Port Authority</w:t>
      </w:r>
      <w:r>
        <w:t>;</w:t>
      </w:r>
    </w:p>
    <w:p>
      <w:pPr>
        <w:pStyle w:val="nzIndenta"/>
      </w:pPr>
      <w:r>
        <w:tab/>
        <w:t>(b)</w:t>
      </w:r>
      <w:r>
        <w:tab/>
        <w:t>insert in alphabetical order:</w:t>
      </w:r>
    </w:p>
    <w:p>
      <w:pPr>
        <w:pStyle w:val="BlankOpen"/>
      </w:pPr>
    </w:p>
    <w:tbl>
      <w:tblPr>
        <w:tblW w:w="0" w:type="auto"/>
        <w:tblInd w:w="588" w:type="dxa"/>
        <w:tblLayout w:type="fixed"/>
        <w:tblLook w:val="0000" w:firstRow="0" w:lastRow="0" w:firstColumn="0" w:lastColumn="0" w:noHBand="0" w:noVBand="0"/>
      </w:tblPr>
      <w:tblGrid>
        <w:gridCol w:w="2224"/>
        <w:gridCol w:w="2245"/>
        <w:gridCol w:w="2246"/>
      </w:tblGrid>
      <w:tr>
        <w:trPr>
          <w:cantSplit/>
        </w:trPr>
        <w:tc>
          <w:tcPr>
            <w:tcW w:w="2224" w:type="dxa"/>
          </w:tcPr>
          <w:p>
            <w:pPr>
              <w:pStyle w:val="yTableNAm"/>
            </w:pPr>
            <w:r>
              <w:t>Southern Ports Authority</w:t>
            </w:r>
          </w:p>
        </w:tc>
        <w:tc>
          <w:tcPr>
            <w:tcW w:w="2245" w:type="dxa"/>
          </w:tcPr>
          <w:p>
            <w:pPr>
              <w:pStyle w:val="yTableNAm"/>
            </w:pPr>
            <w:r>
              <w:t>a director of the Authority</w:t>
            </w:r>
          </w:p>
        </w:tc>
        <w:tc>
          <w:tcPr>
            <w:tcW w:w="2246" w:type="dxa"/>
          </w:tcPr>
          <w:p>
            <w:pPr>
              <w:pStyle w:val="yTableNAm"/>
            </w:pPr>
            <w:r>
              <w:rPr>
                <w:i/>
              </w:rPr>
              <w:t>Port Authorities Act 1999</w:t>
            </w:r>
          </w:p>
        </w:tc>
      </w:tr>
    </w:tbl>
    <w:p>
      <w:pPr>
        <w:pStyle w:val="nSubsection"/>
        <w:keepNext/>
        <w:keepLines/>
      </w:pPr>
      <w:r>
        <w:rPr>
          <w:snapToGrid w:val="0"/>
        </w:rPr>
        <w:tab/>
      </w:r>
      <w:r>
        <w:t>The</w:t>
      </w:r>
      <w:r>
        <w:rPr>
          <w:snapToGrid w:val="0"/>
        </w:rPr>
        <w:t xml:space="preserve"> </w:t>
      </w:r>
      <w:r>
        <w:rPr>
          <w:i/>
          <w:snapToGrid w:val="0"/>
        </w:rPr>
        <w:t>Ports Legislation Amendment Act 2014</w:t>
      </w:r>
      <w:r>
        <w:rPr>
          <w:snapToGrid w:val="0"/>
        </w:rPr>
        <w:t xml:space="preserve"> s. 45(4)(b) is a duplication of s. 45(3)(b).</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37" w:name="_Toc391906354"/>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 w:name="DefinedTerms"/>
      <w:bookmarkEnd w:id="38"/>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915411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4440</Words>
  <Characters>20516</Characters>
  <Application>Microsoft Office Word</Application>
  <DocSecurity>0</DocSecurity>
  <Lines>854</Lines>
  <Paragraphs>542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1996 - 05-g0-02</dc:title>
  <dc:subject/>
  <dc:creator/>
  <cp:keywords/>
  <dc:description/>
  <cp:lastModifiedBy>svcMRProcess</cp:lastModifiedBy>
  <cp:revision>4</cp:revision>
  <cp:lastPrinted>2011-11-08T03:55:00Z</cp:lastPrinted>
  <dcterms:created xsi:type="dcterms:W3CDTF">2018-09-08T12:09:00Z</dcterms:created>
  <dcterms:modified xsi:type="dcterms:W3CDTF">2018-09-08T12:09:00Z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790</vt:i4>
  </property>
  <property fmtid="{D5CDD505-2E9C-101B-9397-08002B2CF9AE}" pid="6" name="AsAtDate">
    <vt:lpwstr>01 Jul 2014</vt:lpwstr>
  </property>
  <property fmtid="{D5CDD505-2E9C-101B-9397-08002B2CF9AE}" pid="7" name="Suffix">
    <vt:lpwstr>05-g0-02</vt:lpwstr>
  </property>
  <property fmtid="{D5CDD505-2E9C-101B-9397-08002B2CF9AE}" pid="8" name="ReprintNo">
    <vt:lpwstr>5</vt:lpwstr>
  </property>
  <property fmtid="{D5CDD505-2E9C-101B-9397-08002B2CF9AE}" pid="9" name="ReprintedAsAt">
    <vt:filetime>2011-11-03T16:00:00Z</vt:filetime>
  </property>
</Properties>
</file>