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Land Tax Act 2002</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Land Tax Act 2002</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_Toc419816127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_Toc419816128 \h </w:instrText>
      </w:r>
      <w:r>
        <w:fldChar w:fldCharType="separate"/>
      </w:r>
      <w:r>
        <w:t>1</w:t>
      </w:r>
      <w:r>
        <w:fldChar w:fldCharType="end"/>
      </w:r>
    </w:p>
    <w:p>
      <w:pPr>
        <w:pStyle w:val="TOC8"/>
        <w:rPr>
          <w:rFonts w:asciiTheme="minorHAnsi" w:eastAsiaTheme="minorEastAsia" w:hAnsiTheme="minorHAnsi" w:cstheme="minorBidi"/>
          <w:szCs w:val="22"/>
        </w:rPr>
      </w:pPr>
      <w:r>
        <w:t>3.</w:t>
      </w:r>
      <w:r>
        <w:tab/>
        <w:t>Relationship with other Acts</w:t>
      </w:r>
      <w:r>
        <w:tab/>
      </w:r>
      <w:r>
        <w:fldChar w:fldCharType="begin"/>
      </w:r>
      <w:r>
        <w:instrText xml:space="preserve"> PAGEREF _Toc419816129 \h </w:instrText>
      </w:r>
      <w:r>
        <w:fldChar w:fldCharType="separate"/>
      </w:r>
      <w:r>
        <w:t>1</w:t>
      </w:r>
      <w:r>
        <w:fldChar w:fldCharType="end"/>
      </w:r>
    </w:p>
    <w:p>
      <w:pPr>
        <w:pStyle w:val="TOC8"/>
        <w:rPr>
          <w:rFonts w:asciiTheme="minorHAnsi" w:eastAsiaTheme="minorEastAsia" w:hAnsiTheme="minorHAnsi" w:cstheme="minorBidi"/>
          <w:szCs w:val="22"/>
        </w:rPr>
      </w:pPr>
      <w:r>
        <w:t>4.</w:t>
      </w:r>
      <w:r>
        <w:tab/>
        <w:t>Meaning of terms</w:t>
      </w:r>
      <w:r>
        <w:tab/>
      </w:r>
      <w:r>
        <w:fldChar w:fldCharType="begin"/>
      </w:r>
      <w:r>
        <w:instrText xml:space="preserve"> PAGEREF _Toc419816130 \h </w:instrText>
      </w:r>
      <w:r>
        <w:fldChar w:fldCharType="separate"/>
      </w:r>
      <w:r>
        <w:t>1</w:t>
      </w:r>
      <w:r>
        <w:fldChar w:fldCharType="end"/>
      </w:r>
    </w:p>
    <w:p>
      <w:pPr>
        <w:pStyle w:val="TOC8"/>
        <w:rPr>
          <w:rFonts w:asciiTheme="minorHAnsi" w:eastAsiaTheme="minorEastAsia" w:hAnsiTheme="minorHAnsi" w:cstheme="minorBidi"/>
          <w:szCs w:val="22"/>
        </w:rPr>
      </w:pPr>
      <w:r>
        <w:t>5.</w:t>
      </w:r>
      <w:r>
        <w:tab/>
        <w:t>Imposition of land tax</w:t>
      </w:r>
      <w:r>
        <w:tab/>
      </w:r>
      <w:r>
        <w:fldChar w:fldCharType="begin"/>
      </w:r>
      <w:r>
        <w:instrText xml:space="preserve"> PAGEREF _Toc419816131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_Toc419816133 \h </w:instrText>
      </w:r>
      <w:r>
        <w:fldChar w:fldCharType="separate"/>
      </w:r>
      <w:r>
        <w:t>4</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uppressLineNumbers/>
        <w:spacing w:before="120" w:after="480"/>
      </w:pPr>
      <w:r>
        <w:lastRenderedPageBreak/>
        <w:t>Western Australia</w:t>
      </w:r>
    </w:p>
    <w:p>
      <w:pPr>
        <w:pStyle w:val="NameofActReg"/>
        <w:suppressLineNumbers/>
        <w:spacing w:before="960"/>
      </w:pPr>
      <w:r>
        <w:t>Land Tax Act 2002</w:t>
      </w:r>
    </w:p>
    <w:p>
      <w:pPr>
        <w:pStyle w:val="LongTitle"/>
        <w:suppressLineNumbers/>
      </w:pPr>
      <w:r>
        <w:rPr>
          <w:snapToGrid w:val="0"/>
        </w:rPr>
        <w:t>An Act to impose land tax</w:t>
      </w:r>
      <w:r>
        <w:t>.</w:t>
      </w:r>
    </w:p>
    <w:p>
      <w:pPr>
        <w:pStyle w:val="Heading5"/>
        <w:spacing w:before="520"/>
        <w:rPr>
          <w:snapToGrid w:val="0"/>
        </w:rPr>
      </w:pPr>
      <w:bookmarkStart w:id="3" w:name="_Toc392162505"/>
      <w:bookmarkStart w:id="4" w:name="_Toc419816127"/>
      <w:r>
        <w:rPr>
          <w:rStyle w:val="CharSectno"/>
        </w:rPr>
        <w:t>1</w:t>
      </w:r>
      <w:r>
        <w:rPr>
          <w:snapToGrid w:val="0"/>
        </w:rPr>
        <w:t>.</w:t>
      </w:r>
      <w:r>
        <w:rPr>
          <w:snapToGrid w:val="0"/>
        </w:rPr>
        <w:tab/>
        <w:t>Short title</w:t>
      </w:r>
      <w:bookmarkEnd w:id="3"/>
      <w:bookmarkEnd w:id="4"/>
    </w:p>
    <w:p>
      <w:pPr>
        <w:pStyle w:val="Subsection"/>
        <w:rPr>
          <w:snapToGrid w:val="0"/>
        </w:rPr>
      </w:pPr>
      <w:r>
        <w:rPr>
          <w:snapToGrid w:val="0"/>
        </w:rPr>
        <w:tab/>
      </w:r>
      <w:r>
        <w:rPr>
          <w:snapToGrid w:val="0"/>
        </w:rPr>
        <w:tab/>
        <w:t>This Act may be cited as the</w:t>
      </w:r>
      <w:r>
        <w:rPr>
          <w:i/>
          <w:snapToGrid w:val="0"/>
        </w:rPr>
        <w:t xml:space="preserve"> Land Tax Act 2002</w:t>
      </w:r>
      <w:r>
        <w:rPr>
          <w:snapToGrid w:val="0"/>
          <w:vertAlign w:val="superscript"/>
        </w:rPr>
        <w:t> 1</w:t>
      </w:r>
      <w:r>
        <w:rPr>
          <w:snapToGrid w:val="0"/>
        </w:rPr>
        <w:t>.</w:t>
      </w:r>
    </w:p>
    <w:p>
      <w:pPr>
        <w:pStyle w:val="Heading5"/>
        <w:rPr>
          <w:snapToGrid w:val="0"/>
        </w:rPr>
      </w:pPr>
      <w:bookmarkStart w:id="5" w:name="_Toc392162506"/>
      <w:bookmarkStart w:id="6" w:name="_Toc419816128"/>
      <w:r>
        <w:rPr>
          <w:rStyle w:val="CharSectno"/>
        </w:rPr>
        <w:t>2</w:t>
      </w:r>
      <w:r>
        <w:rPr>
          <w:snapToGrid w:val="0"/>
        </w:rPr>
        <w:t>.</w:t>
      </w:r>
      <w:r>
        <w:rPr>
          <w:snapToGrid w:val="0"/>
        </w:rPr>
        <w:tab/>
        <w:t>Commencement</w:t>
      </w:r>
      <w:bookmarkEnd w:id="5"/>
      <w:bookmarkEnd w:id="6"/>
    </w:p>
    <w:p>
      <w:pPr>
        <w:pStyle w:val="Subsection"/>
      </w:pPr>
      <w:r>
        <w:tab/>
      </w:r>
      <w:r>
        <w:tab/>
        <w:t xml:space="preserve">This Act comes into operation on the day on which the </w:t>
      </w:r>
      <w:r>
        <w:rPr>
          <w:i/>
        </w:rPr>
        <w:t>Taxation Administration Act 2003</w:t>
      </w:r>
      <w:r>
        <w:t xml:space="preserve"> comes into operation</w:t>
      </w:r>
      <w:r>
        <w:rPr>
          <w:vertAlign w:val="superscript"/>
        </w:rPr>
        <w:t> 1</w:t>
      </w:r>
      <w:r>
        <w:t>.</w:t>
      </w:r>
    </w:p>
    <w:p>
      <w:pPr>
        <w:pStyle w:val="Heading5"/>
      </w:pPr>
      <w:bookmarkStart w:id="7" w:name="_Toc392162507"/>
      <w:bookmarkStart w:id="8" w:name="_Toc419816129"/>
      <w:r>
        <w:rPr>
          <w:rStyle w:val="CharSectno"/>
        </w:rPr>
        <w:t>3</w:t>
      </w:r>
      <w:r>
        <w:t>.</w:t>
      </w:r>
      <w:r>
        <w:tab/>
        <w:t>Relationship with other Acts</w:t>
      </w:r>
      <w:bookmarkEnd w:id="7"/>
      <w:bookmarkEnd w:id="8"/>
    </w:p>
    <w:p>
      <w:pPr>
        <w:pStyle w:val="Subsection"/>
      </w:pPr>
      <w:r>
        <w:tab/>
      </w:r>
      <w:r>
        <w:tab/>
        <w:t xml:space="preserve">The </w:t>
      </w:r>
      <w:r>
        <w:rPr>
          <w:i/>
        </w:rPr>
        <w:t>Land Tax Assessment Act 2002</w:t>
      </w:r>
      <w:r>
        <w:t xml:space="preserve"> and the </w:t>
      </w:r>
      <w:r>
        <w:rPr>
          <w:i/>
        </w:rPr>
        <w:t>Taxation Administration Act 2003</w:t>
      </w:r>
      <w:r>
        <w:t xml:space="preserve"> are to be read with this Act as if they formed a single Act.</w:t>
      </w:r>
    </w:p>
    <w:p>
      <w:pPr>
        <w:pStyle w:val="Heading5"/>
      </w:pPr>
      <w:bookmarkStart w:id="9" w:name="_Toc392162508"/>
      <w:bookmarkStart w:id="10" w:name="_Toc419816130"/>
      <w:r>
        <w:rPr>
          <w:rStyle w:val="CharSectno"/>
        </w:rPr>
        <w:t>4.</w:t>
      </w:r>
      <w:r>
        <w:tab/>
        <w:t>Meaning of terms</w:t>
      </w:r>
      <w:bookmarkEnd w:id="9"/>
      <w:bookmarkEnd w:id="10"/>
    </w:p>
    <w:p>
      <w:pPr>
        <w:pStyle w:val="Subsection"/>
      </w:pPr>
      <w:r>
        <w:tab/>
      </w:r>
      <w:r>
        <w:tab/>
        <w:t xml:space="preserve">The Glossaries at the end of the </w:t>
      </w:r>
      <w:r>
        <w:rPr>
          <w:i/>
        </w:rPr>
        <w:t>Taxation Administration Act 2003</w:t>
      </w:r>
      <w:r>
        <w:t xml:space="preserve"> and the </w:t>
      </w:r>
      <w:r>
        <w:rPr>
          <w:i/>
        </w:rPr>
        <w:t>Land Tax Assessment Act 2002</w:t>
      </w:r>
      <w:r>
        <w:t xml:space="preserve"> define or affect the meaning of some of the words and expressions used in this Act and also affect the operation of other provisions.</w:t>
      </w:r>
    </w:p>
    <w:p>
      <w:pPr>
        <w:pStyle w:val="Heading5"/>
      </w:pPr>
      <w:bookmarkStart w:id="11" w:name="_Toc392162509"/>
      <w:bookmarkStart w:id="12" w:name="_Toc419816131"/>
      <w:r>
        <w:rPr>
          <w:rStyle w:val="CharSectno"/>
        </w:rPr>
        <w:lastRenderedPageBreak/>
        <w:t>5</w:t>
      </w:r>
      <w:r>
        <w:t>.</w:t>
      </w:r>
      <w:r>
        <w:tab/>
        <w:t>Imposition of land tax</w:t>
      </w:r>
      <w:bookmarkEnd w:id="11"/>
      <w:bookmarkEnd w:id="12"/>
    </w:p>
    <w:p>
      <w:pPr>
        <w:pStyle w:val="Subsection"/>
        <w:keepNext/>
      </w:pPr>
      <w:r>
        <w:tab/>
      </w:r>
      <w:r>
        <w:tab/>
        <w:t>Land tax is imposed at the rates shown in the table to this section for the relevant financial year according to the value of the land referred to in the table.</w:t>
      </w:r>
    </w:p>
    <w:p>
      <w:pPr>
        <w:pStyle w:val="THeadingNAm"/>
      </w:pPr>
      <w:r>
        <w:t>Table 1: Land tax rates for 2002/03</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9"/>
        <w:gridCol w:w="1370"/>
        <w:gridCol w:w="1531"/>
        <w:gridCol w:w="29"/>
        <w:gridCol w:w="3284"/>
        <w:gridCol w:w="29"/>
      </w:tblGrid>
      <w:tr>
        <w:trPr>
          <w:gridAfter w:val="1"/>
          <w:wAfter w:w="29" w:type="dxa"/>
          <w:cantSplit/>
          <w:trHeight w:val="240"/>
          <w:tblHeader/>
          <w:jc w:val="right"/>
        </w:trPr>
        <w:tc>
          <w:tcPr>
            <w:tcW w:w="2930" w:type="dxa"/>
            <w:gridSpan w:val="3"/>
            <w:tcBorders>
              <w:top w:val="single" w:sz="4" w:space="0" w:color="auto"/>
              <w:left w:val="nil"/>
              <w:bottom w:val="nil"/>
              <w:right w:val="nil"/>
            </w:tcBorders>
          </w:tcPr>
          <w:p>
            <w:pPr>
              <w:pStyle w:val="TableNAm"/>
              <w:keepNext/>
              <w:spacing w:before="60"/>
              <w:jc w:val="center"/>
              <w:rPr>
                <w:b/>
                <w:bCs/>
              </w:rPr>
            </w:pPr>
            <w:r>
              <w:rPr>
                <w:b/>
                <w:bCs/>
              </w:rPr>
              <w:t xml:space="preserve">Unimproved value </w:t>
            </w:r>
            <w:r>
              <w:rPr>
                <w:b/>
                <w:bCs/>
              </w:rPr>
              <w:br/>
              <w:t>of the land</w:t>
            </w:r>
          </w:p>
        </w:tc>
        <w:tc>
          <w:tcPr>
            <w:tcW w:w="3313" w:type="dxa"/>
            <w:gridSpan w:val="2"/>
            <w:tcBorders>
              <w:top w:val="single" w:sz="4" w:space="0" w:color="auto"/>
              <w:left w:val="nil"/>
              <w:bottom w:val="nil"/>
              <w:right w:val="nil"/>
            </w:tcBorders>
          </w:tcPr>
          <w:p>
            <w:pPr>
              <w:pStyle w:val="TableNAm"/>
              <w:keepNext/>
              <w:spacing w:before="60"/>
            </w:pPr>
          </w:p>
        </w:tc>
      </w:tr>
      <w:tr>
        <w:trPr>
          <w:gridBefore w:val="1"/>
          <w:wBefore w:w="29" w:type="dxa"/>
          <w:cantSplit/>
          <w:trHeight w:val="240"/>
          <w:tblHeader/>
          <w:jc w:val="right"/>
        </w:trPr>
        <w:tc>
          <w:tcPr>
            <w:tcW w:w="1370" w:type="dxa"/>
            <w:tcBorders>
              <w:top w:val="single" w:sz="4" w:space="0" w:color="auto"/>
              <w:left w:val="nil"/>
              <w:bottom w:val="single" w:sz="4" w:space="0" w:color="auto"/>
              <w:right w:val="nil"/>
            </w:tcBorders>
          </w:tcPr>
          <w:p>
            <w:pPr>
              <w:pStyle w:val="TableNAm"/>
              <w:keepNext/>
              <w:spacing w:before="60"/>
              <w:jc w:val="center"/>
              <w:rPr>
                <w:b/>
                <w:bCs/>
              </w:rPr>
            </w:pPr>
            <w:r>
              <w:rPr>
                <w:b/>
                <w:bCs/>
              </w:rPr>
              <w:t>Exceeding</w:t>
            </w:r>
            <w:r>
              <w:rPr>
                <w:b/>
                <w:bCs/>
              </w:rPr>
              <w:br/>
              <w:t>($)</w:t>
            </w:r>
          </w:p>
        </w:tc>
        <w:tc>
          <w:tcPr>
            <w:tcW w:w="1560" w:type="dxa"/>
            <w:gridSpan w:val="2"/>
            <w:tcBorders>
              <w:top w:val="single" w:sz="4" w:space="0" w:color="auto"/>
              <w:left w:val="nil"/>
              <w:bottom w:val="single" w:sz="4" w:space="0" w:color="auto"/>
              <w:right w:val="nil"/>
            </w:tcBorders>
          </w:tcPr>
          <w:p>
            <w:pPr>
              <w:pStyle w:val="TableNAm"/>
              <w:keepNext/>
              <w:spacing w:before="60"/>
              <w:jc w:val="center"/>
              <w:rPr>
                <w:b/>
                <w:bCs/>
              </w:rPr>
            </w:pPr>
            <w:r>
              <w:rPr>
                <w:b/>
                <w:bCs/>
              </w:rPr>
              <w:t>Not exceeding</w:t>
            </w:r>
            <w:r>
              <w:rPr>
                <w:b/>
                <w:bCs/>
              </w:rPr>
              <w:br/>
              <w:t>($)</w:t>
            </w:r>
          </w:p>
        </w:tc>
        <w:tc>
          <w:tcPr>
            <w:tcW w:w="3313" w:type="dxa"/>
            <w:gridSpan w:val="2"/>
            <w:tcBorders>
              <w:top w:val="nil"/>
              <w:left w:val="nil"/>
              <w:bottom w:val="single" w:sz="4" w:space="0" w:color="auto"/>
              <w:right w:val="nil"/>
            </w:tcBorders>
          </w:tcPr>
          <w:p>
            <w:pPr>
              <w:pStyle w:val="TableNAm"/>
              <w:keepNext/>
              <w:spacing w:before="60"/>
              <w:jc w:val="center"/>
              <w:rPr>
                <w:b/>
                <w:bCs/>
              </w:rPr>
            </w:pPr>
            <w:r>
              <w:rPr>
                <w:b/>
                <w:bCs/>
              </w:rPr>
              <w:t>Rate of land tax</w:t>
            </w:r>
          </w:p>
        </w:tc>
      </w:tr>
      <w:tr>
        <w:trPr>
          <w:gridBefore w:val="1"/>
          <w:wBefore w:w="29" w:type="dxa"/>
          <w:cantSplit/>
          <w:trHeight w:val="240"/>
          <w:jc w:val="right"/>
        </w:trPr>
        <w:tc>
          <w:tcPr>
            <w:tcW w:w="1370" w:type="dxa"/>
            <w:tcBorders>
              <w:top w:val="nil"/>
              <w:left w:val="nil"/>
              <w:bottom w:val="nil"/>
              <w:right w:val="nil"/>
            </w:tcBorders>
          </w:tcPr>
          <w:p>
            <w:pPr>
              <w:pStyle w:val="TableNAm"/>
              <w:keepNext/>
              <w:spacing w:before="60"/>
            </w:pPr>
            <w:r>
              <w:t>0</w:t>
            </w:r>
          </w:p>
        </w:tc>
        <w:tc>
          <w:tcPr>
            <w:tcW w:w="1560" w:type="dxa"/>
            <w:gridSpan w:val="2"/>
            <w:tcBorders>
              <w:top w:val="nil"/>
              <w:left w:val="nil"/>
              <w:bottom w:val="nil"/>
              <w:right w:val="nil"/>
            </w:tcBorders>
          </w:tcPr>
          <w:p>
            <w:pPr>
              <w:pStyle w:val="TableNAm"/>
              <w:keepNext/>
              <w:spacing w:before="60"/>
            </w:pPr>
            <w:r>
              <w:t>50 000</w:t>
            </w:r>
          </w:p>
        </w:tc>
        <w:tc>
          <w:tcPr>
            <w:tcW w:w="3313" w:type="dxa"/>
            <w:gridSpan w:val="2"/>
            <w:tcBorders>
              <w:top w:val="nil"/>
              <w:left w:val="nil"/>
              <w:bottom w:val="nil"/>
              <w:right w:val="nil"/>
            </w:tcBorders>
          </w:tcPr>
          <w:p>
            <w:pPr>
              <w:pStyle w:val="TableNAm"/>
              <w:keepNext/>
              <w:spacing w:before="60"/>
            </w:pPr>
            <w:r>
              <w:t>Nil</w:t>
            </w:r>
          </w:p>
        </w:tc>
      </w:tr>
      <w:tr>
        <w:trPr>
          <w:gridBefore w:val="1"/>
          <w:wBefore w:w="29" w:type="dxa"/>
          <w:cantSplit/>
          <w:trHeight w:val="240"/>
          <w:jc w:val="right"/>
        </w:trPr>
        <w:tc>
          <w:tcPr>
            <w:tcW w:w="1370" w:type="dxa"/>
            <w:tcBorders>
              <w:top w:val="nil"/>
              <w:left w:val="nil"/>
              <w:bottom w:val="nil"/>
              <w:right w:val="nil"/>
            </w:tcBorders>
          </w:tcPr>
          <w:p>
            <w:pPr>
              <w:pStyle w:val="TableNAm"/>
              <w:keepNext/>
              <w:spacing w:before="60"/>
            </w:pPr>
            <w:r>
              <w:t>50 000</w:t>
            </w:r>
          </w:p>
        </w:tc>
        <w:tc>
          <w:tcPr>
            <w:tcW w:w="1560" w:type="dxa"/>
            <w:gridSpan w:val="2"/>
            <w:tcBorders>
              <w:top w:val="nil"/>
              <w:left w:val="nil"/>
              <w:bottom w:val="nil"/>
              <w:right w:val="nil"/>
            </w:tcBorders>
          </w:tcPr>
          <w:p>
            <w:pPr>
              <w:pStyle w:val="TableNAm"/>
              <w:keepNext/>
              <w:spacing w:before="60"/>
            </w:pPr>
            <w:r>
              <w:t>100 000</w:t>
            </w:r>
          </w:p>
        </w:tc>
        <w:tc>
          <w:tcPr>
            <w:tcW w:w="3313" w:type="dxa"/>
            <w:gridSpan w:val="2"/>
            <w:tcBorders>
              <w:top w:val="nil"/>
              <w:left w:val="nil"/>
              <w:bottom w:val="nil"/>
              <w:right w:val="nil"/>
            </w:tcBorders>
          </w:tcPr>
          <w:p>
            <w:pPr>
              <w:pStyle w:val="TableNAm"/>
              <w:keepNext/>
              <w:spacing w:before="60"/>
            </w:pPr>
            <w:r>
              <w:t>$75.00 + 0.15 cent for each $1 in excess of $50 000</w:t>
            </w:r>
          </w:p>
        </w:tc>
      </w:tr>
      <w:tr>
        <w:trPr>
          <w:gridBefore w:val="1"/>
          <w:wBefore w:w="29" w:type="dxa"/>
          <w:cantSplit/>
          <w:trHeight w:val="240"/>
          <w:jc w:val="right"/>
        </w:trPr>
        <w:tc>
          <w:tcPr>
            <w:tcW w:w="1370" w:type="dxa"/>
            <w:tcBorders>
              <w:top w:val="nil"/>
              <w:left w:val="nil"/>
              <w:bottom w:val="nil"/>
              <w:right w:val="nil"/>
            </w:tcBorders>
          </w:tcPr>
          <w:p>
            <w:pPr>
              <w:pStyle w:val="TableNAm"/>
              <w:spacing w:before="60"/>
            </w:pPr>
            <w:r>
              <w:t>100 000</w:t>
            </w:r>
          </w:p>
        </w:tc>
        <w:tc>
          <w:tcPr>
            <w:tcW w:w="1560" w:type="dxa"/>
            <w:gridSpan w:val="2"/>
            <w:tcBorders>
              <w:top w:val="nil"/>
              <w:left w:val="nil"/>
              <w:bottom w:val="nil"/>
              <w:right w:val="nil"/>
            </w:tcBorders>
          </w:tcPr>
          <w:p>
            <w:pPr>
              <w:pStyle w:val="TableNAm"/>
              <w:spacing w:before="60"/>
            </w:pPr>
            <w:r>
              <w:t>190 000</w:t>
            </w:r>
          </w:p>
        </w:tc>
        <w:tc>
          <w:tcPr>
            <w:tcW w:w="3313" w:type="dxa"/>
            <w:gridSpan w:val="2"/>
            <w:tcBorders>
              <w:top w:val="nil"/>
              <w:left w:val="nil"/>
              <w:bottom w:val="nil"/>
              <w:right w:val="nil"/>
            </w:tcBorders>
          </w:tcPr>
          <w:p>
            <w:pPr>
              <w:pStyle w:val="TableNAm"/>
              <w:spacing w:before="60"/>
            </w:pPr>
            <w:r>
              <w:t>$150.00 + 0.25 cent for each $1 in excess of $100 000</w:t>
            </w:r>
          </w:p>
        </w:tc>
      </w:tr>
      <w:tr>
        <w:trPr>
          <w:gridBefore w:val="1"/>
          <w:wBefore w:w="29" w:type="dxa"/>
          <w:cantSplit/>
          <w:trHeight w:val="240"/>
          <w:jc w:val="right"/>
        </w:trPr>
        <w:tc>
          <w:tcPr>
            <w:tcW w:w="1370" w:type="dxa"/>
            <w:tcBorders>
              <w:top w:val="nil"/>
              <w:left w:val="nil"/>
              <w:bottom w:val="nil"/>
              <w:right w:val="nil"/>
            </w:tcBorders>
          </w:tcPr>
          <w:p>
            <w:pPr>
              <w:pStyle w:val="TableNAm"/>
              <w:spacing w:before="60"/>
            </w:pPr>
            <w:r>
              <w:t>190 000</w:t>
            </w:r>
          </w:p>
        </w:tc>
        <w:tc>
          <w:tcPr>
            <w:tcW w:w="1560" w:type="dxa"/>
            <w:gridSpan w:val="2"/>
            <w:tcBorders>
              <w:top w:val="nil"/>
              <w:left w:val="nil"/>
              <w:bottom w:val="nil"/>
              <w:right w:val="nil"/>
            </w:tcBorders>
          </w:tcPr>
          <w:p>
            <w:pPr>
              <w:pStyle w:val="TableNAm"/>
              <w:spacing w:before="60"/>
            </w:pPr>
            <w:r>
              <w:t>325 000</w:t>
            </w:r>
          </w:p>
        </w:tc>
        <w:tc>
          <w:tcPr>
            <w:tcW w:w="3313" w:type="dxa"/>
            <w:gridSpan w:val="2"/>
            <w:tcBorders>
              <w:top w:val="nil"/>
              <w:left w:val="nil"/>
              <w:bottom w:val="nil"/>
              <w:right w:val="nil"/>
            </w:tcBorders>
          </w:tcPr>
          <w:p>
            <w:pPr>
              <w:pStyle w:val="TableNAm"/>
              <w:spacing w:before="60"/>
            </w:pPr>
            <w:r>
              <w:t>$375.00 + 0.45 cent for each $1 in excess of $190 000</w:t>
            </w:r>
          </w:p>
        </w:tc>
      </w:tr>
      <w:tr>
        <w:trPr>
          <w:gridBefore w:val="1"/>
          <w:wBefore w:w="29" w:type="dxa"/>
          <w:cantSplit/>
          <w:trHeight w:val="240"/>
          <w:jc w:val="right"/>
        </w:trPr>
        <w:tc>
          <w:tcPr>
            <w:tcW w:w="1370" w:type="dxa"/>
            <w:tcBorders>
              <w:top w:val="nil"/>
              <w:left w:val="nil"/>
              <w:bottom w:val="nil"/>
              <w:right w:val="nil"/>
            </w:tcBorders>
          </w:tcPr>
          <w:p>
            <w:pPr>
              <w:pStyle w:val="TableNAm"/>
              <w:spacing w:before="60"/>
            </w:pPr>
            <w:r>
              <w:t>325 000</w:t>
            </w:r>
          </w:p>
        </w:tc>
        <w:tc>
          <w:tcPr>
            <w:tcW w:w="1560" w:type="dxa"/>
            <w:gridSpan w:val="2"/>
            <w:tcBorders>
              <w:top w:val="nil"/>
              <w:left w:val="nil"/>
              <w:bottom w:val="nil"/>
              <w:right w:val="nil"/>
            </w:tcBorders>
          </w:tcPr>
          <w:p>
            <w:pPr>
              <w:pStyle w:val="TableNAm"/>
              <w:spacing w:before="60"/>
            </w:pPr>
            <w:r>
              <w:t>550 000</w:t>
            </w:r>
          </w:p>
        </w:tc>
        <w:tc>
          <w:tcPr>
            <w:tcW w:w="3313" w:type="dxa"/>
            <w:gridSpan w:val="2"/>
            <w:tcBorders>
              <w:top w:val="nil"/>
              <w:left w:val="nil"/>
              <w:bottom w:val="nil"/>
              <w:right w:val="nil"/>
            </w:tcBorders>
          </w:tcPr>
          <w:p>
            <w:pPr>
              <w:pStyle w:val="TableNAm"/>
              <w:spacing w:before="60"/>
            </w:pPr>
            <w:r>
              <w:t>$982.50 + 0.80 cent for each $1 in excess of $325 000</w:t>
            </w:r>
          </w:p>
        </w:tc>
      </w:tr>
      <w:tr>
        <w:trPr>
          <w:gridBefore w:val="1"/>
          <w:wBefore w:w="29" w:type="dxa"/>
          <w:cantSplit/>
          <w:trHeight w:val="240"/>
          <w:jc w:val="right"/>
        </w:trPr>
        <w:tc>
          <w:tcPr>
            <w:tcW w:w="1370" w:type="dxa"/>
            <w:tcBorders>
              <w:top w:val="nil"/>
              <w:left w:val="nil"/>
              <w:bottom w:val="nil"/>
              <w:right w:val="nil"/>
            </w:tcBorders>
          </w:tcPr>
          <w:p>
            <w:pPr>
              <w:pStyle w:val="TableNAm"/>
              <w:spacing w:before="60"/>
            </w:pPr>
            <w:r>
              <w:t>550 000</w:t>
            </w:r>
          </w:p>
        </w:tc>
        <w:tc>
          <w:tcPr>
            <w:tcW w:w="1560" w:type="dxa"/>
            <w:gridSpan w:val="2"/>
            <w:tcBorders>
              <w:top w:val="nil"/>
              <w:left w:val="nil"/>
              <w:bottom w:val="nil"/>
              <w:right w:val="nil"/>
            </w:tcBorders>
          </w:tcPr>
          <w:p>
            <w:pPr>
              <w:pStyle w:val="TableNAm"/>
              <w:spacing w:before="60"/>
            </w:pPr>
            <w:r>
              <w:t>850 000</w:t>
            </w:r>
          </w:p>
        </w:tc>
        <w:tc>
          <w:tcPr>
            <w:tcW w:w="3313" w:type="dxa"/>
            <w:gridSpan w:val="2"/>
            <w:tcBorders>
              <w:top w:val="nil"/>
              <w:left w:val="nil"/>
              <w:bottom w:val="nil"/>
              <w:right w:val="nil"/>
            </w:tcBorders>
          </w:tcPr>
          <w:p>
            <w:pPr>
              <w:pStyle w:val="TableNAm"/>
              <w:spacing w:before="60"/>
            </w:pPr>
            <w:r>
              <w:t>$2 782.50 + 1.20 cents for each $1 in excess of $550 000</w:t>
            </w:r>
          </w:p>
        </w:tc>
      </w:tr>
      <w:tr>
        <w:trPr>
          <w:gridBefore w:val="1"/>
          <w:wBefore w:w="29" w:type="dxa"/>
          <w:cantSplit/>
          <w:trHeight w:val="240"/>
          <w:jc w:val="right"/>
        </w:trPr>
        <w:tc>
          <w:tcPr>
            <w:tcW w:w="1370" w:type="dxa"/>
            <w:tcBorders>
              <w:top w:val="nil"/>
              <w:left w:val="nil"/>
              <w:bottom w:val="nil"/>
              <w:right w:val="nil"/>
            </w:tcBorders>
          </w:tcPr>
          <w:p>
            <w:pPr>
              <w:pStyle w:val="TableNAm"/>
              <w:spacing w:before="60"/>
            </w:pPr>
            <w:r>
              <w:t>850 000</w:t>
            </w:r>
          </w:p>
        </w:tc>
        <w:tc>
          <w:tcPr>
            <w:tcW w:w="1560" w:type="dxa"/>
            <w:gridSpan w:val="2"/>
            <w:tcBorders>
              <w:top w:val="nil"/>
              <w:left w:val="nil"/>
              <w:bottom w:val="nil"/>
              <w:right w:val="nil"/>
            </w:tcBorders>
          </w:tcPr>
          <w:p>
            <w:pPr>
              <w:pStyle w:val="TableNAm"/>
              <w:spacing w:before="60"/>
            </w:pPr>
            <w:r>
              <w:t>1 250 000</w:t>
            </w:r>
          </w:p>
        </w:tc>
        <w:tc>
          <w:tcPr>
            <w:tcW w:w="3313" w:type="dxa"/>
            <w:gridSpan w:val="2"/>
            <w:tcBorders>
              <w:top w:val="nil"/>
              <w:left w:val="nil"/>
              <w:bottom w:val="nil"/>
              <w:right w:val="nil"/>
            </w:tcBorders>
          </w:tcPr>
          <w:p>
            <w:pPr>
              <w:pStyle w:val="TableNAm"/>
              <w:spacing w:before="60"/>
            </w:pPr>
            <w:r>
              <w:t>$6 382.50 + 1.60 cents for each $1 in excess of $850 000</w:t>
            </w:r>
          </w:p>
        </w:tc>
      </w:tr>
      <w:tr>
        <w:trPr>
          <w:gridBefore w:val="1"/>
          <w:wBefore w:w="29" w:type="dxa"/>
          <w:cantSplit/>
          <w:trHeight w:val="240"/>
          <w:jc w:val="right"/>
        </w:trPr>
        <w:tc>
          <w:tcPr>
            <w:tcW w:w="1370" w:type="dxa"/>
            <w:tcBorders>
              <w:top w:val="nil"/>
              <w:left w:val="nil"/>
              <w:bottom w:val="nil"/>
              <w:right w:val="nil"/>
            </w:tcBorders>
          </w:tcPr>
          <w:p>
            <w:pPr>
              <w:pStyle w:val="TableNAm"/>
              <w:spacing w:before="60"/>
            </w:pPr>
            <w:r>
              <w:t>1 250 000</w:t>
            </w:r>
          </w:p>
        </w:tc>
        <w:tc>
          <w:tcPr>
            <w:tcW w:w="1560" w:type="dxa"/>
            <w:gridSpan w:val="2"/>
            <w:tcBorders>
              <w:top w:val="nil"/>
              <w:left w:val="nil"/>
              <w:bottom w:val="nil"/>
              <w:right w:val="nil"/>
            </w:tcBorders>
          </w:tcPr>
          <w:p>
            <w:pPr>
              <w:pStyle w:val="TableNAm"/>
              <w:spacing w:before="60"/>
            </w:pPr>
            <w:r>
              <w:t>2 000 000</w:t>
            </w:r>
          </w:p>
        </w:tc>
        <w:tc>
          <w:tcPr>
            <w:tcW w:w="3313" w:type="dxa"/>
            <w:gridSpan w:val="2"/>
            <w:tcBorders>
              <w:top w:val="nil"/>
              <w:left w:val="nil"/>
              <w:bottom w:val="nil"/>
              <w:right w:val="nil"/>
            </w:tcBorders>
          </w:tcPr>
          <w:p>
            <w:pPr>
              <w:pStyle w:val="TableNAm"/>
              <w:spacing w:before="60"/>
            </w:pPr>
            <w:r>
              <w:t>$12 782.50 + 2.00 cents for each $1 in excess of $1 250 000</w:t>
            </w:r>
          </w:p>
        </w:tc>
      </w:tr>
      <w:tr>
        <w:trPr>
          <w:gridBefore w:val="1"/>
          <w:wBefore w:w="29" w:type="dxa"/>
          <w:cantSplit/>
          <w:trHeight w:val="240"/>
          <w:jc w:val="right"/>
        </w:trPr>
        <w:tc>
          <w:tcPr>
            <w:tcW w:w="1370" w:type="dxa"/>
            <w:tcBorders>
              <w:top w:val="nil"/>
              <w:left w:val="nil"/>
              <w:bottom w:val="nil"/>
              <w:right w:val="nil"/>
            </w:tcBorders>
          </w:tcPr>
          <w:p>
            <w:pPr>
              <w:pStyle w:val="TableNAm"/>
              <w:spacing w:before="60"/>
            </w:pPr>
            <w:r>
              <w:t>2 000 000</w:t>
            </w:r>
          </w:p>
        </w:tc>
        <w:tc>
          <w:tcPr>
            <w:tcW w:w="1560" w:type="dxa"/>
            <w:gridSpan w:val="2"/>
            <w:tcBorders>
              <w:top w:val="nil"/>
              <w:left w:val="nil"/>
              <w:bottom w:val="nil"/>
              <w:right w:val="nil"/>
            </w:tcBorders>
          </w:tcPr>
          <w:p>
            <w:pPr>
              <w:pStyle w:val="TableNAm"/>
              <w:spacing w:before="60"/>
            </w:pPr>
            <w:r>
              <w:t>5 000 000</w:t>
            </w:r>
          </w:p>
        </w:tc>
        <w:tc>
          <w:tcPr>
            <w:tcW w:w="3313" w:type="dxa"/>
            <w:gridSpan w:val="2"/>
            <w:tcBorders>
              <w:top w:val="nil"/>
              <w:left w:val="nil"/>
              <w:bottom w:val="nil"/>
              <w:right w:val="nil"/>
            </w:tcBorders>
          </w:tcPr>
          <w:p>
            <w:pPr>
              <w:pStyle w:val="TableNAm"/>
              <w:spacing w:before="60"/>
            </w:pPr>
            <w:r>
              <w:t>$27 782.50 + 2.30 cents for each $1 in excess of $2 000 000</w:t>
            </w:r>
          </w:p>
        </w:tc>
      </w:tr>
      <w:tr>
        <w:trPr>
          <w:gridBefore w:val="1"/>
          <w:wBefore w:w="29" w:type="dxa"/>
          <w:cantSplit/>
          <w:trHeight w:val="240"/>
          <w:jc w:val="right"/>
        </w:trPr>
        <w:tc>
          <w:tcPr>
            <w:tcW w:w="1370" w:type="dxa"/>
            <w:tcBorders>
              <w:top w:val="nil"/>
              <w:left w:val="nil"/>
              <w:right w:val="nil"/>
            </w:tcBorders>
          </w:tcPr>
          <w:p>
            <w:pPr>
              <w:pStyle w:val="TableNAm"/>
              <w:spacing w:before="60"/>
            </w:pPr>
            <w:r>
              <w:t>5 000 000</w:t>
            </w:r>
          </w:p>
        </w:tc>
        <w:tc>
          <w:tcPr>
            <w:tcW w:w="1560" w:type="dxa"/>
            <w:gridSpan w:val="2"/>
            <w:tcBorders>
              <w:top w:val="nil"/>
              <w:left w:val="nil"/>
              <w:right w:val="nil"/>
            </w:tcBorders>
          </w:tcPr>
          <w:p>
            <w:pPr>
              <w:pStyle w:val="TableNAm"/>
              <w:spacing w:before="60"/>
            </w:pPr>
          </w:p>
        </w:tc>
        <w:tc>
          <w:tcPr>
            <w:tcW w:w="3313" w:type="dxa"/>
            <w:gridSpan w:val="2"/>
            <w:tcBorders>
              <w:top w:val="nil"/>
              <w:left w:val="nil"/>
              <w:right w:val="nil"/>
            </w:tcBorders>
          </w:tcPr>
          <w:p>
            <w:pPr>
              <w:pStyle w:val="TableNAm"/>
              <w:spacing w:before="60"/>
            </w:pPr>
            <w:r>
              <w:t>$96 782.50 + 2.50 cents for each $1 in excess of $5 000 000</w:t>
            </w:r>
          </w:p>
        </w:tc>
      </w:tr>
    </w:tbl>
    <w:p>
      <w:pPr>
        <w:pStyle w:val="THeadingNAm"/>
      </w:pPr>
      <w:r>
        <w:lastRenderedPageBreak/>
        <w:t>Table 2: Land tax rates for 2003/04</w:t>
      </w:r>
    </w:p>
    <w:tbl>
      <w:tblPr>
        <w:tblW w:w="7526" w:type="dxa"/>
        <w:jc w:val="right"/>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333"/>
        <w:gridCol w:w="1320"/>
        <w:gridCol w:w="227"/>
        <w:gridCol w:w="1333"/>
        <w:gridCol w:w="1980"/>
        <w:gridCol w:w="1333"/>
      </w:tblGrid>
      <w:tr>
        <w:trPr>
          <w:gridAfter w:val="1"/>
          <w:wAfter w:w="1333" w:type="dxa"/>
          <w:cantSplit/>
          <w:trHeight w:val="240"/>
          <w:jc w:val="right"/>
        </w:trPr>
        <w:tc>
          <w:tcPr>
            <w:tcW w:w="2880" w:type="dxa"/>
            <w:gridSpan w:val="3"/>
            <w:tcBorders>
              <w:top w:val="single" w:sz="4" w:space="0" w:color="auto"/>
              <w:left w:val="nil"/>
              <w:bottom w:val="nil"/>
              <w:right w:val="nil"/>
            </w:tcBorders>
          </w:tcPr>
          <w:p>
            <w:pPr>
              <w:pStyle w:val="TableNAm"/>
              <w:keepNext/>
              <w:spacing w:before="60"/>
              <w:jc w:val="center"/>
              <w:rPr>
                <w:b/>
                <w:bCs/>
              </w:rPr>
            </w:pPr>
            <w:r>
              <w:rPr>
                <w:b/>
                <w:bCs/>
              </w:rPr>
              <w:t>Unimproved value</w:t>
            </w:r>
            <w:r>
              <w:rPr>
                <w:b/>
                <w:bCs/>
              </w:rPr>
              <w:br/>
              <w:t>of the land</w:t>
            </w:r>
          </w:p>
        </w:tc>
        <w:tc>
          <w:tcPr>
            <w:tcW w:w="3313" w:type="dxa"/>
            <w:gridSpan w:val="2"/>
            <w:tcBorders>
              <w:top w:val="single" w:sz="4" w:space="0" w:color="auto"/>
              <w:left w:val="nil"/>
              <w:bottom w:val="nil"/>
              <w:right w:val="nil"/>
            </w:tcBorders>
          </w:tcPr>
          <w:p>
            <w:pPr>
              <w:pStyle w:val="TableNAm"/>
              <w:keepNext/>
              <w:spacing w:before="60"/>
            </w:pPr>
          </w:p>
        </w:tc>
      </w:tr>
      <w:tr>
        <w:trPr>
          <w:gridBefore w:val="1"/>
          <w:wBefore w:w="1333" w:type="dxa"/>
          <w:cantSplit/>
          <w:trHeight w:val="240"/>
          <w:jc w:val="right"/>
        </w:trPr>
        <w:tc>
          <w:tcPr>
            <w:tcW w:w="1320" w:type="dxa"/>
            <w:tcBorders>
              <w:top w:val="single" w:sz="4" w:space="0" w:color="auto"/>
              <w:left w:val="nil"/>
              <w:bottom w:val="single" w:sz="4" w:space="0" w:color="auto"/>
              <w:right w:val="nil"/>
            </w:tcBorders>
          </w:tcPr>
          <w:p>
            <w:pPr>
              <w:pStyle w:val="TableNAm"/>
              <w:keepNext/>
              <w:spacing w:before="60"/>
              <w:jc w:val="center"/>
              <w:rPr>
                <w:b/>
                <w:bCs/>
              </w:rPr>
            </w:pPr>
            <w:r>
              <w:rPr>
                <w:b/>
                <w:bCs/>
              </w:rPr>
              <w:t>Exceeding</w:t>
            </w:r>
            <w:r>
              <w:rPr>
                <w:b/>
                <w:bCs/>
              </w:rPr>
              <w:br/>
              <w:t>($)</w:t>
            </w:r>
          </w:p>
        </w:tc>
        <w:tc>
          <w:tcPr>
            <w:tcW w:w="1560" w:type="dxa"/>
            <w:gridSpan w:val="2"/>
            <w:tcBorders>
              <w:top w:val="single" w:sz="4" w:space="0" w:color="auto"/>
              <w:left w:val="nil"/>
              <w:bottom w:val="single" w:sz="4" w:space="0" w:color="auto"/>
              <w:right w:val="nil"/>
            </w:tcBorders>
          </w:tcPr>
          <w:p>
            <w:pPr>
              <w:pStyle w:val="TableNAm"/>
              <w:keepNext/>
              <w:spacing w:before="60"/>
              <w:jc w:val="center"/>
              <w:rPr>
                <w:b/>
                <w:bCs/>
              </w:rPr>
            </w:pPr>
            <w:r>
              <w:rPr>
                <w:b/>
                <w:bCs/>
              </w:rPr>
              <w:t>Not exceeding</w:t>
            </w:r>
            <w:r>
              <w:rPr>
                <w:b/>
                <w:bCs/>
              </w:rPr>
              <w:br/>
              <w:t>($)</w:t>
            </w:r>
          </w:p>
        </w:tc>
        <w:tc>
          <w:tcPr>
            <w:tcW w:w="3313" w:type="dxa"/>
            <w:gridSpan w:val="2"/>
            <w:tcBorders>
              <w:top w:val="nil"/>
              <w:left w:val="nil"/>
              <w:bottom w:val="single" w:sz="4" w:space="0" w:color="auto"/>
              <w:right w:val="nil"/>
            </w:tcBorders>
          </w:tcPr>
          <w:p>
            <w:pPr>
              <w:pStyle w:val="TableNAm"/>
              <w:keepNext/>
              <w:spacing w:before="60"/>
              <w:jc w:val="center"/>
              <w:rPr>
                <w:b/>
                <w:bCs/>
              </w:rPr>
            </w:pPr>
            <w:r>
              <w:rPr>
                <w:b/>
                <w:bCs/>
              </w:rPr>
              <w:t>Rate of land tax</w:t>
            </w:r>
          </w:p>
        </w:tc>
      </w:tr>
      <w:tr>
        <w:trPr>
          <w:gridBefore w:val="1"/>
          <w:wBefore w:w="1333" w:type="dxa"/>
          <w:cantSplit/>
          <w:trHeight w:val="240"/>
          <w:jc w:val="right"/>
        </w:trPr>
        <w:tc>
          <w:tcPr>
            <w:tcW w:w="1320" w:type="dxa"/>
            <w:tcBorders>
              <w:top w:val="nil"/>
              <w:left w:val="nil"/>
              <w:bottom w:val="nil"/>
              <w:right w:val="nil"/>
            </w:tcBorders>
          </w:tcPr>
          <w:p>
            <w:pPr>
              <w:pStyle w:val="TableNAm"/>
              <w:keepNext/>
              <w:spacing w:before="60"/>
            </w:pPr>
            <w:r>
              <w:t>0</w:t>
            </w:r>
          </w:p>
        </w:tc>
        <w:tc>
          <w:tcPr>
            <w:tcW w:w="1560" w:type="dxa"/>
            <w:gridSpan w:val="2"/>
            <w:tcBorders>
              <w:top w:val="nil"/>
              <w:left w:val="nil"/>
              <w:bottom w:val="nil"/>
              <w:right w:val="nil"/>
            </w:tcBorders>
          </w:tcPr>
          <w:p>
            <w:pPr>
              <w:pStyle w:val="TableNAm"/>
              <w:keepNext/>
              <w:spacing w:before="60"/>
            </w:pPr>
            <w:r>
              <w:t>50 000</w:t>
            </w:r>
          </w:p>
        </w:tc>
        <w:tc>
          <w:tcPr>
            <w:tcW w:w="3313" w:type="dxa"/>
            <w:gridSpan w:val="2"/>
            <w:tcBorders>
              <w:top w:val="nil"/>
              <w:left w:val="nil"/>
              <w:bottom w:val="nil"/>
              <w:right w:val="nil"/>
            </w:tcBorders>
          </w:tcPr>
          <w:p>
            <w:pPr>
              <w:pStyle w:val="TableNAm"/>
              <w:keepNext/>
              <w:spacing w:before="60"/>
            </w:pPr>
            <w:r>
              <w:t>Nil</w:t>
            </w:r>
          </w:p>
        </w:tc>
      </w:tr>
      <w:tr>
        <w:trPr>
          <w:gridBefore w:val="1"/>
          <w:wBefore w:w="1333" w:type="dxa"/>
          <w:cantSplit/>
          <w:trHeight w:val="240"/>
          <w:jc w:val="right"/>
        </w:trPr>
        <w:tc>
          <w:tcPr>
            <w:tcW w:w="1320" w:type="dxa"/>
            <w:tcBorders>
              <w:top w:val="nil"/>
              <w:left w:val="nil"/>
              <w:bottom w:val="nil"/>
              <w:right w:val="nil"/>
            </w:tcBorders>
          </w:tcPr>
          <w:p>
            <w:pPr>
              <w:pStyle w:val="TableNAm"/>
              <w:spacing w:before="60"/>
            </w:pPr>
            <w:r>
              <w:t>50 000</w:t>
            </w:r>
          </w:p>
        </w:tc>
        <w:tc>
          <w:tcPr>
            <w:tcW w:w="1560" w:type="dxa"/>
            <w:gridSpan w:val="2"/>
            <w:tcBorders>
              <w:top w:val="nil"/>
              <w:left w:val="nil"/>
              <w:bottom w:val="nil"/>
              <w:right w:val="nil"/>
            </w:tcBorders>
          </w:tcPr>
          <w:p>
            <w:pPr>
              <w:pStyle w:val="TableNAm"/>
              <w:spacing w:before="60"/>
            </w:pPr>
            <w:r>
              <w:t>190 000</w:t>
            </w:r>
          </w:p>
        </w:tc>
        <w:tc>
          <w:tcPr>
            <w:tcW w:w="3313" w:type="dxa"/>
            <w:gridSpan w:val="2"/>
            <w:tcBorders>
              <w:top w:val="nil"/>
              <w:left w:val="nil"/>
              <w:bottom w:val="nil"/>
              <w:right w:val="nil"/>
            </w:tcBorders>
          </w:tcPr>
          <w:p>
            <w:pPr>
              <w:pStyle w:val="TableNAm"/>
              <w:spacing w:before="60"/>
            </w:pPr>
            <w:r>
              <w:t>$75.00 + 0.15 cent for each $1 in excess of $50 000</w:t>
            </w:r>
          </w:p>
        </w:tc>
      </w:tr>
      <w:tr>
        <w:trPr>
          <w:gridBefore w:val="1"/>
          <w:wBefore w:w="1333" w:type="dxa"/>
          <w:cantSplit/>
          <w:trHeight w:val="240"/>
          <w:jc w:val="right"/>
        </w:trPr>
        <w:tc>
          <w:tcPr>
            <w:tcW w:w="1320" w:type="dxa"/>
            <w:tcBorders>
              <w:top w:val="nil"/>
              <w:left w:val="nil"/>
              <w:bottom w:val="nil"/>
              <w:right w:val="nil"/>
            </w:tcBorders>
          </w:tcPr>
          <w:p>
            <w:pPr>
              <w:pStyle w:val="TableNAm"/>
              <w:spacing w:before="60"/>
            </w:pPr>
            <w:r>
              <w:t>190 000</w:t>
            </w:r>
          </w:p>
        </w:tc>
        <w:tc>
          <w:tcPr>
            <w:tcW w:w="1560" w:type="dxa"/>
            <w:gridSpan w:val="2"/>
            <w:tcBorders>
              <w:top w:val="nil"/>
              <w:left w:val="nil"/>
              <w:bottom w:val="nil"/>
              <w:right w:val="nil"/>
            </w:tcBorders>
          </w:tcPr>
          <w:p>
            <w:pPr>
              <w:pStyle w:val="TableNAm"/>
              <w:spacing w:before="60"/>
            </w:pPr>
            <w:r>
              <w:t>550 000</w:t>
            </w:r>
          </w:p>
        </w:tc>
        <w:tc>
          <w:tcPr>
            <w:tcW w:w="3313" w:type="dxa"/>
            <w:gridSpan w:val="2"/>
            <w:tcBorders>
              <w:top w:val="nil"/>
              <w:left w:val="nil"/>
              <w:bottom w:val="nil"/>
              <w:right w:val="nil"/>
            </w:tcBorders>
          </w:tcPr>
          <w:p>
            <w:pPr>
              <w:pStyle w:val="TableNAm"/>
              <w:spacing w:before="60"/>
            </w:pPr>
            <w:r>
              <w:t>$285.00 + 0.45 cent for each $1 in excess of $190 000</w:t>
            </w:r>
          </w:p>
        </w:tc>
      </w:tr>
      <w:tr>
        <w:trPr>
          <w:gridBefore w:val="1"/>
          <w:wBefore w:w="1333" w:type="dxa"/>
          <w:cantSplit/>
          <w:trHeight w:val="240"/>
          <w:jc w:val="right"/>
        </w:trPr>
        <w:tc>
          <w:tcPr>
            <w:tcW w:w="1320" w:type="dxa"/>
            <w:tcBorders>
              <w:top w:val="nil"/>
              <w:left w:val="nil"/>
              <w:bottom w:val="nil"/>
              <w:right w:val="nil"/>
            </w:tcBorders>
          </w:tcPr>
          <w:p>
            <w:pPr>
              <w:pStyle w:val="TableNAm"/>
              <w:spacing w:before="60"/>
            </w:pPr>
            <w:r>
              <w:t>550 000</w:t>
            </w:r>
          </w:p>
        </w:tc>
        <w:tc>
          <w:tcPr>
            <w:tcW w:w="1560" w:type="dxa"/>
            <w:gridSpan w:val="2"/>
            <w:tcBorders>
              <w:top w:val="nil"/>
              <w:left w:val="nil"/>
              <w:bottom w:val="nil"/>
              <w:right w:val="nil"/>
            </w:tcBorders>
          </w:tcPr>
          <w:p>
            <w:pPr>
              <w:pStyle w:val="TableNAm"/>
              <w:spacing w:before="60"/>
            </w:pPr>
            <w:r>
              <w:t>2 000 000</w:t>
            </w:r>
          </w:p>
        </w:tc>
        <w:tc>
          <w:tcPr>
            <w:tcW w:w="3313" w:type="dxa"/>
            <w:gridSpan w:val="2"/>
            <w:tcBorders>
              <w:top w:val="nil"/>
              <w:left w:val="nil"/>
              <w:bottom w:val="nil"/>
              <w:right w:val="nil"/>
            </w:tcBorders>
          </w:tcPr>
          <w:p>
            <w:pPr>
              <w:pStyle w:val="TableNAm"/>
              <w:spacing w:before="60"/>
            </w:pPr>
            <w:r>
              <w:t>$1 905.00 + 1.76 cents for each $1 in excess of $550 000</w:t>
            </w:r>
          </w:p>
        </w:tc>
      </w:tr>
      <w:tr>
        <w:trPr>
          <w:gridBefore w:val="1"/>
          <w:wBefore w:w="1333" w:type="dxa"/>
          <w:cantSplit/>
          <w:trHeight w:val="240"/>
          <w:jc w:val="right"/>
        </w:trPr>
        <w:tc>
          <w:tcPr>
            <w:tcW w:w="1320" w:type="dxa"/>
            <w:tcBorders>
              <w:top w:val="nil"/>
              <w:left w:val="nil"/>
              <w:bottom w:val="nil"/>
              <w:right w:val="nil"/>
            </w:tcBorders>
          </w:tcPr>
          <w:p>
            <w:pPr>
              <w:pStyle w:val="TableNAm"/>
              <w:spacing w:before="60"/>
            </w:pPr>
            <w:r>
              <w:t>2 000 000</w:t>
            </w:r>
          </w:p>
        </w:tc>
        <w:tc>
          <w:tcPr>
            <w:tcW w:w="1560" w:type="dxa"/>
            <w:gridSpan w:val="2"/>
            <w:tcBorders>
              <w:top w:val="nil"/>
              <w:left w:val="nil"/>
              <w:bottom w:val="nil"/>
              <w:right w:val="nil"/>
            </w:tcBorders>
          </w:tcPr>
          <w:p>
            <w:pPr>
              <w:pStyle w:val="TableNAm"/>
              <w:spacing w:before="60"/>
            </w:pPr>
            <w:r>
              <w:t>5 000 000</w:t>
            </w:r>
          </w:p>
        </w:tc>
        <w:tc>
          <w:tcPr>
            <w:tcW w:w="3313" w:type="dxa"/>
            <w:gridSpan w:val="2"/>
            <w:tcBorders>
              <w:top w:val="nil"/>
              <w:left w:val="nil"/>
              <w:bottom w:val="nil"/>
              <w:right w:val="nil"/>
            </w:tcBorders>
          </w:tcPr>
          <w:p>
            <w:pPr>
              <w:pStyle w:val="TableNAm"/>
              <w:spacing w:before="60"/>
            </w:pPr>
            <w:r>
              <w:t>$27 425.00 + 2.30 cents for each $1 in excess of $2 000 000</w:t>
            </w:r>
          </w:p>
        </w:tc>
      </w:tr>
      <w:tr>
        <w:trPr>
          <w:gridBefore w:val="1"/>
          <w:wBefore w:w="1333" w:type="dxa"/>
          <w:cantSplit/>
          <w:trHeight w:val="240"/>
          <w:jc w:val="right"/>
        </w:trPr>
        <w:tc>
          <w:tcPr>
            <w:tcW w:w="1320" w:type="dxa"/>
            <w:tcBorders>
              <w:top w:val="nil"/>
              <w:left w:val="nil"/>
              <w:right w:val="nil"/>
            </w:tcBorders>
          </w:tcPr>
          <w:p>
            <w:pPr>
              <w:pStyle w:val="TableNAm"/>
              <w:spacing w:before="60"/>
            </w:pPr>
            <w:r>
              <w:t>5 000 000</w:t>
            </w:r>
          </w:p>
        </w:tc>
        <w:tc>
          <w:tcPr>
            <w:tcW w:w="1560" w:type="dxa"/>
            <w:gridSpan w:val="2"/>
            <w:tcBorders>
              <w:top w:val="nil"/>
              <w:left w:val="nil"/>
              <w:right w:val="nil"/>
            </w:tcBorders>
          </w:tcPr>
          <w:p>
            <w:pPr>
              <w:pStyle w:val="TableNAm"/>
              <w:spacing w:before="60"/>
            </w:pPr>
          </w:p>
        </w:tc>
        <w:tc>
          <w:tcPr>
            <w:tcW w:w="3313" w:type="dxa"/>
            <w:gridSpan w:val="2"/>
            <w:tcBorders>
              <w:top w:val="nil"/>
              <w:left w:val="nil"/>
              <w:right w:val="nil"/>
            </w:tcBorders>
          </w:tcPr>
          <w:p>
            <w:pPr>
              <w:pStyle w:val="TableNAm"/>
              <w:spacing w:before="60"/>
            </w:pPr>
            <w:r>
              <w:t>$96 425.00 + 2.50 cents for each $1 in excess of $5 000 000</w:t>
            </w:r>
          </w:p>
        </w:tc>
      </w:tr>
    </w:tbl>
    <w:p>
      <w:pPr>
        <w:pStyle w:val="THeadingNAm"/>
      </w:pPr>
      <w:r>
        <w:t xml:space="preserve">Table 3: Land tax rates for 2004/05 </w:t>
      </w:r>
    </w:p>
    <w:tbl>
      <w:tblPr>
        <w:tblW w:w="0" w:type="auto"/>
        <w:jc w:val="right"/>
        <w:tblInd w:w="44" w:type="dxa"/>
        <w:tblLayout w:type="fixed"/>
        <w:tblCellMar>
          <w:left w:w="57" w:type="dxa"/>
          <w:right w:w="57" w:type="dxa"/>
        </w:tblCellMar>
        <w:tblLook w:val="0000" w:firstRow="0" w:lastRow="0" w:firstColumn="0" w:lastColumn="0" w:noHBand="0" w:noVBand="0"/>
      </w:tblPr>
      <w:tblGrid>
        <w:gridCol w:w="1320"/>
        <w:gridCol w:w="1560"/>
        <w:gridCol w:w="3313"/>
      </w:tblGrid>
      <w:tr>
        <w:trPr>
          <w:cantSplit/>
          <w:jc w:val="right"/>
        </w:trPr>
        <w:tc>
          <w:tcPr>
            <w:tcW w:w="2880" w:type="dxa"/>
            <w:gridSpan w:val="2"/>
            <w:tcBorders>
              <w:top w:val="single" w:sz="4" w:space="0" w:color="auto"/>
              <w:bottom w:val="single" w:sz="4" w:space="0" w:color="auto"/>
            </w:tcBorders>
          </w:tcPr>
          <w:p>
            <w:pPr>
              <w:pStyle w:val="TableNAm"/>
              <w:keepNext/>
              <w:spacing w:before="60"/>
              <w:jc w:val="center"/>
              <w:rPr>
                <w:b/>
                <w:bCs/>
              </w:rPr>
            </w:pPr>
            <w:r>
              <w:rPr>
                <w:b/>
                <w:bCs/>
              </w:rPr>
              <w:t>Unimproved value</w:t>
            </w:r>
            <w:r>
              <w:rPr>
                <w:b/>
                <w:bCs/>
              </w:rPr>
              <w:br/>
              <w:t>of the land</w:t>
            </w:r>
          </w:p>
        </w:tc>
        <w:tc>
          <w:tcPr>
            <w:tcW w:w="3313" w:type="dxa"/>
            <w:tcBorders>
              <w:top w:val="single" w:sz="4" w:space="0" w:color="auto"/>
            </w:tcBorders>
          </w:tcPr>
          <w:p>
            <w:pPr>
              <w:pStyle w:val="TableNAm"/>
              <w:keepNext/>
              <w:spacing w:before="60"/>
            </w:pPr>
          </w:p>
        </w:tc>
      </w:tr>
      <w:tr>
        <w:trPr>
          <w:cantSplit/>
          <w:jc w:val="right"/>
        </w:trPr>
        <w:tc>
          <w:tcPr>
            <w:tcW w:w="1320" w:type="dxa"/>
            <w:tcBorders>
              <w:top w:val="single" w:sz="4" w:space="0" w:color="auto"/>
              <w:bottom w:val="single" w:sz="4" w:space="0" w:color="auto"/>
            </w:tcBorders>
          </w:tcPr>
          <w:p>
            <w:pPr>
              <w:pStyle w:val="TableNAm"/>
              <w:keepNext/>
              <w:spacing w:before="60"/>
              <w:jc w:val="center"/>
              <w:rPr>
                <w:b/>
                <w:bCs/>
              </w:rPr>
            </w:pPr>
            <w:r>
              <w:rPr>
                <w:b/>
                <w:bCs/>
              </w:rPr>
              <w:t>Exceeding ($)</w:t>
            </w:r>
          </w:p>
        </w:tc>
        <w:tc>
          <w:tcPr>
            <w:tcW w:w="1560" w:type="dxa"/>
            <w:tcBorders>
              <w:top w:val="single" w:sz="4" w:space="0" w:color="auto"/>
              <w:bottom w:val="single" w:sz="4" w:space="0" w:color="auto"/>
            </w:tcBorders>
          </w:tcPr>
          <w:p>
            <w:pPr>
              <w:pStyle w:val="TableNAm"/>
              <w:keepNext/>
              <w:spacing w:before="60"/>
              <w:jc w:val="center"/>
              <w:rPr>
                <w:b/>
                <w:bCs/>
              </w:rPr>
            </w:pPr>
            <w:r>
              <w:rPr>
                <w:b/>
                <w:bCs/>
              </w:rPr>
              <w:t>Not exceeding ($)</w:t>
            </w:r>
          </w:p>
        </w:tc>
        <w:tc>
          <w:tcPr>
            <w:tcW w:w="3313" w:type="dxa"/>
            <w:tcBorders>
              <w:bottom w:val="single" w:sz="4" w:space="0" w:color="auto"/>
            </w:tcBorders>
          </w:tcPr>
          <w:p>
            <w:pPr>
              <w:pStyle w:val="TableNAm"/>
              <w:keepNext/>
              <w:spacing w:before="60"/>
              <w:jc w:val="center"/>
              <w:rPr>
                <w:b/>
                <w:bCs/>
              </w:rPr>
            </w:pPr>
            <w:r>
              <w:rPr>
                <w:b/>
                <w:bCs/>
              </w:rPr>
              <w:t>Rate of land tax</w:t>
            </w:r>
          </w:p>
        </w:tc>
      </w:tr>
      <w:tr>
        <w:trPr>
          <w:cantSplit/>
          <w:jc w:val="right"/>
        </w:trPr>
        <w:tc>
          <w:tcPr>
            <w:tcW w:w="1320" w:type="dxa"/>
            <w:tcBorders>
              <w:top w:val="single" w:sz="4" w:space="0" w:color="auto"/>
            </w:tcBorders>
          </w:tcPr>
          <w:p>
            <w:pPr>
              <w:pStyle w:val="TableNAm"/>
              <w:keepNext/>
              <w:spacing w:before="60"/>
            </w:pPr>
            <w:r>
              <w:t>0</w:t>
            </w:r>
          </w:p>
        </w:tc>
        <w:tc>
          <w:tcPr>
            <w:tcW w:w="1560" w:type="dxa"/>
            <w:tcBorders>
              <w:top w:val="single" w:sz="4" w:space="0" w:color="auto"/>
            </w:tcBorders>
          </w:tcPr>
          <w:p>
            <w:pPr>
              <w:pStyle w:val="TableNAm"/>
              <w:keepNext/>
              <w:spacing w:before="60"/>
            </w:pPr>
            <w:r>
              <w:t>100 000</w:t>
            </w:r>
          </w:p>
        </w:tc>
        <w:tc>
          <w:tcPr>
            <w:tcW w:w="3313" w:type="dxa"/>
            <w:tcBorders>
              <w:top w:val="single" w:sz="4" w:space="0" w:color="auto"/>
            </w:tcBorders>
          </w:tcPr>
          <w:p>
            <w:pPr>
              <w:pStyle w:val="TableNAm"/>
              <w:keepNext/>
              <w:spacing w:before="60"/>
            </w:pPr>
            <w:r>
              <w:t>Nil</w:t>
            </w:r>
          </w:p>
        </w:tc>
      </w:tr>
      <w:tr>
        <w:trPr>
          <w:cantSplit/>
          <w:jc w:val="right"/>
        </w:trPr>
        <w:tc>
          <w:tcPr>
            <w:tcW w:w="1320" w:type="dxa"/>
          </w:tcPr>
          <w:p>
            <w:pPr>
              <w:pStyle w:val="TableNAm"/>
              <w:spacing w:before="60"/>
            </w:pPr>
            <w:r>
              <w:t>100 000</w:t>
            </w:r>
          </w:p>
        </w:tc>
        <w:tc>
          <w:tcPr>
            <w:tcW w:w="1560" w:type="dxa"/>
          </w:tcPr>
          <w:p>
            <w:pPr>
              <w:pStyle w:val="TableNAm"/>
              <w:spacing w:before="60"/>
            </w:pPr>
            <w:r>
              <w:t>220 000</w:t>
            </w:r>
          </w:p>
        </w:tc>
        <w:tc>
          <w:tcPr>
            <w:tcW w:w="3313" w:type="dxa"/>
          </w:tcPr>
          <w:p>
            <w:pPr>
              <w:pStyle w:val="TableNAm"/>
              <w:spacing w:before="60"/>
            </w:pPr>
            <w:r>
              <w:t>$150.00 + 0.15 cent for each $1 in excess of $100 000</w:t>
            </w:r>
          </w:p>
        </w:tc>
      </w:tr>
      <w:tr>
        <w:trPr>
          <w:cantSplit/>
          <w:jc w:val="right"/>
        </w:trPr>
        <w:tc>
          <w:tcPr>
            <w:tcW w:w="1320" w:type="dxa"/>
          </w:tcPr>
          <w:p>
            <w:pPr>
              <w:pStyle w:val="TableNAm"/>
              <w:spacing w:before="60"/>
            </w:pPr>
            <w:r>
              <w:t>220 000</w:t>
            </w:r>
          </w:p>
        </w:tc>
        <w:tc>
          <w:tcPr>
            <w:tcW w:w="1560" w:type="dxa"/>
          </w:tcPr>
          <w:p>
            <w:pPr>
              <w:pStyle w:val="TableNAm"/>
              <w:spacing w:before="60"/>
            </w:pPr>
            <w:r>
              <w:t>570 000</w:t>
            </w:r>
          </w:p>
        </w:tc>
        <w:tc>
          <w:tcPr>
            <w:tcW w:w="3313" w:type="dxa"/>
          </w:tcPr>
          <w:p>
            <w:pPr>
              <w:pStyle w:val="TableNAm"/>
              <w:spacing w:before="60"/>
            </w:pPr>
            <w:r>
              <w:t>$330.00 + 0.45 cent for each $1 in excess of $220 000</w:t>
            </w:r>
          </w:p>
        </w:tc>
      </w:tr>
      <w:tr>
        <w:trPr>
          <w:cantSplit/>
          <w:jc w:val="right"/>
        </w:trPr>
        <w:tc>
          <w:tcPr>
            <w:tcW w:w="1320" w:type="dxa"/>
          </w:tcPr>
          <w:p>
            <w:pPr>
              <w:pStyle w:val="TableNAm"/>
              <w:spacing w:before="60"/>
            </w:pPr>
            <w:r>
              <w:t>570 000</w:t>
            </w:r>
          </w:p>
        </w:tc>
        <w:tc>
          <w:tcPr>
            <w:tcW w:w="1560" w:type="dxa"/>
          </w:tcPr>
          <w:p>
            <w:pPr>
              <w:pStyle w:val="TableNAm"/>
              <w:spacing w:before="60"/>
            </w:pPr>
            <w:r>
              <w:t>2 000 000</w:t>
            </w:r>
          </w:p>
        </w:tc>
        <w:tc>
          <w:tcPr>
            <w:tcW w:w="3313" w:type="dxa"/>
          </w:tcPr>
          <w:p>
            <w:pPr>
              <w:pStyle w:val="TableNAm"/>
              <w:spacing w:before="60"/>
            </w:pPr>
            <w:r>
              <w:t>$1 905.00 + 1.76 cents for each $1 in excess of $570 000</w:t>
            </w:r>
          </w:p>
        </w:tc>
      </w:tr>
      <w:tr>
        <w:trPr>
          <w:cantSplit/>
          <w:jc w:val="right"/>
        </w:trPr>
        <w:tc>
          <w:tcPr>
            <w:tcW w:w="1320" w:type="dxa"/>
          </w:tcPr>
          <w:p>
            <w:pPr>
              <w:pStyle w:val="TableNAm"/>
              <w:spacing w:before="60"/>
            </w:pPr>
            <w:r>
              <w:t>2 000 000</w:t>
            </w:r>
          </w:p>
        </w:tc>
        <w:tc>
          <w:tcPr>
            <w:tcW w:w="1560" w:type="dxa"/>
          </w:tcPr>
          <w:p>
            <w:pPr>
              <w:pStyle w:val="TableNAm"/>
              <w:spacing w:before="60"/>
            </w:pPr>
            <w:r>
              <w:t>5 000 000</w:t>
            </w:r>
          </w:p>
        </w:tc>
        <w:tc>
          <w:tcPr>
            <w:tcW w:w="3313" w:type="dxa"/>
          </w:tcPr>
          <w:p>
            <w:pPr>
              <w:pStyle w:val="TableNAm"/>
              <w:spacing w:before="60"/>
            </w:pPr>
            <w:r>
              <w:t>$27 073.00 + 2.30 cents for each $1 in excess of $2 000 000</w:t>
            </w:r>
          </w:p>
        </w:tc>
      </w:tr>
      <w:tr>
        <w:trPr>
          <w:cantSplit/>
          <w:jc w:val="right"/>
        </w:trPr>
        <w:tc>
          <w:tcPr>
            <w:tcW w:w="1320" w:type="dxa"/>
            <w:tcBorders>
              <w:bottom w:val="single" w:sz="4" w:space="0" w:color="auto"/>
            </w:tcBorders>
          </w:tcPr>
          <w:p>
            <w:pPr>
              <w:pStyle w:val="TableNAm"/>
              <w:spacing w:before="60"/>
            </w:pPr>
            <w:r>
              <w:t>5 000 000</w:t>
            </w:r>
          </w:p>
        </w:tc>
        <w:tc>
          <w:tcPr>
            <w:tcW w:w="1560" w:type="dxa"/>
            <w:tcBorders>
              <w:bottom w:val="single" w:sz="4" w:space="0" w:color="auto"/>
            </w:tcBorders>
          </w:tcPr>
          <w:p>
            <w:pPr>
              <w:pStyle w:val="TableNAm"/>
              <w:spacing w:before="60"/>
            </w:pPr>
          </w:p>
        </w:tc>
        <w:tc>
          <w:tcPr>
            <w:tcW w:w="3313" w:type="dxa"/>
            <w:tcBorders>
              <w:bottom w:val="single" w:sz="4" w:space="0" w:color="auto"/>
            </w:tcBorders>
          </w:tcPr>
          <w:p>
            <w:pPr>
              <w:pStyle w:val="TableNAm"/>
              <w:spacing w:before="60"/>
            </w:pPr>
            <w:r>
              <w:t>$96 073.00 + 2.50 cents for each $1 in excess of $5 000 000</w:t>
            </w:r>
          </w:p>
        </w:tc>
      </w:tr>
    </w:tbl>
    <w:p>
      <w:pPr>
        <w:pStyle w:val="THeadingNAm"/>
      </w:pPr>
      <w:r>
        <w:lastRenderedPageBreak/>
        <w:t xml:space="preserve">Table 4: Land tax rates for 2005/06 </w:t>
      </w:r>
    </w:p>
    <w:tbl>
      <w:tblPr>
        <w:tblW w:w="0" w:type="auto"/>
        <w:jc w:val="right"/>
        <w:tblInd w:w="44" w:type="dxa"/>
        <w:tblLayout w:type="fixed"/>
        <w:tblCellMar>
          <w:left w:w="57" w:type="dxa"/>
          <w:right w:w="57" w:type="dxa"/>
        </w:tblCellMar>
        <w:tblLook w:val="0000" w:firstRow="0" w:lastRow="0" w:firstColumn="0" w:lastColumn="0" w:noHBand="0" w:noVBand="0"/>
      </w:tblPr>
      <w:tblGrid>
        <w:gridCol w:w="1320"/>
        <w:gridCol w:w="1560"/>
        <w:gridCol w:w="1708"/>
        <w:gridCol w:w="1605"/>
      </w:tblGrid>
      <w:tr>
        <w:trPr>
          <w:cantSplit/>
          <w:jc w:val="right"/>
        </w:trPr>
        <w:tc>
          <w:tcPr>
            <w:tcW w:w="2880" w:type="dxa"/>
            <w:gridSpan w:val="2"/>
            <w:tcBorders>
              <w:top w:val="single" w:sz="4" w:space="0" w:color="auto"/>
              <w:bottom w:val="single" w:sz="4" w:space="0" w:color="auto"/>
            </w:tcBorders>
          </w:tcPr>
          <w:p>
            <w:pPr>
              <w:pStyle w:val="TableNAm"/>
              <w:keepNext/>
              <w:spacing w:before="60"/>
              <w:jc w:val="center"/>
              <w:rPr>
                <w:b/>
                <w:bCs/>
              </w:rPr>
            </w:pPr>
            <w:r>
              <w:rPr>
                <w:b/>
                <w:bCs/>
              </w:rPr>
              <w:t>Unimproved value</w:t>
            </w:r>
            <w:r>
              <w:rPr>
                <w:b/>
                <w:bCs/>
              </w:rPr>
              <w:br/>
              <w:t>of the land</w:t>
            </w:r>
          </w:p>
        </w:tc>
        <w:tc>
          <w:tcPr>
            <w:tcW w:w="1708" w:type="dxa"/>
            <w:tcBorders>
              <w:top w:val="single" w:sz="4" w:space="0" w:color="auto"/>
            </w:tcBorders>
          </w:tcPr>
          <w:p>
            <w:pPr>
              <w:pStyle w:val="TableNAm"/>
              <w:keepNext/>
              <w:spacing w:before="60"/>
            </w:pPr>
          </w:p>
        </w:tc>
        <w:tc>
          <w:tcPr>
            <w:tcW w:w="1605" w:type="dxa"/>
            <w:tcBorders>
              <w:top w:val="single" w:sz="4" w:space="0" w:color="auto"/>
            </w:tcBorders>
          </w:tcPr>
          <w:p>
            <w:pPr>
              <w:pStyle w:val="Table"/>
              <w:keepNext/>
            </w:pPr>
          </w:p>
        </w:tc>
      </w:tr>
      <w:tr>
        <w:trPr>
          <w:cantSplit/>
          <w:trHeight w:val="255"/>
          <w:jc w:val="right"/>
        </w:trPr>
        <w:tc>
          <w:tcPr>
            <w:tcW w:w="1320" w:type="dxa"/>
            <w:tcBorders>
              <w:top w:val="single" w:sz="4" w:space="0" w:color="auto"/>
              <w:bottom w:val="single" w:sz="4" w:space="0" w:color="auto"/>
            </w:tcBorders>
          </w:tcPr>
          <w:p>
            <w:pPr>
              <w:pStyle w:val="TableNAm"/>
              <w:keepNext/>
              <w:spacing w:before="60"/>
              <w:jc w:val="center"/>
              <w:rPr>
                <w:b/>
                <w:bCs/>
              </w:rPr>
            </w:pPr>
            <w:r>
              <w:rPr>
                <w:b/>
                <w:bCs/>
              </w:rPr>
              <w:t>Exceeding ($)</w:t>
            </w:r>
          </w:p>
        </w:tc>
        <w:tc>
          <w:tcPr>
            <w:tcW w:w="1560" w:type="dxa"/>
            <w:tcBorders>
              <w:top w:val="single" w:sz="4" w:space="0" w:color="auto"/>
              <w:bottom w:val="single" w:sz="4" w:space="0" w:color="auto"/>
            </w:tcBorders>
          </w:tcPr>
          <w:p>
            <w:pPr>
              <w:pStyle w:val="TableNAm"/>
              <w:keepNext/>
              <w:spacing w:before="60"/>
              <w:jc w:val="center"/>
              <w:rPr>
                <w:b/>
                <w:bCs/>
              </w:rPr>
            </w:pPr>
            <w:r>
              <w:rPr>
                <w:b/>
                <w:bCs/>
              </w:rPr>
              <w:t>Not exceeding ($)</w:t>
            </w:r>
          </w:p>
        </w:tc>
        <w:tc>
          <w:tcPr>
            <w:tcW w:w="3313" w:type="dxa"/>
            <w:gridSpan w:val="2"/>
            <w:tcBorders>
              <w:bottom w:val="single" w:sz="4" w:space="0" w:color="auto"/>
            </w:tcBorders>
          </w:tcPr>
          <w:p>
            <w:pPr>
              <w:pStyle w:val="TableNAm"/>
              <w:keepNext/>
              <w:spacing w:before="60"/>
              <w:jc w:val="center"/>
              <w:rPr>
                <w:b/>
                <w:bCs/>
              </w:rPr>
            </w:pPr>
            <w:r>
              <w:rPr>
                <w:b/>
                <w:bCs/>
              </w:rPr>
              <w:t>Rate of land tax</w:t>
            </w:r>
          </w:p>
        </w:tc>
      </w:tr>
      <w:tr>
        <w:trPr>
          <w:cantSplit/>
          <w:jc w:val="right"/>
        </w:trPr>
        <w:tc>
          <w:tcPr>
            <w:tcW w:w="1320" w:type="dxa"/>
            <w:tcBorders>
              <w:top w:val="single" w:sz="4" w:space="0" w:color="auto"/>
            </w:tcBorders>
          </w:tcPr>
          <w:p>
            <w:pPr>
              <w:pStyle w:val="TableNAm"/>
              <w:keepNext/>
              <w:spacing w:before="60"/>
            </w:pPr>
            <w:r>
              <w:t>0</w:t>
            </w:r>
          </w:p>
        </w:tc>
        <w:tc>
          <w:tcPr>
            <w:tcW w:w="1560" w:type="dxa"/>
            <w:tcBorders>
              <w:top w:val="single" w:sz="4" w:space="0" w:color="auto"/>
            </w:tcBorders>
          </w:tcPr>
          <w:p>
            <w:pPr>
              <w:pStyle w:val="TableNAm"/>
              <w:keepNext/>
              <w:spacing w:before="60"/>
            </w:pPr>
            <w:r>
              <w:t>130 000</w:t>
            </w:r>
          </w:p>
        </w:tc>
        <w:tc>
          <w:tcPr>
            <w:tcW w:w="3313" w:type="dxa"/>
            <w:gridSpan w:val="2"/>
            <w:tcBorders>
              <w:top w:val="single" w:sz="4" w:space="0" w:color="auto"/>
            </w:tcBorders>
          </w:tcPr>
          <w:p>
            <w:pPr>
              <w:pStyle w:val="TableNAm"/>
              <w:keepNext/>
              <w:spacing w:before="60"/>
            </w:pPr>
            <w:r>
              <w:t>Nil</w:t>
            </w:r>
          </w:p>
        </w:tc>
      </w:tr>
      <w:tr>
        <w:trPr>
          <w:cantSplit/>
          <w:jc w:val="right"/>
        </w:trPr>
        <w:tc>
          <w:tcPr>
            <w:tcW w:w="1320" w:type="dxa"/>
          </w:tcPr>
          <w:p>
            <w:pPr>
              <w:pStyle w:val="TableNAm"/>
              <w:keepNext/>
              <w:spacing w:before="60"/>
            </w:pPr>
            <w:r>
              <w:t>130 000</w:t>
            </w:r>
          </w:p>
        </w:tc>
        <w:tc>
          <w:tcPr>
            <w:tcW w:w="1560" w:type="dxa"/>
          </w:tcPr>
          <w:p>
            <w:pPr>
              <w:pStyle w:val="TableNAm"/>
              <w:keepNext/>
              <w:spacing w:before="60"/>
            </w:pPr>
            <w:r>
              <w:t>290 000</w:t>
            </w:r>
          </w:p>
        </w:tc>
        <w:tc>
          <w:tcPr>
            <w:tcW w:w="3313" w:type="dxa"/>
            <w:gridSpan w:val="2"/>
          </w:tcPr>
          <w:p>
            <w:pPr>
              <w:pStyle w:val="TableNAm"/>
              <w:keepNext/>
              <w:spacing w:before="60"/>
            </w:pPr>
            <w:r>
              <w:t>0.15 cent for each $1 in excess of $130 000</w:t>
            </w:r>
          </w:p>
        </w:tc>
      </w:tr>
      <w:tr>
        <w:trPr>
          <w:cantSplit/>
          <w:jc w:val="right"/>
        </w:trPr>
        <w:tc>
          <w:tcPr>
            <w:tcW w:w="1320" w:type="dxa"/>
          </w:tcPr>
          <w:p>
            <w:pPr>
              <w:pStyle w:val="TableNAm"/>
              <w:spacing w:before="60"/>
            </w:pPr>
            <w:r>
              <w:t>290 000</w:t>
            </w:r>
          </w:p>
        </w:tc>
        <w:tc>
          <w:tcPr>
            <w:tcW w:w="1560" w:type="dxa"/>
          </w:tcPr>
          <w:p>
            <w:pPr>
              <w:pStyle w:val="TableNAm"/>
              <w:spacing w:before="60"/>
            </w:pPr>
            <w:r>
              <w:t>750 000</w:t>
            </w:r>
          </w:p>
        </w:tc>
        <w:tc>
          <w:tcPr>
            <w:tcW w:w="3313" w:type="dxa"/>
            <w:gridSpan w:val="2"/>
          </w:tcPr>
          <w:p>
            <w:pPr>
              <w:pStyle w:val="TableNAm"/>
              <w:spacing w:before="60"/>
            </w:pPr>
            <w:r>
              <w:t>$240.00 + 0.45 cent for each $1 in excess of $290 000</w:t>
            </w:r>
          </w:p>
        </w:tc>
      </w:tr>
      <w:tr>
        <w:trPr>
          <w:cantSplit/>
          <w:jc w:val="right"/>
        </w:trPr>
        <w:tc>
          <w:tcPr>
            <w:tcW w:w="1320" w:type="dxa"/>
          </w:tcPr>
          <w:p>
            <w:pPr>
              <w:pStyle w:val="TableNAm"/>
              <w:spacing w:before="60"/>
            </w:pPr>
            <w:r>
              <w:t>750 000</w:t>
            </w:r>
          </w:p>
        </w:tc>
        <w:tc>
          <w:tcPr>
            <w:tcW w:w="1560" w:type="dxa"/>
          </w:tcPr>
          <w:p>
            <w:pPr>
              <w:pStyle w:val="TableNAm"/>
              <w:spacing w:before="60"/>
            </w:pPr>
            <w:r>
              <w:t>2 000 000</w:t>
            </w:r>
          </w:p>
        </w:tc>
        <w:tc>
          <w:tcPr>
            <w:tcW w:w="3313" w:type="dxa"/>
            <w:gridSpan w:val="2"/>
          </w:tcPr>
          <w:p>
            <w:pPr>
              <w:pStyle w:val="TableNAm"/>
              <w:spacing w:before="60"/>
            </w:pPr>
            <w:r>
              <w:t>$2 310.00 + 1.62 cents for each $1 in excess of $750 000</w:t>
            </w:r>
          </w:p>
        </w:tc>
      </w:tr>
      <w:tr>
        <w:trPr>
          <w:cantSplit/>
          <w:jc w:val="right"/>
        </w:trPr>
        <w:tc>
          <w:tcPr>
            <w:tcW w:w="1320" w:type="dxa"/>
          </w:tcPr>
          <w:p>
            <w:pPr>
              <w:pStyle w:val="TableNAm"/>
              <w:spacing w:before="60"/>
            </w:pPr>
            <w:r>
              <w:t>2 000 000</w:t>
            </w:r>
          </w:p>
        </w:tc>
        <w:tc>
          <w:tcPr>
            <w:tcW w:w="1560" w:type="dxa"/>
          </w:tcPr>
          <w:p>
            <w:pPr>
              <w:pStyle w:val="TableNAm"/>
              <w:spacing w:before="60"/>
            </w:pPr>
            <w:r>
              <w:t>5 000 000</w:t>
            </w:r>
          </w:p>
        </w:tc>
        <w:tc>
          <w:tcPr>
            <w:tcW w:w="3313" w:type="dxa"/>
            <w:gridSpan w:val="2"/>
          </w:tcPr>
          <w:p>
            <w:pPr>
              <w:pStyle w:val="TableNAm"/>
              <w:spacing w:before="60"/>
            </w:pPr>
            <w:r>
              <w:t>$22 560.00 + 2.30 cents for each $1 in excess of $2 000 000</w:t>
            </w:r>
          </w:p>
        </w:tc>
      </w:tr>
      <w:tr>
        <w:trPr>
          <w:cantSplit/>
          <w:jc w:val="right"/>
        </w:trPr>
        <w:tc>
          <w:tcPr>
            <w:tcW w:w="1320" w:type="dxa"/>
            <w:tcBorders>
              <w:bottom w:val="single" w:sz="4" w:space="0" w:color="auto"/>
            </w:tcBorders>
          </w:tcPr>
          <w:p>
            <w:pPr>
              <w:pStyle w:val="TableNAm"/>
              <w:spacing w:before="60"/>
            </w:pPr>
            <w:r>
              <w:t>5 000 000</w:t>
            </w:r>
          </w:p>
        </w:tc>
        <w:tc>
          <w:tcPr>
            <w:tcW w:w="1560" w:type="dxa"/>
            <w:tcBorders>
              <w:bottom w:val="single" w:sz="4" w:space="0" w:color="auto"/>
            </w:tcBorders>
          </w:tcPr>
          <w:p>
            <w:pPr>
              <w:pStyle w:val="TableNAm"/>
              <w:spacing w:before="60"/>
            </w:pPr>
          </w:p>
        </w:tc>
        <w:tc>
          <w:tcPr>
            <w:tcW w:w="3313" w:type="dxa"/>
            <w:gridSpan w:val="2"/>
            <w:tcBorders>
              <w:bottom w:val="single" w:sz="4" w:space="0" w:color="auto"/>
            </w:tcBorders>
          </w:tcPr>
          <w:p>
            <w:pPr>
              <w:pStyle w:val="TableNAm"/>
              <w:spacing w:before="60"/>
            </w:pPr>
            <w:r>
              <w:t>$91 560.00 + 2.50 cents for each $1 in excess of $5 000 000</w:t>
            </w:r>
          </w:p>
        </w:tc>
      </w:tr>
    </w:tbl>
    <w:p>
      <w:pPr>
        <w:pStyle w:val="THeadingNAm"/>
      </w:pPr>
      <w:r>
        <w:t>Table 5: Land tax rates for 2006/07</w:t>
      </w:r>
    </w:p>
    <w:tbl>
      <w:tblPr>
        <w:tblW w:w="0" w:type="auto"/>
        <w:jc w:val="right"/>
        <w:tblLayout w:type="fixed"/>
        <w:tblCellMar>
          <w:left w:w="57" w:type="dxa"/>
          <w:right w:w="57" w:type="dxa"/>
        </w:tblCellMar>
        <w:tblLook w:val="0000" w:firstRow="0" w:lastRow="0" w:firstColumn="0" w:lastColumn="0" w:noHBand="0" w:noVBand="0"/>
      </w:tblPr>
      <w:tblGrid>
        <w:gridCol w:w="1356"/>
        <w:gridCol w:w="1560"/>
        <w:gridCol w:w="1862"/>
        <w:gridCol w:w="1451"/>
      </w:tblGrid>
      <w:tr>
        <w:trPr>
          <w:cantSplit/>
          <w:tblHeader/>
          <w:jc w:val="right"/>
        </w:trPr>
        <w:tc>
          <w:tcPr>
            <w:tcW w:w="2916" w:type="dxa"/>
            <w:gridSpan w:val="2"/>
            <w:tcBorders>
              <w:top w:val="single" w:sz="4" w:space="0" w:color="auto"/>
              <w:bottom w:val="single" w:sz="4" w:space="0" w:color="auto"/>
            </w:tcBorders>
          </w:tcPr>
          <w:p>
            <w:pPr>
              <w:pStyle w:val="TableNAm"/>
              <w:keepNext/>
              <w:spacing w:before="60"/>
              <w:jc w:val="center"/>
              <w:rPr>
                <w:b/>
                <w:bCs/>
              </w:rPr>
            </w:pPr>
            <w:r>
              <w:rPr>
                <w:b/>
                <w:bCs/>
              </w:rPr>
              <w:t xml:space="preserve">Unimproved value </w:t>
            </w:r>
            <w:r>
              <w:rPr>
                <w:b/>
                <w:bCs/>
              </w:rPr>
              <w:br/>
              <w:t>of the land</w:t>
            </w:r>
          </w:p>
        </w:tc>
        <w:tc>
          <w:tcPr>
            <w:tcW w:w="1862" w:type="dxa"/>
            <w:tcBorders>
              <w:top w:val="single" w:sz="4" w:space="0" w:color="auto"/>
            </w:tcBorders>
          </w:tcPr>
          <w:p>
            <w:pPr>
              <w:pStyle w:val="TableNAm"/>
              <w:keepNext/>
              <w:spacing w:before="60"/>
              <w:rPr>
                <w:b/>
                <w:bCs/>
              </w:rPr>
            </w:pPr>
          </w:p>
        </w:tc>
        <w:tc>
          <w:tcPr>
            <w:tcW w:w="1451" w:type="dxa"/>
            <w:tcBorders>
              <w:top w:val="single" w:sz="4" w:space="0" w:color="auto"/>
            </w:tcBorders>
          </w:tcPr>
          <w:p>
            <w:pPr>
              <w:pStyle w:val="Table"/>
              <w:keepNext/>
              <w:keepLines/>
              <w:rPr>
                <w:b/>
                <w:bCs/>
              </w:rPr>
            </w:pPr>
          </w:p>
        </w:tc>
      </w:tr>
      <w:tr>
        <w:trPr>
          <w:cantSplit/>
          <w:tblHeader/>
          <w:jc w:val="right"/>
        </w:trPr>
        <w:tc>
          <w:tcPr>
            <w:tcW w:w="1356" w:type="dxa"/>
            <w:tcBorders>
              <w:top w:val="single" w:sz="4" w:space="0" w:color="auto"/>
              <w:bottom w:val="single" w:sz="4" w:space="0" w:color="auto"/>
            </w:tcBorders>
          </w:tcPr>
          <w:p>
            <w:pPr>
              <w:pStyle w:val="TableNAm"/>
              <w:keepNext/>
              <w:spacing w:before="60"/>
              <w:jc w:val="center"/>
              <w:rPr>
                <w:b/>
                <w:bCs/>
              </w:rPr>
            </w:pPr>
            <w:r>
              <w:rPr>
                <w:b/>
                <w:bCs/>
              </w:rPr>
              <w:t>Exceeding ($)</w:t>
            </w:r>
          </w:p>
        </w:tc>
        <w:tc>
          <w:tcPr>
            <w:tcW w:w="1560" w:type="dxa"/>
            <w:tcBorders>
              <w:top w:val="single" w:sz="4" w:space="0" w:color="auto"/>
              <w:bottom w:val="single" w:sz="4" w:space="0" w:color="auto"/>
            </w:tcBorders>
          </w:tcPr>
          <w:p>
            <w:pPr>
              <w:pStyle w:val="TableNAm"/>
              <w:keepNext/>
              <w:spacing w:before="60"/>
              <w:jc w:val="center"/>
              <w:rPr>
                <w:b/>
                <w:bCs/>
              </w:rPr>
            </w:pPr>
            <w:r>
              <w:rPr>
                <w:b/>
                <w:bCs/>
              </w:rPr>
              <w:t>Not exceeding ($)</w:t>
            </w:r>
          </w:p>
        </w:tc>
        <w:tc>
          <w:tcPr>
            <w:tcW w:w="3313" w:type="dxa"/>
            <w:gridSpan w:val="2"/>
            <w:tcBorders>
              <w:bottom w:val="single" w:sz="4" w:space="0" w:color="auto"/>
            </w:tcBorders>
          </w:tcPr>
          <w:p>
            <w:pPr>
              <w:pStyle w:val="TableNAm"/>
              <w:keepNext/>
              <w:spacing w:before="60"/>
              <w:jc w:val="center"/>
              <w:rPr>
                <w:b/>
                <w:bCs/>
              </w:rPr>
            </w:pPr>
            <w:r>
              <w:rPr>
                <w:b/>
                <w:bCs/>
              </w:rPr>
              <w:t>Rate of land tax</w:t>
            </w:r>
          </w:p>
        </w:tc>
      </w:tr>
      <w:tr>
        <w:trPr>
          <w:cantSplit/>
          <w:jc w:val="right"/>
        </w:trPr>
        <w:tc>
          <w:tcPr>
            <w:tcW w:w="1356" w:type="dxa"/>
            <w:tcBorders>
              <w:top w:val="single" w:sz="4" w:space="0" w:color="auto"/>
            </w:tcBorders>
          </w:tcPr>
          <w:p>
            <w:pPr>
              <w:pStyle w:val="TableNAm"/>
              <w:keepNext/>
              <w:spacing w:before="60"/>
            </w:pPr>
            <w:r>
              <w:t>0</w:t>
            </w:r>
          </w:p>
        </w:tc>
        <w:tc>
          <w:tcPr>
            <w:tcW w:w="1560" w:type="dxa"/>
            <w:tcBorders>
              <w:top w:val="single" w:sz="4" w:space="0" w:color="auto"/>
            </w:tcBorders>
          </w:tcPr>
          <w:p>
            <w:pPr>
              <w:pStyle w:val="TableNAm"/>
              <w:keepNext/>
              <w:spacing w:before="60"/>
            </w:pPr>
            <w:r>
              <w:t>150 000</w:t>
            </w:r>
          </w:p>
        </w:tc>
        <w:tc>
          <w:tcPr>
            <w:tcW w:w="3313" w:type="dxa"/>
            <w:gridSpan w:val="2"/>
            <w:tcBorders>
              <w:top w:val="single" w:sz="4" w:space="0" w:color="auto"/>
            </w:tcBorders>
          </w:tcPr>
          <w:p>
            <w:pPr>
              <w:pStyle w:val="TableNAm"/>
              <w:keepNext/>
              <w:spacing w:before="60"/>
            </w:pPr>
            <w:r>
              <w:t>Nil</w:t>
            </w:r>
          </w:p>
        </w:tc>
      </w:tr>
      <w:tr>
        <w:trPr>
          <w:cantSplit/>
          <w:jc w:val="right"/>
        </w:trPr>
        <w:tc>
          <w:tcPr>
            <w:tcW w:w="1356" w:type="dxa"/>
          </w:tcPr>
          <w:p>
            <w:pPr>
              <w:pStyle w:val="TableNAm"/>
              <w:spacing w:before="60"/>
            </w:pPr>
            <w:r>
              <w:t>150 000</w:t>
            </w:r>
          </w:p>
        </w:tc>
        <w:tc>
          <w:tcPr>
            <w:tcW w:w="1560" w:type="dxa"/>
          </w:tcPr>
          <w:p>
            <w:pPr>
              <w:pStyle w:val="TableNAm"/>
              <w:spacing w:before="60"/>
            </w:pPr>
            <w:r>
              <w:t>390 000</w:t>
            </w:r>
          </w:p>
        </w:tc>
        <w:tc>
          <w:tcPr>
            <w:tcW w:w="3313" w:type="dxa"/>
            <w:gridSpan w:val="2"/>
          </w:tcPr>
          <w:p>
            <w:pPr>
              <w:pStyle w:val="TableNAm"/>
              <w:spacing w:before="60"/>
            </w:pPr>
            <w:r>
              <w:t>0.15 cent for each $1 in excess of $150 000</w:t>
            </w:r>
          </w:p>
        </w:tc>
      </w:tr>
      <w:tr>
        <w:trPr>
          <w:cantSplit/>
          <w:jc w:val="right"/>
        </w:trPr>
        <w:tc>
          <w:tcPr>
            <w:tcW w:w="1356" w:type="dxa"/>
          </w:tcPr>
          <w:p>
            <w:pPr>
              <w:pStyle w:val="TableNAm"/>
              <w:spacing w:before="60"/>
            </w:pPr>
            <w:r>
              <w:t>390 000</w:t>
            </w:r>
          </w:p>
        </w:tc>
        <w:tc>
          <w:tcPr>
            <w:tcW w:w="1560" w:type="dxa"/>
          </w:tcPr>
          <w:p>
            <w:pPr>
              <w:pStyle w:val="TableNAm"/>
              <w:spacing w:before="60"/>
            </w:pPr>
            <w:r>
              <w:t>875 000</w:t>
            </w:r>
          </w:p>
        </w:tc>
        <w:tc>
          <w:tcPr>
            <w:tcW w:w="3313" w:type="dxa"/>
            <w:gridSpan w:val="2"/>
          </w:tcPr>
          <w:p>
            <w:pPr>
              <w:pStyle w:val="TableNAm"/>
              <w:spacing w:before="60"/>
            </w:pPr>
            <w:r>
              <w:t>$360.00 + 0.45 cent for each $1 in excess of $390 000</w:t>
            </w:r>
          </w:p>
        </w:tc>
      </w:tr>
      <w:tr>
        <w:trPr>
          <w:cantSplit/>
          <w:jc w:val="right"/>
        </w:trPr>
        <w:tc>
          <w:tcPr>
            <w:tcW w:w="1356" w:type="dxa"/>
          </w:tcPr>
          <w:p>
            <w:pPr>
              <w:pStyle w:val="TableNAm"/>
              <w:spacing w:before="60"/>
            </w:pPr>
            <w:r>
              <w:t>875 000</w:t>
            </w:r>
          </w:p>
        </w:tc>
        <w:tc>
          <w:tcPr>
            <w:tcW w:w="1560" w:type="dxa"/>
          </w:tcPr>
          <w:p>
            <w:pPr>
              <w:pStyle w:val="TableNAm"/>
              <w:spacing w:before="60"/>
            </w:pPr>
            <w:r>
              <w:t>2 000 000</w:t>
            </w:r>
          </w:p>
        </w:tc>
        <w:tc>
          <w:tcPr>
            <w:tcW w:w="3313" w:type="dxa"/>
            <w:gridSpan w:val="2"/>
          </w:tcPr>
          <w:p>
            <w:pPr>
              <w:pStyle w:val="TableNAm"/>
              <w:spacing w:before="60"/>
            </w:pPr>
            <w:r>
              <w:t>$2 542.50 + 1.62 cents for each $1 in excess of $875 000</w:t>
            </w:r>
          </w:p>
        </w:tc>
      </w:tr>
      <w:tr>
        <w:trPr>
          <w:cantSplit/>
          <w:jc w:val="right"/>
        </w:trPr>
        <w:tc>
          <w:tcPr>
            <w:tcW w:w="1356" w:type="dxa"/>
          </w:tcPr>
          <w:p>
            <w:pPr>
              <w:pStyle w:val="TableNAm"/>
              <w:spacing w:before="60"/>
            </w:pPr>
            <w:r>
              <w:t>2 000 000</w:t>
            </w:r>
          </w:p>
        </w:tc>
        <w:tc>
          <w:tcPr>
            <w:tcW w:w="1560" w:type="dxa"/>
          </w:tcPr>
          <w:p>
            <w:pPr>
              <w:pStyle w:val="TableNAm"/>
              <w:spacing w:before="60"/>
            </w:pPr>
            <w:r>
              <w:t>5 000 000</w:t>
            </w:r>
          </w:p>
        </w:tc>
        <w:tc>
          <w:tcPr>
            <w:tcW w:w="3313" w:type="dxa"/>
            <w:gridSpan w:val="2"/>
          </w:tcPr>
          <w:p>
            <w:pPr>
              <w:pStyle w:val="TableNAm"/>
              <w:spacing w:before="60"/>
            </w:pPr>
            <w:r>
              <w:t>$20 767.50 + 2.30 cents for each $1 in excess of $2 000 000</w:t>
            </w:r>
          </w:p>
        </w:tc>
      </w:tr>
      <w:tr>
        <w:trPr>
          <w:cantSplit/>
          <w:jc w:val="right"/>
        </w:trPr>
        <w:tc>
          <w:tcPr>
            <w:tcW w:w="1356" w:type="dxa"/>
            <w:tcBorders>
              <w:bottom w:val="single" w:sz="4" w:space="0" w:color="auto"/>
            </w:tcBorders>
          </w:tcPr>
          <w:p>
            <w:pPr>
              <w:pStyle w:val="TableNAm"/>
              <w:spacing w:before="60"/>
            </w:pPr>
            <w:r>
              <w:t>5 000 000</w:t>
            </w:r>
          </w:p>
        </w:tc>
        <w:tc>
          <w:tcPr>
            <w:tcW w:w="1560" w:type="dxa"/>
            <w:tcBorders>
              <w:bottom w:val="single" w:sz="4" w:space="0" w:color="auto"/>
            </w:tcBorders>
          </w:tcPr>
          <w:p>
            <w:pPr>
              <w:pStyle w:val="TableNAm"/>
              <w:spacing w:before="60"/>
            </w:pPr>
          </w:p>
        </w:tc>
        <w:tc>
          <w:tcPr>
            <w:tcW w:w="3313" w:type="dxa"/>
            <w:gridSpan w:val="2"/>
            <w:tcBorders>
              <w:bottom w:val="single" w:sz="4" w:space="0" w:color="auto"/>
            </w:tcBorders>
          </w:tcPr>
          <w:p>
            <w:pPr>
              <w:pStyle w:val="TableNAm"/>
              <w:spacing w:before="60"/>
            </w:pPr>
            <w:r>
              <w:t>$89 767.50 + 2.50 cents for each $1 in excess of $5 000 000</w:t>
            </w:r>
          </w:p>
        </w:tc>
      </w:tr>
    </w:tbl>
    <w:p>
      <w:pPr>
        <w:pStyle w:val="THeadingNAm"/>
      </w:pPr>
      <w:r>
        <w:t>Table 6: Land tax rates for 2007/08</w:t>
      </w:r>
    </w:p>
    <w:tbl>
      <w:tblPr>
        <w:tblW w:w="0" w:type="auto"/>
        <w:jc w:val="right"/>
        <w:tblLayout w:type="fixed"/>
        <w:tblCellMar>
          <w:left w:w="57" w:type="dxa"/>
          <w:right w:w="57" w:type="dxa"/>
        </w:tblCellMar>
        <w:tblLook w:val="0000" w:firstRow="0" w:lastRow="0" w:firstColumn="0" w:lastColumn="0" w:noHBand="0" w:noVBand="0"/>
      </w:tblPr>
      <w:tblGrid>
        <w:gridCol w:w="1342"/>
        <w:gridCol w:w="1560"/>
        <w:gridCol w:w="1862"/>
        <w:gridCol w:w="1451"/>
      </w:tblGrid>
      <w:tr>
        <w:trPr>
          <w:cantSplit/>
          <w:tblHeader/>
          <w:jc w:val="right"/>
        </w:trPr>
        <w:tc>
          <w:tcPr>
            <w:tcW w:w="2902" w:type="dxa"/>
            <w:gridSpan w:val="2"/>
            <w:tcBorders>
              <w:top w:val="single" w:sz="4" w:space="0" w:color="auto"/>
              <w:bottom w:val="single" w:sz="4" w:space="0" w:color="auto"/>
            </w:tcBorders>
          </w:tcPr>
          <w:p>
            <w:pPr>
              <w:pStyle w:val="TableNAm"/>
              <w:keepNext/>
              <w:spacing w:before="60"/>
              <w:jc w:val="center"/>
              <w:rPr>
                <w:b/>
                <w:bCs/>
              </w:rPr>
            </w:pPr>
            <w:r>
              <w:rPr>
                <w:b/>
                <w:bCs/>
              </w:rPr>
              <w:t xml:space="preserve">Unimproved value </w:t>
            </w:r>
            <w:r>
              <w:rPr>
                <w:b/>
                <w:bCs/>
              </w:rPr>
              <w:br/>
              <w:t>of the land</w:t>
            </w:r>
          </w:p>
        </w:tc>
        <w:tc>
          <w:tcPr>
            <w:tcW w:w="1862" w:type="dxa"/>
            <w:tcBorders>
              <w:top w:val="single" w:sz="4" w:space="0" w:color="auto"/>
            </w:tcBorders>
          </w:tcPr>
          <w:p>
            <w:pPr>
              <w:pStyle w:val="TableNAm"/>
              <w:keepNext/>
              <w:spacing w:before="60"/>
              <w:jc w:val="center"/>
            </w:pPr>
          </w:p>
        </w:tc>
        <w:tc>
          <w:tcPr>
            <w:tcW w:w="1451" w:type="dxa"/>
            <w:tcBorders>
              <w:top w:val="single" w:sz="4" w:space="0" w:color="auto"/>
            </w:tcBorders>
          </w:tcPr>
          <w:p>
            <w:pPr>
              <w:pStyle w:val="zTablet"/>
              <w:keepNext/>
              <w:jc w:val="center"/>
            </w:pPr>
          </w:p>
        </w:tc>
      </w:tr>
      <w:tr>
        <w:trPr>
          <w:cantSplit/>
          <w:tblHeader/>
          <w:jc w:val="right"/>
        </w:trPr>
        <w:tc>
          <w:tcPr>
            <w:tcW w:w="1342" w:type="dxa"/>
            <w:tcBorders>
              <w:top w:val="single" w:sz="4" w:space="0" w:color="auto"/>
              <w:bottom w:val="single" w:sz="4" w:space="0" w:color="auto"/>
            </w:tcBorders>
          </w:tcPr>
          <w:p>
            <w:pPr>
              <w:pStyle w:val="TableNAm"/>
              <w:keepNext/>
              <w:spacing w:before="60"/>
              <w:jc w:val="center"/>
              <w:rPr>
                <w:b/>
                <w:bCs/>
              </w:rPr>
            </w:pPr>
            <w:r>
              <w:rPr>
                <w:b/>
                <w:bCs/>
              </w:rPr>
              <w:t>Exceeding ($)</w:t>
            </w:r>
          </w:p>
        </w:tc>
        <w:tc>
          <w:tcPr>
            <w:tcW w:w="1560" w:type="dxa"/>
            <w:tcBorders>
              <w:top w:val="single" w:sz="4" w:space="0" w:color="auto"/>
              <w:bottom w:val="single" w:sz="4" w:space="0" w:color="auto"/>
            </w:tcBorders>
          </w:tcPr>
          <w:p>
            <w:pPr>
              <w:pStyle w:val="TableNAm"/>
              <w:keepNext/>
              <w:spacing w:before="60"/>
              <w:jc w:val="center"/>
              <w:rPr>
                <w:b/>
                <w:bCs/>
              </w:rPr>
            </w:pPr>
            <w:r>
              <w:rPr>
                <w:b/>
                <w:bCs/>
              </w:rPr>
              <w:t>Not exceeding ($)</w:t>
            </w:r>
          </w:p>
        </w:tc>
        <w:tc>
          <w:tcPr>
            <w:tcW w:w="3313" w:type="dxa"/>
            <w:gridSpan w:val="2"/>
            <w:tcBorders>
              <w:bottom w:val="single" w:sz="4" w:space="0" w:color="auto"/>
            </w:tcBorders>
          </w:tcPr>
          <w:p>
            <w:pPr>
              <w:pStyle w:val="TableNAm"/>
              <w:keepNext/>
              <w:spacing w:before="60"/>
              <w:jc w:val="center"/>
              <w:rPr>
                <w:b/>
                <w:bCs/>
              </w:rPr>
            </w:pPr>
            <w:r>
              <w:rPr>
                <w:b/>
                <w:bCs/>
              </w:rPr>
              <w:t>Rate of land tax</w:t>
            </w:r>
          </w:p>
        </w:tc>
      </w:tr>
      <w:tr>
        <w:trPr>
          <w:cantSplit/>
          <w:jc w:val="right"/>
        </w:trPr>
        <w:tc>
          <w:tcPr>
            <w:tcW w:w="1342" w:type="dxa"/>
            <w:tcBorders>
              <w:top w:val="single" w:sz="4" w:space="0" w:color="auto"/>
            </w:tcBorders>
          </w:tcPr>
          <w:p>
            <w:pPr>
              <w:pStyle w:val="TableNAm"/>
              <w:keepNext/>
              <w:spacing w:before="60"/>
            </w:pPr>
            <w:r>
              <w:t>0</w:t>
            </w:r>
          </w:p>
        </w:tc>
        <w:tc>
          <w:tcPr>
            <w:tcW w:w="1560" w:type="dxa"/>
            <w:tcBorders>
              <w:top w:val="single" w:sz="4" w:space="0" w:color="auto"/>
            </w:tcBorders>
          </w:tcPr>
          <w:p>
            <w:pPr>
              <w:pStyle w:val="TableNAm"/>
              <w:keepNext/>
              <w:spacing w:before="60"/>
            </w:pPr>
            <w:r>
              <w:t>250 000</w:t>
            </w:r>
          </w:p>
        </w:tc>
        <w:tc>
          <w:tcPr>
            <w:tcW w:w="3313" w:type="dxa"/>
            <w:gridSpan w:val="2"/>
            <w:tcBorders>
              <w:top w:val="single" w:sz="4" w:space="0" w:color="auto"/>
            </w:tcBorders>
          </w:tcPr>
          <w:p>
            <w:pPr>
              <w:pStyle w:val="TableNAm"/>
              <w:keepNext/>
              <w:spacing w:before="60"/>
            </w:pPr>
            <w:r>
              <w:t>Nil</w:t>
            </w:r>
          </w:p>
        </w:tc>
      </w:tr>
      <w:tr>
        <w:trPr>
          <w:cantSplit/>
          <w:jc w:val="right"/>
        </w:trPr>
        <w:tc>
          <w:tcPr>
            <w:tcW w:w="1342" w:type="dxa"/>
          </w:tcPr>
          <w:p>
            <w:pPr>
              <w:pStyle w:val="TableNAm"/>
              <w:keepNext/>
              <w:spacing w:before="60"/>
            </w:pPr>
            <w:r>
              <w:t>250 000</w:t>
            </w:r>
          </w:p>
        </w:tc>
        <w:tc>
          <w:tcPr>
            <w:tcW w:w="1560" w:type="dxa"/>
          </w:tcPr>
          <w:p>
            <w:pPr>
              <w:pStyle w:val="TableNAm"/>
              <w:keepNext/>
              <w:spacing w:before="60"/>
            </w:pPr>
            <w:r>
              <w:t>875 000</w:t>
            </w:r>
          </w:p>
        </w:tc>
        <w:tc>
          <w:tcPr>
            <w:tcW w:w="3313" w:type="dxa"/>
            <w:gridSpan w:val="2"/>
          </w:tcPr>
          <w:p>
            <w:pPr>
              <w:pStyle w:val="TableNAm"/>
              <w:keepNext/>
              <w:spacing w:before="60"/>
            </w:pPr>
            <w:r>
              <w:t>0.15 cent for each $1 in excess of $250 000</w:t>
            </w:r>
          </w:p>
        </w:tc>
      </w:tr>
      <w:tr>
        <w:trPr>
          <w:cantSplit/>
          <w:jc w:val="right"/>
        </w:trPr>
        <w:tc>
          <w:tcPr>
            <w:tcW w:w="1342" w:type="dxa"/>
          </w:tcPr>
          <w:p>
            <w:pPr>
              <w:pStyle w:val="TableNAm"/>
              <w:spacing w:before="60"/>
            </w:pPr>
            <w:r>
              <w:t>875 000</w:t>
            </w:r>
          </w:p>
        </w:tc>
        <w:tc>
          <w:tcPr>
            <w:tcW w:w="1560" w:type="dxa"/>
          </w:tcPr>
          <w:p>
            <w:pPr>
              <w:pStyle w:val="TableNAm"/>
              <w:spacing w:before="60"/>
            </w:pPr>
            <w:r>
              <w:t>2 000 000</w:t>
            </w:r>
          </w:p>
        </w:tc>
        <w:tc>
          <w:tcPr>
            <w:tcW w:w="3313" w:type="dxa"/>
            <w:gridSpan w:val="2"/>
          </w:tcPr>
          <w:p>
            <w:pPr>
              <w:pStyle w:val="TableNAm"/>
              <w:spacing w:before="60"/>
            </w:pPr>
            <w:r>
              <w:t>$937.50 + 0.75 cent for each $1 in excess of $875 000</w:t>
            </w:r>
          </w:p>
        </w:tc>
      </w:tr>
      <w:tr>
        <w:trPr>
          <w:cantSplit/>
          <w:jc w:val="right"/>
        </w:trPr>
        <w:tc>
          <w:tcPr>
            <w:tcW w:w="1342" w:type="dxa"/>
          </w:tcPr>
          <w:p>
            <w:pPr>
              <w:pStyle w:val="TableNAm"/>
              <w:spacing w:before="60"/>
            </w:pPr>
            <w:r>
              <w:t>2 000 000</w:t>
            </w:r>
          </w:p>
        </w:tc>
        <w:tc>
          <w:tcPr>
            <w:tcW w:w="1560" w:type="dxa"/>
          </w:tcPr>
          <w:p>
            <w:pPr>
              <w:pStyle w:val="TableNAm"/>
              <w:spacing w:before="60"/>
            </w:pPr>
            <w:r>
              <w:t>5 000 000</w:t>
            </w:r>
          </w:p>
        </w:tc>
        <w:tc>
          <w:tcPr>
            <w:tcW w:w="3313" w:type="dxa"/>
            <w:gridSpan w:val="2"/>
          </w:tcPr>
          <w:p>
            <w:pPr>
              <w:pStyle w:val="TableNAm"/>
              <w:spacing w:before="60"/>
            </w:pPr>
            <w:r>
              <w:t>$9 375.00 + 1.30 cents for each $1 in excess of $2 000 000</w:t>
            </w:r>
          </w:p>
        </w:tc>
      </w:tr>
      <w:tr>
        <w:trPr>
          <w:cantSplit/>
          <w:jc w:val="right"/>
        </w:trPr>
        <w:tc>
          <w:tcPr>
            <w:tcW w:w="1342" w:type="dxa"/>
          </w:tcPr>
          <w:p>
            <w:pPr>
              <w:pStyle w:val="TableNAm"/>
              <w:spacing w:before="60"/>
            </w:pPr>
            <w:r>
              <w:t>5 000 000</w:t>
            </w:r>
          </w:p>
        </w:tc>
        <w:tc>
          <w:tcPr>
            <w:tcW w:w="1560" w:type="dxa"/>
          </w:tcPr>
          <w:p>
            <w:pPr>
              <w:pStyle w:val="TableNAm"/>
              <w:spacing w:before="60"/>
            </w:pPr>
            <w:r>
              <w:t>10 000 000</w:t>
            </w:r>
          </w:p>
        </w:tc>
        <w:tc>
          <w:tcPr>
            <w:tcW w:w="3313" w:type="dxa"/>
            <w:gridSpan w:val="2"/>
          </w:tcPr>
          <w:p>
            <w:pPr>
              <w:pStyle w:val="TableNAm"/>
              <w:spacing w:before="60"/>
            </w:pPr>
            <w:r>
              <w:t>$48 375.00 + 1.55 cents for each $1 in excess of $5 000 000</w:t>
            </w:r>
          </w:p>
        </w:tc>
      </w:tr>
      <w:tr>
        <w:trPr>
          <w:cantSplit/>
          <w:jc w:val="right"/>
        </w:trPr>
        <w:tc>
          <w:tcPr>
            <w:tcW w:w="1342" w:type="dxa"/>
            <w:tcBorders>
              <w:bottom w:val="single" w:sz="4" w:space="0" w:color="auto"/>
            </w:tcBorders>
          </w:tcPr>
          <w:p>
            <w:pPr>
              <w:pStyle w:val="TableNAm"/>
              <w:spacing w:before="60"/>
            </w:pPr>
            <w:r>
              <w:t>10 000 000</w:t>
            </w:r>
          </w:p>
        </w:tc>
        <w:tc>
          <w:tcPr>
            <w:tcW w:w="1560" w:type="dxa"/>
            <w:tcBorders>
              <w:bottom w:val="single" w:sz="4" w:space="0" w:color="auto"/>
            </w:tcBorders>
          </w:tcPr>
          <w:p>
            <w:pPr>
              <w:pStyle w:val="TableNAm"/>
              <w:spacing w:before="60"/>
            </w:pPr>
          </w:p>
        </w:tc>
        <w:tc>
          <w:tcPr>
            <w:tcW w:w="3313" w:type="dxa"/>
            <w:gridSpan w:val="2"/>
            <w:tcBorders>
              <w:bottom w:val="single" w:sz="4" w:space="0" w:color="auto"/>
            </w:tcBorders>
          </w:tcPr>
          <w:p>
            <w:pPr>
              <w:pStyle w:val="TableNAm"/>
              <w:spacing w:before="60"/>
            </w:pPr>
            <w:r>
              <w:t>$125 875.00 + 2.30 cents for each $1 in excess of $10 000 000</w:t>
            </w:r>
          </w:p>
        </w:tc>
      </w:tr>
    </w:tbl>
    <w:p>
      <w:pPr>
        <w:pStyle w:val="THeadingNAm"/>
      </w:pPr>
      <w:r>
        <w:t xml:space="preserve">Table 7: Land tax rates for 2008/09 </w:t>
      </w:r>
    </w:p>
    <w:tbl>
      <w:tblPr>
        <w:tblW w:w="0" w:type="auto"/>
        <w:jc w:val="right"/>
        <w:tblLayout w:type="fixed"/>
        <w:tblCellMar>
          <w:left w:w="57" w:type="dxa"/>
          <w:right w:w="57" w:type="dxa"/>
        </w:tblCellMar>
        <w:tblLook w:val="0000" w:firstRow="0" w:lastRow="0" w:firstColumn="0" w:lastColumn="0" w:noHBand="0" w:noVBand="0"/>
      </w:tblPr>
      <w:tblGrid>
        <w:gridCol w:w="1274"/>
        <w:gridCol w:w="1568"/>
        <w:gridCol w:w="3345"/>
      </w:tblGrid>
      <w:tr>
        <w:trPr>
          <w:cantSplit/>
          <w:tblHeader/>
          <w:jc w:val="right"/>
        </w:trPr>
        <w:tc>
          <w:tcPr>
            <w:tcW w:w="2842" w:type="dxa"/>
            <w:gridSpan w:val="2"/>
            <w:tcBorders>
              <w:top w:val="single" w:sz="4" w:space="0" w:color="auto"/>
              <w:bottom w:val="single" w:sz="4" w:space="0" w:color="auto"/>
            </w:tcBorders>
          </w:tcPr>
          <w:p>
            <w:pPr>
              <w:pStyle w:val="TableNAm"/>
              <w:keepNext/>
              <w:spacing w:before="0"/>
              <w:jc w:val="center"/>
              <w:rPr>
                <w:b/>
                <w:bCs/>
              </w:rPr>
            </w:pPr>
            <w:r>
              <w:rPr>
                <w:b/>
                <w:bCs/>
              </w:rPr>
              <w:t xml:space="preserve">Unimproved value </w:t>
            </w:r>
            <w:r>
              <w:rPr>
                <w:b/>
                <w:bCs/>
              </w:rPr>
              <w:br/>
              <w:t>of the land</w:t>
            </w:r>
          </w:p>
        </w:tc>
        <w:tc>
          <w:tcPr>
            <w:tcW w:w="3345" w:type="dxa"/>
            <w:vMerge w:val="restart"/>
            <w:tcBorders>
              <w:top w:val="single" w:sz="4" w:space="0" w:color="auto"/>
            </w:tcBorders>
            <w:vAlign w:val="center"/>
          </w:tcPr>
          <w:p>
            <w:pPr>
              <w:pStyle w:val="TableNAm"/>
              <w:keepNext/>
              <w:spacing w:before="280"/>
              <w:jc w:val="center"/>
              <w:rPr>
                <w:b/>
                <w:bCs/>
              </w:rPr>
            </w:pPr>
            <w:r>
              <w:rPr>
                <w:b/>
                <w:bCs/>
              </w:rPr>
              <w:t>Rate of land tax</w:t>
            </w:r>
          </w:p>
        </w:tc>
      </w:tr>
      <w:tr>
        <w:trPr>
          <w:cantSplit/>
          <w:tblHeader/>
          <w:jc w:val="right"/>
        </w:trPr>
        <w:tc>
          <w:tcPr>
            <w:tcW w:w="1274" w:type="dxa"/>
            <w:tcBorders>
              <w:top w:val="single" w:sz="4" w:space="0" w:color="auto"/>
              <w:bottom w:val="single" w:sz="4" w:space="0" w:color="auto"/>
            </w:tcBorders>
          </w:tcPr>
          <w:p>
            <w:pPr>
              <w:pStyle w:val="TableNAm"/>
              <w:keepNext/>
              <w:spacing w:before="0"/>
              <w:jc w:val="center"/>
              <w:rPr>
                <w:b/>
                <w:bCs/>
              </w:rPr>
            </w:pPr>
            <w:r>
              <w:rPr>
                <w:b/>
                <w:bCs/>
              </w:rPr>
              <w:t>Exceeding</w:t>
            </w:r>
          </w:p>
          <w:p>
            <w:pPr>
              <w:pStyle w:val="TableNAm"/>
              <w:keepNext/>
              <w:spacing w:before="0"/>
              <w:jc w:val="center"/>
              <w:rPr>
                <w:b/>
                <w:bCs/>
              </w:rPr>
            </w:pPr>
            <w:r>
              <w:rPr>
                <w:b/>
                <w:bCs/>
              </w:rPr>
              <w:t>($)</w:t>
            </w:r>
          </w:p>
        </w:tc>
        <w:tc>
          <w:tcPr>
            <w:tcW w:w="1568" w:type="dxa"/>
            <w:tcBorders>
              <w:top w:val="single" w:sz="4" w:space="0" w:color="auto"/>
              <w:bottom w:val="single" w:sz="4" w:space="0" w:color="auto"/>
            </w:tcBorders>
          </w:tcPr>
          <w:p>
            <w:pPr>
              <w:pStyle w:val="TableNAm"/>
              <w:keepNext/>
              <w:spacing w:before="0"/>
              <w:jc w:val="center"/>
              <w:rPr>
                <w:b/>
                <w:bCs/>
              </w:rPr>
            </w:pPr>
            <w:r>
              <w:rPr>
                <w:b/>
                <w:bCs/>
              </w:rPr>
              <w:t>Not exceeding</w:t>
            </w:r>
          </w:p>
          <w:p>
            <w:pPr>
              <w:pStyle w:val="TableNAm"/>
              <w:keepNext/>
              <w:spacing w:before="0"/>
              <w:jc w:val="center"/>
              <w:rPr>
                <w:b/>
                <w:bCs/>
              </w:rPr>
            </w:pPr>
            <w:r>
              <w:rPr>
                <w:b/>
                <w:bCs/>
              </w:rPr>
              <w:t>($)</w:t>
            </w:r>
          </w:p>
        </w:tc>
        <w:tc>
          <w:tcPr>
            <w:tcW w:w="3345" w:type="dxa"/>
            <w:vMerge/>
            <w:tcBorders>
              <w:bottom w:val="single" w:sz="4" w:space="0" w:color="auto"/>
            </w:tcBorders>
          </w:tcPr>
          <w:p>
            <w:pPr>
              <w:pStyle w:val="TableNAm"/>
              <w:keepNext/>
              <w:spacing w:before="60"/>
              <w:jc w:val="center"/>
            </w:pPr>
          </w:p>
        </w:tc>
      </w:tr>
      <w:tr>
        <w:trPr>
          <w:cantSplit/>
          <w:jc w:val="right"/>
        </w:trPr>
        <w:tc>
          <w:tcPr>
            <w:tcW w:w="1274" w:type="dxa"/>
            <w:tcBorders>
              <w:top w:val="single" w:sz="4" w:space="0" w:color="auto"/>
            </w:tcBorders>
          </w:tcPr>
          <w:p>
            <w:pPr>
              <w:pStyle w:val="TableNAm"/>
              <w:keepNext/>
              <w:spacing w:before="60"/>
            </w:pPr>
            <w:r>
              <w:t>0</w:t>
            </w:r>
          </w:p>
        </w:tc>
        <w:tc>
          <w:tcPr>
            <w:tcW w:w="1568" w:type="dxa"/>
            <w:tcBorders>
              <w:top w:val="single" w:sz="4" w:space="0" w:color="auto"/>
            </w:tcBorders>
          </w:tcPr>
          <w:p>
            <w:pPr>
              <w:pStyle w:val="TableNAm"/>
              <w:keepNext/>
              <w:spacing w:before="60"/>
            </w:pPr>
            <w:r>
              <w:t>300 000</w:t>
            </w:r>
          </w:p>
        </w:tc>
        <w:tc>
          <w:tcPr>
            <w:tcW w:w="3345" w:type="dxa"/>
            <w:tcBorders>
              <w:top w:val="single" w:sz="4" w:space="0" w:color="auto"/>
            </w:tcBorders>
          </w:tcPr>
          <w:p>
            <w:pPr>
              <w:pStyle w:val="TableNAm"/>
              <w:keepNext/>
              <w:spacing w:before="60"/>
            </w:pPr>
            <w:r>
              <w:t>Nil</w:t>
            </w:r>
          </w:p>
        </w:tc>
      </w:tr>
      <w:tr>
        <w:trPr>
          <w:cantSplit/>
          <w:jc w:val="right"/>
        </w:trPr>
        <w:tc>
          <w:tcPr>
            <w:tcW w:w="1274" w:type="dxa"/>
          </w:tcPr>
          <w:p>
            <w:pPr>
              <w:pStyle w:val="TableNAm"/>
              <w:spacing w:before="60"/>
            </w:pPr>
            <w:r>
              <w:t>300 000</w:t>
            </w:r>
          </w:p>
        </w:tc>
        <w:tc>
          <w:tcPr>
            <w:tcW w:w="1568" w:type="dxa"/>
          </w:tcPr>
          <w:p>
            <w:pPr>
              <w:pStyle w:val="TableNAm"/>
              <w:spacing w:before="60"/>
            </w:pPr>
            <w:r>
              <w:t>1 000 000</w:t>
            </w:r>
          </w:p>
        </w:tc>
        <w:tc>
          <w:tcPr>
            <w:tcW w:w="3345" w:type="dxa"/>
          </w:tcPr>
          <w:p>
            <w:pPr>
              <w:pStyle w:val="TableNAm"/>
              <w:spacing w:before="60"/>
            </w:pPr>
            <w:r>
              <w:t>0.09 cent for each $1 in excess of $300 000</w:t>
            </w:r>
          </w:p>
        </w:tc>
      </w:tr>
      <w:tr>
        <w:trPr>
          <w:cantSplit/>
          <w:jc w:val="right"/>
        </w:trPr>
        <w:tc>
          <w:tcPr>
            <w:tcW w:w="1274" w:type="dxa"/>
          </w:tcPr>
          <w:p>
            <w:pPr>
              <w:pStyle w:val="TableNAm"/>
              <w:spacing w:before="60"/>
            </w:pPr>
            <w:r>
              <w:t>1 000 000</w:t>
            </w:r>
          </w:p>
        </w:tc>
        <w:tc>
          <w:tcPr>
            <w:tcW w:w="1568" w:type="dxa"/>
          </w:tcPr>
          <w:p>
            <w:pPr>
              <w:pStyle w:val="TableNAm"/>
              <w:spacing w:before="60"/>
            </w:pPr>
            <w:r>
              <w:t>2 200 000</w:t>
            </w:r>
          </w:p>
        </w:tc>
        <w:tc>
          <w:tcPr>
            <w:tcW w:w="3345" w:type="dxa"/>
          </w:tcPr>
          <w:p>
            <w:pPr>
              <w:pStyle w:val="TableNAm"/>
              <w:spacing w:before="60"/>
            </w:pPr>
            <w:r>
              <w:t xml:space="preserve">$630 + 0.47 cent for each </w:t>
            </w:r>
            <w:r>
              <w:br/>
              <w:t>$1 in excess of $1 000 000</w:t>
            </w:r>
          </w:p>
        </w:tc>
      </w:tr>
      <w:tr>
        <w:trPr>
          <w:cantSplit/>
          <w:jc w:val="right"/>
        </w:trPr>
        <w:tc>
          <w:tcPr>
            <w:tcW w:w="1274" w:type="dxa"/>
          </w:tcPr>
          <w:p>
            <w:pPr>
              <w:pStyle w:val="TableNAm"/>
              <w:spacing w:before="60"/>
            </w:pPr>
            <w:r>
              <w:t>2 200 000</w:t>
            </w:r>
          </w:p>
        </w:tc>
        <w:tc>
          <w:tcPr>
            <w:tcW w:w="1568" w:type="dxa"/>
          </w:tcPr>
          <w:p>
            <w:pPr>
              <w:pStyle w:val="TableNAm"/>
              <w:spacing w:before="60"/>
            </w:pPr>
            <w:r>
              <w:t>5 500 000</w:t>
            </w:r>
          </w:p>
        </w:tc>
        <w:tc>
          <w:tcPr>
            <w:tcW w:w="3345" w:type="dxa"/>
          </w:tcPr>
          <w:p>
            <w:pPr>
              <w:pStyle w:val="TableNAm"/>
              <w:spacing w:before="60"/>
            </w:pPr>
            <w:r>
              <w:t>$6 270 + 1.22 cents for each $1 in excess of $2 200 000</w:t>
            </w:r>
          </w:p>
        </w:tc>
      </w:tr>
      <w:tr>
        <w:trPr>
          <w:cantSplit/>
          <w:jc w:val="right"/>
        </w:trPr>
        <w:tc>
          <w:tcPr>
            <w:tcW w:w="1274" w:type="dxa"/>
          </w:tcPr>
          <w:p>
            <w:pPr>
              <w:pStyle w:val="TableNAm"/>
              <w:spacing w:before="60"/>
            </w:pPr>
            <w:r>
              <w:t>5 500 000</w:t>
            </w:r>
          </w:p>
        </w:tc>
        <w:tc>
          <w:tcPr>
            <w:tcW w:w="1568" w:type="dxa"/>
          </w:tcPr>
          <w:p>
            <w:pPr>
              <w:pStyle w:val="TableNAm"/>
              <w:spacing w:before="60"/>
            </w:pPr>
            <w:r>
              <w:t>11 000 000</w:t>
            </w:r>
          </w:p>
        </w:tc>
        <w:tc>
          <w:tcPr>
            <w:tcW w:w="3345" w:type="dxa"/>
          </w:tcPr>
          <w:p>
            <w:pPr>
              <w:pStyle w:val="TableNAm"/>
              <w:spacing w:before="60"/>
            </w:pPr>
            <w:r>
              <w:t>$46 530 + 1.46 cents for each $1 in excess of $5 500 000</w:t>
            </w:r>
          </w:p>
        </w:tc>
      </w:tr>
      <w:tr>
        <w:trPr>
          <w:cantSplit/>
          <w:jc w:val="right"/>
        </w:trPr>
        <w:tc>
          <w:tcPr>
            <w:tcW w:w="1274" w:type="dxa"/>
            <w:tcBorders>
              <w:bottom w:val="single" w:sz="4" w:space="0" w:color="auto"/>
            </w:tcBorders>
          </w:tcPr>
          <w:p>
            <w:pPr>
              <w:pStyle w:val="TableNAm"/>
              <w:spacing w:before="60"/>
            </w:pPr>
            <w:r>
              <w:t>11 000 000</w:t>
            </w:r>
          </w:p>
        </w:tc>
        <w:tc>
          <w:tcPr>
            <w:tcW w:w="1568" w:type="dxa"/>
            <w:tcBorders>
              <w:bottom w:val="single" w:sz="4" w:space="0" w:color="auto"/>
            </w:tcBorders>
          </w:tcPr>
          <w:p>
            <w:pPr>
              <w:pStyle w:val="TableNAm"/>
              <w:spacing w:before="60"/>
            </w:pPr>
          </w:p>
        </w:tc>
        <w:tc>
          <w:tcPr>
            <w:tcW w:w="3345" w:type="dxa"/>
            <w:tcBorders>
              <w:bottom w:val="single" w:sz="4" w:space="0" w:color="auto"/>
            </w:tcBorders>
          </w:tcPr>
          <w:p>
            <w:pPr>
              <w:pStyle w:val="TableNAm"/>
              <w:spacing w:before="60"/>
            </w:pPr>
            <w:r>
              <w:t>$126 830 + 2.16 cents for each $1 in excess of $11 000 000</w:t>
            </w:r>
          </w:p>
        </w:tc>
      </w:tr>
    </w:tbl>
    <w:p>
      <w:pPr>
        <w:pStyle w:val="THeadingNAm"/>
      </w:pPr>
      <w:r>
        <w:t>Table 8: Land tax rates for 2009/10, 2010/11, 2011/12 and 2012/13</w:t>
      </w:r>
    </w:p>
    <w:tbl>
      <w:tblPr>
        <w:tblW w:w="0" w:type="auto"/>
        <w:tblInd w:w="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320"/>
        <w:gridCol w:w="1560"/>
        <w:gridCol w:w="3304"/>
      </w:tblGrid>
      <w:tr>
        <w:trPr>
          <w:cantSplit/>
          <w:tblHeader/>
        </w:trPr>
        <w:tc>
          <w:tcPr>
            <w:tcW w:w="2880" w:type="dxa"/>
            <w:gridSpan w:val="2"/>
            <w:tcBorders>
              <w:right w:val="nil"/>
            </w:tcBorders>
          </w:tcPr>
          <w:p>
            <w:pPr>
              <w:pStyle w:val="TableNAm"/>
              <w:spacing w:before="60"/>
              <w:jc w:val="center"/>
              <w:rPr>
                <w:b/>
                <w:bCs/>
              </w:rPr>
            </w:pPr>
            <w:r>
              <w:rPr>
                <w:b/>
                <w:bCs/>
              </w:rPr>
              <w:t>Taxable value of the land</w:t>
            </w:r>
          </w:p>
        </w:tc>
        <w:tc>
          <w:tcPr>
            <w:tcW w:w="3304" w:type="dxa"/>
            <w:vMerge w:val="restart"/>
            <w:tcBorders>
              <w:left w:val="nil"/>
            </w:tcBorders>
            <w:vAlign w:val="center"/>
          </w:tcPr>
          <w:p>
            <w:pPr>
              <w:pStyle w:val="TableNAm"/>
              <w:spacing w:before="200"/>
              <w:jc w:val="center"/>
              <w:rPr>
                <w:b/>
                <w:bCs/>
              </w:rPr>
            </w:pPr>
            <w:r>
              <w:rPr>
                <w:b/>
                <w:bCs/>
              </w:rPr>
              <w:t>Rate of land tax</w:t>
            </w:r>
          </w:p>
        </w:tc>
      </w:tr>
      <w:tr>
        <w:trPr>
          <w:cantSplit/>
        </w:trPr>
        <w:tc>
          <w:tcPr>
            <w:tcW w:w="1320" w:type="dxa"/>
            <w:tcBorders>
              <w:bottom w:val="single" w:sz="4" w:space="0" w:color="auto"/>
              <w:right w:val="nil"/>
            </w:tcBorders>
          </w:tcPr>
          <w:p>
            <w:pPr>
              <w:pStyle w:val="TableNAm"/>
              <w:spacing w:before="60"/>
              <w:jc w:val="center"/>
              <w:rPr>
                <w:b/>
                <w:bCs/>
              </w:rPr>
            </w:pPr>
            <w:r>
              <w:rPr>
                <w:b/>
                <w:bCs/>
              </w:rPr>
              <w:t>Exceeding ($)</w:t>
            </w:r>
          </w:p>
        </w:tc>
        <w:tc>
          <w:tcPr>
            <w:tcW w:w="1560" w:type="dxa"/>
            <w:tcBorders>
              <w:left w:val="nil"/>
              <w:bottom w:val="single" w:sz="4" w:space="0" w:color="auto"/>
              <w:right w:val="nil"/>
            </w:tcBorders>
          </w:tcPr>
          <w:p>
            <w:pPr>
              <w:pStyle w:val="TableNAm"/>
              <w:spacing w:before="60"/>
              <w:jc w:val="center"/>
              <w:rPr>
                <w:b/>
                <w:bCs/>
              </w:rPr>
            </w:pPr>
            <w:r>
              <w:rPr>
                <w:b/>
                <w:bCs/>
              </w:rPr>
              <w:t>Not exceeding ($)</w:t>
            </w:r>
          </w:p>
        </w:tc>
        <w:tc>
          <w:tcPr>
            <w:tcW w:w="3304" w:type="dxa"/>
            <w:vMerge/>
            <w:tcBorders>
              <w:left w:val="nil"/>
              <w:bottom w:val="single" w:sz="4" w:space="0" w:color="auto"/>
            </w:tcBorders>
          </w:tcPr>
          <w:p>
            <w:pPr>
              <w:pStyle w:val="TableNAm"/>
              <w:spacing w:before="60"/>
            </w:pPr>
          </w:p>
        </w:tc>
      </w:tr>
      <w:tr>
        <w:tc>
          <w:tcPr>
            <w:tcW w:w="1320" w:type="dxa"/>
            <w:tcBorders>
              <w:bottom w:val="nil"/>
              <w:right w:val="nil"/>
            </w:tcBorders>
          </w:tcPr>
          <w:p>
            <w:pPr>
              <w:pStyle w:val="TableNAm"/>
              <w:spacing w:before="60"/>
            </w:pPr>
            <w:r>
              <w:t>0</w:t>
            </w:r>
          </w:p>
        </w:tc>
        <w:tc>
          <w:tcPr>
            <w:tcW w:w="1560" w:type="dxa"/>
            <w:tcBorders>
              <w:left w:val="nil"/>
              <w:bottom w:val="nil"/>
              <w:right w:val="nil"/>
            </w:tcBorders>
          </w:tcPr>
          <w:p>
            <w:pPr>
              <w:pStyle w:val="TableNAm"/>
              <w:spacing w:before="60"/>
            </w:pPr>
            <w:r>
              <w:t>300 000</w:t>
            </w:r>
          </w:p>
        </w:tc>
        <w:tc>
          <w:tcPr>
            <w:tcW w:w="3304" w:type="dxa"/>
            <w:tcBorders>
              <w:left w:val="nil"/>
              <w:bottom w:val="nil"/>
            </w:tcBorders>
          </w:tcPr>
          <w:p>
            <w:pPr>
              <w:pStyle w:val="TableNAm"/>
              <w:spacing w:before="60"/>
            </w:pPr>
            <w:r>
              <w:t>Nil</w:t>
            </w:r>
          </w:p>
        </w:tc>
      </w:tr>
      <w:tr>
        <w:tc>
          <w:tcPr>
            <w:tcW w:w="1320" w:type="dxa"/>
            <w:tcBorders>
              <w:top w:val="nil"/>
              <w:bottom w:val="nil"/>
              <w:right w:val="nil"/>
            </w:tcBorders>
          </w:tcPr>
          <w:p>
            <w:pPr>
              <w:pStyle w:val="TableNAm"/>
              <w:spacing w:before="60"/>
            </w:pPr>
            <w:r>
              <w:t>300 000</w:t>
            </w:r>
          </w:p>
        </w:tc>
        <w:tc>
          <w:tcPr>
            <w:tcW w:w="1560" w:type="dxa"/>
            <w:tcBorders>
              <w:top w:val="nil"/>
              <w:left w:val="nil"/>
              <w:bottom w:val="nil"/>
              <w:right w:val="nil"/>
            </w:tcBorders>
          </w:tcPr>
          <w:p>
            <w:pPr>
              <w:pStyle w:val="TableNAm"/>
              <w:spacing w:before="60"/>
            </w:pPr>
            <w:r>
              <w:t>1 000 000</w:t>
            </w:r>
          </w:p>
        </w:tc>
        <w:tc>
          <w:tcPr>
            <w:tcW w:w="3304" w:type="dxa"/>
            <w:tcBorders>
              <w:top w:val="nil"/>
              <w:left w:val="nil"/>
              <w:bottom w:val="nil"/>
            </w:tcBorders>
          </w:tcPr>
          <w:p>
            <w:pPr>
              <w:pStyle w:val="TableNAm"/>
              <w:spacing w:before="60"/>
            </w:pPr>
            <w:r>
              <w:t>0.09 cent for each $1 in excess of $300 000</w:t>
            </w:r>
          </w:p>
        </w:tc>
      </w:tr>
      <w:tr>
        <w:tc>
          <w:tcPr>
            <w:tcW w:w="1320" w:type="dxa"/>
            <w:tcBorders>
              <w:top w:val="nil"/>
              <w:bottom w:val="nil"/>
              <w:right w:val="nil"/>
            </w:tcBorders>
          </w:tcPr>
          <w:p>
            <w:pPr>
              <w:pStyle w:val="TableNAm"/>
              <w:spacing w:before="60"/>
            </w:pPr>
            <w:r>
              <w:t>1 000 000</w:t>
            </w:r>
          </w:p>
        </w:tc>
        <w:tc>
          <w:tcPr>
            <w:tcW w:w="1560" w:type="dxa"/>
            <w:tcBorders>
              <w:top w:val="nil"/>
              <w:left w:val="nil"/>
              <w:bottom w:val="nil"/>
              <w:right w:val="nil"/>
            </w:tcBorders>
          </w:tcPr>
          <w:p>
            <w:pPr>
              <w:pStyle w:val="TableNAm"/>
              <w:spacing w:before="60"/>
            </w:pPr>
            <w:r>
              <w:t>2 200 000</w:t>
            </w:r>
          </w:p>
        </w:tc>
        <w:tc>
          <w:tcPr>
            <w:tcW w:w="3304" w:type="dxa"/>
            <w:tcBorders>
              <w:top w:val="nil"/>
              <w:left w:val="nil"/>
              <w:bottom w:val="nil"/>
            </w:tcBorders>
          </w:tcPr>
          <w:p>
            <w:pPr>
              <w:pStyle w:val="TableNAm"/>
              <w:spacing w:before="60"/>
            </w:pPr>
            <w:r>
              <w:t>$630 + 0.47 cent for each $1 in excess of $1 000 000</w:t>
            </w:r>
          </w:p>
        </w:tc>
      </w:tr>
      <w:tr>
        <w:tc>
          <w:tcPr>
            <w:tcW w:w="1320" w:type="dxa"/>
            <w:tcBorders>
              <w:top w:val="nil"/>
              <w:bottom w:val="nil"/>
              <w:right w:val="nil"/>
            </w:tcBorders>
          </w:tcPr>
          <w:p>
            <w:pPr>
              <w:pStyle w:val="TableNAm"/>
              <w:spacing w:before="60"/>
            </w:pPr>
            <w:r>
              <w:t>2 200 000</w:t>
            </w:r>
          </w:p>
        </w:tc>
        <w:tc>
          <w:tcPr>
            <w:tcW w:w="1560" w:type="dxa"/>
            <w:tcBorders>
              <w:top w:val="nil"/>
              <w:left w:val="nil"/>
              <w:bottom w:val="nil"/>
              <w:right w:val="nil"/>
            </w:tcBorders>
          </w:tcPr>
          <w:p>
            <w:pPr>
              <w:pStyle w:val="TableNAm"/>
              <w:spacing w:before="60"/>
            </w:pPr>
            <w:r>
              <w:t>5 500 000</w:t>
            </w:r>
          </w:p>
        </w:tc>
        <w:tc>
          <w:tcPr>
            <w:tcW w:w="3304" w:type="dxa"/>
            <w:tcBorders>
              <w:top w:val="nil"/>
              <w:left w:val="nil"/>
              <w:bottom w:val="nil"/>
            </w:tcBorders>
          </w:tcPr>
          <w:p>
            <w:pPr>
              <w:pStyle w:val="TableNAm"/>
              <w:spacing w:before="60"/>
            </w:pPr>
            <w:r>
              <w:t>$6 270 + 1.22 cents for each $1 in excess of $2 200 000</w:t>
            </w:r>
          </w:p>
        </w:tc>
      </w:tr>
      <w:tr>
        <w:tc>
          <w:tcPr>
            <w:tcW w:w="1320" w:type="dxa"/>
            <w:tcBorders>
              <w:top w:val="nil"/>
              <w:bottom w:val="nil"/>
              <w:right w:val="nil"/>
            </w:tcBorders>
          </w:tcPr>
          <w:p>
            <w:pPr>
              <w:pStyle w:val="TableNAm"/>
              <w:spacing w:before="60"/>
            </w:pPr>
            <w:r>
              <w:t>5 500 000</w:t>
            </w:r>
          </w:p>
        </w:tc>
        <w:tc>
          <w:tcPr>
            <w:tcW w:w="1560" w:type="dxa"/>
            <w:tcBorders>
              <w:top w:val="nil"/>
              <w:left w:val="nil"/>
              <w:bottom w:val="nil"/>
              <w:right w:val="nil"/>
            </w:tcBorders>
          </w:tcPr>
          <w:p>
            <w:pPr>
              <w:pStyle w:val="TableNAm"/>
              <w:spacing w:before="60"/>
            </w:pPr>
            <w:r>
              <w:t>11 000 000</w:t>
            </w:r>
          </w:p>
        </w:tc>
        <w:tc>
          <w:tcPr>
            <w:tcW w:w="3304" w:type="dxa"/>
            <w:tcBorders>
              <w:top w:val="nil"/>
              <w:left w:val="nil"/>
              <w:bottom w:val="nil"/>
            </w:tcBorders>
          </w:tcPr>
          <w:p>
            <w:pPr>
              <w:pStyle w:val="TableNAm"/>
              <w:spacing w:before="60"/>
            </w:pPr>
            <w:r>
              <w:t>$46 530 + 1.46 cents for each $1 in excess of $5 500 000</w:t>
            </w:r>
          </w:p>
        </w:tc>
      </w:tr>
      <w:tr>
        <w:tc>
          <w:tcPr>
            <w:tcW w:w="1320" w:type="dxa"/>
            <w:tcBorders>
              <w:top w:val="nil"/>
              <w:right w:val="nil"/>
            </w:tcBorders>
          </w:tcPr>
          <w:p>
            <w:pPr>
              <w:pStyle w:val="TableNAm"/>
              <w:spacing w:before="60"/>
            </w:pPr>
            <w:r>
              <w:t>11 000 000</w:t>
            </w:r>
          </w:p>
        </w:tc>
        <w:tc>
          <w:tcPr>
            <w:tcW w:w="1560" w:type="dxa"/>
            <w:tcBorders>
              <w:top w:val="nil"/>
              <w:left w:val="nil"/>
              <w:right w:val="nil"/>
            </w:tcBorders>
          </w:tcPr>
          <w:p>
            <w:pPr>
              <w:pStyle w:val="TableNAm"/>
              <w:spacing w:before="60"/>
            </w:pPr>
          </w:p>
        </w:tc>
        <w:tc>
          <w:tcPr>
            <w:tcW w:w="3304" w:type="dxa"/>
            <w:tcBorders>
              <w:top w:val="nil"/>
              <w:left w:val="nil"/>
            </w:tcBorders>
          </w:tcPr>
          <w:p>
            <w:pPr>
              <w:pStyle w:val="TableNAm"/>
              <w:spacing w:before="60"/>
            </w:pPr>
            <w:r>
              <w:t>$126 830 + 2.16 cents for each $1 in excess of $11 000 000</w:t>
            </w:r>
          </w:p>
        </w:tc>
      </w:tr>
    </w:tbl>
    <w:p>
      <w:pPr>
        <w:pStyle w:val="THeadingNAm"/>
      </w:pPr>
      <w:r>
        <w:t>Table 9: Land tax rates for 2013/14</w:t>
      </w:r>
    </w:p>
    <w:tbl>
      <w:tblPr>
        <w:tblW w:w="0" w:type="auto"/>
        <w:tblInd w:w="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bottom w:w="113" w:type="dxa"/>
          <w:right w:w="57" w:type="dxa"/>
        </w:tblCellMar>
        <w:tblLook w:val="0000" w:firstRow="0" w:lastRow="0" w:firstColumn="0" w:lastColumn="0" w:noHBand="0" w:noVBand="0"/>
      </w:tblPr>
      <w:tblGrid>
        <w:gridCol w:w="1320"/>
        <w:gridCol w:w="1560"/>
        <w:gridCol w:w="3304"/>
      </w:tblGrid>
      <w:tr>
        <w:trPr>
          <w:tblHeader/>
        </w:trPr>
        <w:tc>
          <w:tcPr>
            <w:tcW w:w="2880" w:type="dxa"/>
            <w:gridSpan w:val="2"/>
            <w:tcBorders>
              <w:bottom w:val="nil"/>
              <w:right w:val="single" w:sz="4" w:space="0" w:color="auto"/>
            </w:tcBorders>
          </w:tcPr>
          <w:p>
            <w:pPr>
              <w:pStyle w:val="TableNAm"/>
              <w:spacing w:before="0"/>
              <w:jc w:val="center"/>
              <w:rPr>
                <w:b/>
              </w:rPr>
            </w:pPr>
            <w:r>
              <w:rPr>
                <w:b/>
              </w:rPr>
              <w:t>Taxable value of the land</w:t>
            </w:r>
          </w:p>
        </w:tc>
        <w:tc>
          <w:tcPr>
            <w:tcW w:w="3304" w:type="dxa"/>
            <w:vMerge w:val="restart"/>
            <w:tcBorders>
              <w:left w:val="single" w:sz="4" w:space="0" w:color="auto"/>
            </w:tcBorders>
          </w:tcPr>
          <w:p>
            <w:pPr>
              <w:pStyle w:val="TableNAm"/>
              <w:spacing w:before="0"/>
            </w:pPr>
          </w:p>
          <w:p>
            <w:pPr>
              <w:pStyle w:val="TableNAm"/>
              <w:spacing w:before="0"/>
              <w:jc w:val="center"/>
              <w:rPr>
                <w:b/>
              </w:rPr>
            </w:pPr>
            <w:r>
              <w:rPr>
                <w:b/>
              </w:rPr>
              <w:t>Rate of land tax</w:t>
            </w:r>
          </w:p>
        </w:tc>
      </w:tr>
      <w:tr>
        <w:trPr>
          <w:tblHeader/>
        </w:trPr>
        <w:tc>
          <w:tcPr>
            <w:tcW w:w="1320" w:type="dxa"/>
            <w:tcBorders>
              <w:bottom w:val="single" w:sz="4" w:space="0" w:color="auto"/>
              <w:right w:val="nil"/>
            </w:tcBorders>
          </w:tcPr>
          <w:p>
            <w:pPr>
              <w:pStyle w:val="TableNAm"/>
              <w:spacing w:before="0"/>
              <w:jc w:val="center"/>
              <w:rPr>
                <w:b/>
              </w:rPr>
            </w:pPr>
            <w:r>
              <w:rPr>
                <w:b/>
              </w:rPr>
              <w:t>Exceeding ($)</w:t>
            </w:r>
          </w:p>
        </w:tc>
        <w:tc>
          <w:tcPr>
            <w:tcW w:w="1560" w:type="dxa"/>
            <w:tcBorders>
              <w:left w:val="nil"/>
              <w:bottom w:val="single" w:sz="4" w:space="0" w:color="auto"/>
              <w:right w:val="single" w:sz="4" w:space="0" w:color="auto"/>
            </w:tcBorders>
          </w:tcPr>
          <w:p>
            <w:pPr>
              <w:pStyle w:val="TableNAm"/>
              <w:spacing w:before="0"/>
              <w:jc w:val="center"/>
              <w:rPr>
                <w:b/>
              </w:rPr>
            </w:pPr>
            <w:r>
              <w:rPr>
                <w:b/>
              </w:rPr>
              <w:t>Not exceeding ($)</w:t>
            </w:r>
          </w:p>
        </w:tc>
        <w:tc>
          <w:tcPr>
            <w:tcW w:w="3304" w:type="dxa"/>
            <w:vMerge/>
            <w:tcBorders>
              <w:left w:val="single" w:sz="4" w:space="0" w:color="auto"/>
              <w:bottom w:val="single" w:sz="4" w:space="0" w:color="auto"/>
            </w:tcBorders>
          </w:tcPr>
          <w:p>
            <w:pPr>
              <w:pStyle w:val="TableNAm"/>
              <w:spacing w:before="0"/>
            </w:pPr>
          </w:p>
        </w:tc>
      </w:tr>
      <w:tr>
        <w:tc>
          <w:tcPr>
            <w:tcW w:w="1320" w:type="dxa"/>
            <w:tcBorders>
              <w:top w:val="single" w:sz="4" w:space="0" w:color="auto"/>
              <w:bottom w:val="nil"/>
              <w:right w:val="nil"/>
            </w:tcBorders>
          </w:tcPr>
          <w:p>
            <w:pPr>
              <w:pStyle w:val="TableNAm"/>
              <w:spacing w:before="0"/>
            </w:pPr>
            <w:r>
              <w:t>0</w:t>
            </w:r>
          </w:p>
        </w:tc>
        <w:tc>
          <w:tcPr>
            <w:tcW w:w="1560" w:type="dxa"/>
            <w:tcBorders>
              <w:top w:val="single" w:sz="4" w:space="0" w:color="auto"/>
              <w:left w:val="nil"/>
              <w:bottom w:val="nil"/>
              <w:right w:val="single" w:sz="4" w:space="0" w:color="auto"/>
            </w:tcBorders>
          </w:tcPr>
          <w:p>
            <w:pPr>
              <w:pStyle w:val="TableNAm"/>
              <w:spacing w:before="0"/>
            </w:pPr>
            <w:r>
              <w:t>300 000</w:t>
            </w:r>
          </w:p>
        </w:tc>
        <w:tc>
          <w:tcPr>
            <w:tcW w:w="3304" w:type="dxa"/>
            <w:tcBorders>
              <w:top w:val="single" w:sz="4" w:space="0" w:color="auto"/>
              <w:left w:val="single" w:sz="4" w:space="0" w:color="auto"/>
              <w:bottom w:val="nil"/>
            </w:tcBorders>
          </w:tcPr>
          <w:p>
            <w:pPr>
              <w:pStyle w:val="TableNAm"/>
              <w:spacing w:before="0"/>
            </w:pPr>
            <w:r>
              <w:t>Nil</w:t>
            </w:r>
          </w:p>
        </w:tc>
      </w:tr>
      <w:tr>
        <w:tc>
          <w:tcPr>
            <w:tcW w:w="1320" w:type="dxa"/>
            <w:tcBorders>
              <w:top w:val="nil"/>
              <w:bottom w:val="nil"/>
              <w:right w:val="nil"/>
            </w:tcBorders>
          </w:tcPr>
          <w:p>
            <w:pPr>
              <w:pStyle w:val="TableNAm"/>
              <w:spacing w:before="0"/>
            </w:pPr>
            <w:r>
              <w:t>300 000</w:t>
            </w:r>
          </w:p>
        </w:tc>
        <w:tc>
          <w:tcPr>
            <w:tcW w:w="1560" w:type="dxa"/>
            <w:tcBorders>
              <w:top w:val="nil"/>
              <w:left w:val="nil"/>
              <w:bottom w:val="nil"/>
              <w:right w:val="single" w:sz="4" w:space="0" w:color="auto"/>
            </w:tcBorders>
          </w:tcPr>
          <w:p>
            <w:pPr>
              <w:pStyle w:val="TableNAm"/>
              <w:spacing w:before="0"/>
            </w:pPr>
            <w:r>
              <w:t>1 </w:t>
            </w:r>
            <w:r>
              <w:rPr>
                <w:b/>
              </w:rPr>
              <w:t>0</w:t>
            </w:r>
            <w:r>
              <w:t>00 000</w:t>
            </w:r>
          </w:p>
        </w:tc>
        <w:tc>
          <w:tcPr>
            <w:tcW w:w="3304" w:type="dxa"/>
            <w:tcBorders>
              <w:top w:val="nil"/>
              <w:left w:val="single" w:sz="4" w:space="0" w:color="auto"/>
              <w:bottom w:val="nil"/>
            </w:tcBorders>
          </w:tcPr>
          <w:p>
            <w:pPr>
              <w:pStyle w:val="TableNAm"/>
              <w:spacing w:before="0"/>
            </w:pPr>
            <w:r>
              <w:t>0.10 cent for each $1 in excess of $300 000</w:t>
            </w:r>
          </w:p>
        </w:tc>
      </w:tr>
      <w:tr>
        <w:tc>
          <w:tcPr>
            <w:tcW w:w="1320" w:type="dxa"/>
            <w:tcBorders>
              <w:top w:val="nil"/>
              <w:bottom w:val="nil"/>
              <w:right w:val="nil"/>
            </w:tcBorders>
          </w:tcPr>
          <w:p>
            <w:pPr>
              <w:pStyle w:val="TableNAm"/>
              <w:spacing w:before="0"/>
            </w:pPr>
            <w:r>
              <w:t>1 000 000</w:t>
            </w:r>
          </w:p>
        </w:tc>
        <w:tc>
          <w:tcPr>
            <w:tcW w:w="1560" w:type="dxa"/>
            <w:tcBorders>
              <w:top w:val="nil"/>
              <w:left w:val="nil"/>
              <w:bottom w:val="nil"/>
              <w:right w:val="single" w:sz="4" w:space="0" w:color="auto"/>
            </w:tcBorders>
          </w:tcPr>
          <w:p>
            <w:pPr>
              <w:pStyle w:val="TableNAm"/>
              <w:spacing w:before="0"/>
            </w:pPr>
            <w:r>
              <w:t>2 200 000</w:t>
            </w:r>
          </w:p>
        </w:tc>
        <w:tc>
          <w:tcPr>
            <w:tcW w:w="3304" w:type="dxa"/>
            <w:tcBorders>
              <w:top w:val="nil"/>
              <w:left w:val="single" w:sz="4" w:space="0" w:color="auto"/>
              <w:bottom w:val="nil"/>
            </w:tcBorders>
          </w:tcPr>
          <w:p>
            <w:pPr>
              <w:pStyle w:val="TableNAm"/>
              <w:spacing w:before="0"/>
            </w:pPr>
            <w:r>
              <w:t>$700 + 0.53 cent for each $1 in excess of $1 000 000</w:t>
            </w:r>
          </w:p>
        </w:tc>
      </w:tr>
      <w:tr>
        <w:tc>
          <w:tcPr>
            <w:tcW w:w="1320" w:type="dxa"/>
            <w:tcBorders>
              <w:top w:val="nil"/>
              <w:bottom w:val="nil"/>
              <w:right w:val="nil"/>
            </w:tcBorders>
          </w:tcPr>
          <w:p>
            <w:pPr>
              <w:pStyle w:val="TableNAm"/>
              <w:spacing w:before="0"/>
            </w:pPr>
            <w:r>
              <w:t>2 200 000</w:t>
            </w:r>
          </w:p>
        </w:tc>
        <w:tc>
          <w:tcPr>
            <w:tcW w:w="1560" w:type="dxa"/>
            <w:tcBorders>
              <w:top w:val="nil"/>
              <w:left w:val="nil"/>
              <w:bottom w:val="nil"/>
              <w:right w:val="single" w:sz="4" w:space="0" w:color="auto"/>
            </w:tcBorders>
          </w:tcPr>
          <w:p>
            <w:pPr>
              <w:pStyle w:val="TableNAm"/>
              <w:spacing w:before="0"/>
            </w:pPr>
            <w:r>
              <w:t>5 500 000</w:t>
            </w:r>
          </w:p>
        </w:tc>
        <w:tc>
          <w:tcPr>
            <w:tcW w:w="3304" w:type="dxa"/>
            <w:tcBorders>
              <w:top w:val="nil"/>
              <w:left w:val="single" w:sz="4" w:space="0" w:color="auto"/>
              <w:bottom w:val="nil"/>
            </w:tcBorders>
          </w:tcPr>
          <w:p>
            <w:pPr>
              <w:pStyle w:val="TableNAm"/>
              <w:spacing w:before="0"/>
            </w:pPr>
            <w:r>
              <w:t>$7 060 + 1.37 cents for each $1 in excess of $2 200 000</w:t>
            </w:r>
          </w:p>
        </w:tc>
      </w:tr>
      <w:tr>
        <w:tc>
          <w:tcPr>
            <w:tcW w:w="1320" w:type="dxa"/>
            <w:tcBorders>
              <w:top w:val="nil"/>
              <w:bottom w:val="nil"/>
              <w:right w:val="nil"/>
            </w:tcBorders>
          </w:tcPr>
          <w:p>
            <w:pPr>
              <w:pStyle w:val="TableNAm"/>
              <w:spacing w:before="0"/>
            </w:pPr>
            <w:r>
              <w:t>5 500 000</w:t>
            </w:r>
          </w:p>
        </w:tc>
        <w:tc>
          <w:tcPr>
            <w:tcW w:w="1560" w:type="dxa"/>
            <w:tcBorders>
              <w:top w:val="nil"/>
              <w:left w:val="nil"/>
              <w:bottom w:val="nil"/>
              <w:right w:val="single" w:sz="4" w:space="0" w:color="auto"/>
            </w:tcBorders>
          </w:tcPr>
          <w:p>
            <w:pPr>
              <w:pStyle w:val="TableNAm"/>
              <w:spacing w:before="0"/>
            </w:pPr>
            <w:r>
              <w:t>11 000 000</w:t>
            </w:r>
          </w:p>
        </w:tc>
        <w:tc>
          <w:tcPr>
            <w:tcW w:w="3304" w:type="dxa"/>
            <w:tcBorders>
              <w:top w:val="nil"/>
              <w:left w:val="single" w:sz="4" w:space="0" w:color="auto"/>
              <w:bottom w:val="nil"/>
            </w:tcBorders>
          </w:tcPr>
          <w:p>
            <w:pPr>
              <w:pStyle w:val="TableNAm"/>
              <w:spacing w:before="0"/>
            </w:pPr>
            <w:r>
              <w:t>$52 270 + 1.64 cents for each $1 in excess of $5 500 000</w:t>
            </w:r>
          </w:p>
        </w:tc>
      </w:tr>
      <w:tr>
        <w:tc>
          <w:tcPr>
            <w:tcW w:w="1320" w:type="dxa"/>
            <w:tcBorders>
              <w:top w:val="nil"/>
              <w:right w:val="nil"/>
            </w:tcBorders>
          </w:tcPr>
          <w:p>
            <w:pPr>
              <w:pStyle w:val="TableNAm"/>
              <w:keepNext/>
              <w:spacing w:before="0"/>
            </w:pPr>
            <w:r>
              <w:t>11 000 000</w:t>
            </w:r>
          </w:p>
        </w:tc>
        <w:tc>
          <w:tcPr>
            <w:tcW w:w="1560" w:type="dxa"/>
            <w:tcBorders>
              <w:top w:val="nil"/>
              <w:left w:val="nil"/>
              <w:right w:val="single" w:sz="4" w:space="0" w:color="auto"/>
            </w:tcBorders>
          </w:tcPr>
          <w:p>
            <w:pPr>
              <w:pStyle w:val="TableNAm"/>
              <w:keepNext/>
              <w:spacing w:before="0"/>
            </w:pPr>
          </w:p>
        </w:tc>
        <w:tc>
          <w:tcPr>
            <w:tcW w:w="3304" w:type="dxa"/>
            <w:tcBorders>
              <w:top w:val="nil"/>
              <w:left w:val="single" w:sz="4" w:space="0" w:color="auto"/>
            </w:tcBorders>
          </w:tcPr>
          <w:p>
            <w:pPr>
              <w:pStyle w:val="TableNAm"/>
              <w:keepNext/>
              <w:spacing w:before="0"/>
            </w:pPr>
            <w:r>
              <w:t>$142 470 + 2.43 cents for each $1 in excess of $11 000 000</w:t>
            </w:r>
          </w:p>
        </w:tc>
      </w:tr>
    </w:tbl>
    <w:p>
      <w:pPr>
        <w:pStyle w:val="THeadingNAm"/>
      </w:pPr>
      <w:r>
        <w:t>Table 10: Land tax rates for 2014/15 and subsequent financial years</w:t>
      </w:r>
    </w:p>
    <w:tbl>
      <w:tblPr>
        <w:tblW w:w="0" w:type="auto"/>
        <w:tblInd w:w="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bottom w:w="113" w:type="dxa"/>
          <w:right w:w="57" w:type="dxa"/>
        </w:tblCellMar>
        <w:tblLook w:val="0000" w:firstRow="0" w:lastRow="0" w:firstColumn="0" w:lastColumn="0" w:noHBand="0" w:noVBand="0"/>
      </w:tblPr>
      <w:tblGrid>
        <w:gridCol w:w="1320"/>
        <w:gridCol w:w="1560"/>
        <w:gridCol w:w="3304"/>
      </w:tblGrid>
      <w:tr>
        <w:trPr>
          <w:tblHeader/>
        </w:trPr>
        <w:tc>
          <w:tcPr>
            <w:tcW w:w="2880" w:type="dxa"/>
            <w:gridSpan w:val="2"/>
            <w:tcBorders>
              <w:bottom w:val="nil"/>
              <w:right w:val="single" w:sz="4" w:space="0" w:color="auto"/>
            </w:tcBorders>
          </w:tcPr>
          <w:p>
            <w:pPr>
              <w:pStyle w:val="TableNAm"/>
            </w:pPr>
            <w:r>
              <w:rPr>
                <w:b/>
              </w:rPr>
              <w:t>Taxable value of the land</w:t>
            </w:r>
          </w:p>
        </w:tc>
        <w:tc>
          <w:tcPr>
            <w:tcW w:w="3304" w:type="dxa"/>
            <w:vMerge w:val="restart"/>
            <w:tcBorders>
              <w:left w:val="single" w:sz="4" w:space="0" w:color="auto"/>
            </w:tcBorders>
          </w:tcPr>
          <w:p>
            <w:pPr>
              <w:pStyle w:val="TableNAm"/>
            </w:pPr>
          </w:p>
          <w:p>
            <w:pPr>
              <w:pStyle w:val="TableNAm"/>
              <w:rPr>
                <w:b/>
              </w:rPr>
            </w:pPr>
            <w:r>
              <w:rPr>
                <w:b/>
              </w:rPr>
              <w:t>Rate of land tax</w:t>
            </w:r>
          </w:p>
        </w:tc>
      </w:tr>
      <w:tr>
        <w:trPr>
          <w:tblHeader/>
        </w:trPr>
        <w:tc>
          <w:tcPr>
            <w:tcW w:w="1320" w:type="dxa"/>
            <w:tcBorders>
              <w:bottom w:val="single" w:sz="4" w:space="0" w:color="auto"/>
              <w:right w:val="nil"/>
            </w:tcBorders>
          </w:tcPr>
          <w:p>
            <w:pPr>
              <w:pStyle w:val="TableNAm"/>
            </w:pPr>
            <w:r>
              <w:rPr>
                <w:b/>
              </w:rPr>
              <w:t>Exceeding ($)</w:t>
            </w:r>
          </w:p>
        </w:tc>
        <w:tc>
          <w:tcPr>
            <w:tcW w:w="1560" w:type="dxa"/>
            <w:tcBorders>
              <w:left w:val="nil"/>
              <w:bottom w:val="single" w:sz="4" w:space="0" w:color="auto"/>
              <w:right w:val="single" w:sz="4" w:space="0" w:color="auto"/>
            </w:tcBorders>
          </w:tcPr>
          <w:p>
            <w:pPr>
              <w:pStyle w:val="TableNAm"/>
            </w:pPr>
            <w:r>
              <w:rPr>
                <w:b/>
              </w:rPr>
              <w:t>Not exceeding ($)</w:t>
            </w:r>
          </w:p>
        </w:tc>
        <w:tc>
          <w:tcPr>
            <w:tcW w:w="3304" w:type="dxa"/>
            <w:vMerge/>
            <w:tcBorders>
              <w:left w:val="single" w:sz="4" w:space="0" w:color="auto"/>
              <w:bottom w:val="single" w:sz="4" w:space="0" w:color="auto"/>
            </w:tcBorders>
          </w:tcPr>
          <w:p>
            <w:pPr>
              <w:pStyle w:val="TableNAm"/>
            </w:pPr>
          </w:p>
        </w:tc>
      </w:tr>
      <w:tr>
        <w:tc>
          <w:tcPr>
            <w:tcW w:w="1320" w:type="dxa"/>
            <w:tcBorders>
              <w:top w:val="single" w:sz="4" w:space="0" w:color="auto"/>
              <w:bottom w:val="nil"/>
              <w:right w:val="nil"/>
            </w:tcBorders>
          </w:tcPr>
          <w:p>
            <w:pPr>
              <w:pStyle w:val="TableNAm"/>
              <w:spacing w:before="0"/>
            </w:pPr>
            <w:r>
              <w:t>0</w:t>
            </w:r>
          </w:p>
        </w:tc>
        <w:tc>
          <w:tcPr>
            <w:tcW w:w="1560" w:type="dxa"/>
            <w:tcBorders>
              <w:top w:val="single" w:sz="4" w:space="0" w:color="auto"/>
              <w:left w:val="nil"/>
              <w:bottom w:val="nil"/>
              <w:right w:val="single" w:sz="4" w:space="0" w:color="auto"/>
            </w:tcBorders>
          </w:tcPr>
          <w:p>
            <w:pPr>
              <w:pStyle w:val="TableNAm"/>
              <w:spacing w:before="0"/>
            </w:pPr>
            <w:r>
              <w:t>300 000</w:t>
            </w:r>
          </w:p>
        </w:tc>
        <w:tc>
          <w:tcPr>
            <w:tcW w:w="3304" w:type="dxa"/>
            <w:tcBorders>
              <w:top w:val="single" w:sz="4" w:space="0" w:color="auto"/>
              <w:left w:val="single" w:sz="4" w:space="0" w:color="auto"/>
              <w:bottom w:val="nil"/>
            </w:tcBorders>
          </w:tcPr>
          <w:p>
            <w:pPr>
              <w:pStyle w:val="TableNAm"/>
              <w:spacing w:before="0"/>
            </w:pPr>
            <w:r>
              <w:t>Nil</w:t>
            </w:r>
          </w:p>
        </w:tc>
      </w:tr>
      <w:tr>
        <w:tc>
          <w:tcPr>
            <w:tcW w:w="1320" w:type="dxa"/>
            <w:tcBorders>
              <w:top w:val="nil"/>
              <w:bottom w:val="nil"/>
              <w:right w:val="nil"/>
            </w:tcBorders>
          </w:tcPr>
          <w:p>
            <w:pPr>
              <w:pStyle w:val="TableNAm"/>
              <w:spacing w:before="0"/>
            </w:pPr>
            <w:r>
              <w:t>300 000</w:t>
            </w:r>
          </w:p>
        </w:tc>
        <w:tc>
          <w:tcPr>
            <w:tcW w:w="1560" w:type="dxa"/>
            <w:tcBorders>
              <w:top w:val="nil"/>
              <w:left w:val="nil"/>
              <w:bottom w:val="nil"/>
              <w:right w:val="single" w:sz="4" w:space="0" w:color="auto"/>
            </w:tcBorders>
          </w:tcPr>
          <w:p>
            <w:pPr>
              <w:pStyle w:val="TableNAm"/>
              <w:spacing w:before="0"/>
            </w:pPr>
            <w:r>
              <w:t>1 000 000</w:t>
            </w:r>
          </w:p>
        </w:tc>
        <w:tc>
          <w:tcPr>
            <w:tcW w:w="3304" w:type="dxa"/>
            <w:tcBorders>
              <w:top w:val="nil"/>
              <w:left w:val="single" w:sz="4" w:space="0" w:color="auto"/>
              <w:bottom w:val="nil"/>
            </w:tcBorders>
          </w:tcPr>
          <w:p>
            <w:pPr>
              <w:pStyle w:val="TableNAm"/>
              <w:spacing w:before="0"/>
            </w:pPr>
            <w:r>
              <w:t>0.11 cent for each $1 in excess of $300 000</w:t>
            </w:r>
          </w:p>
        </w:tc>
      </w:tr>
      <w:tr>
        <w:tc>
          <w:tcPr>
            <w:tcW w:w="1320" w:type="dxa"/>
            <w:tcBorders>
              <w:top w:val="nil"/>
              <w:bottom w:val="nil"/>
              <w:right w:val="nil"/>
            </w:tcBorders>
          </w:tcPr>
          <w:p>
            <w:pPr>
              <w:pStyle w:val="TableNAm"/>
              <w:spacing w:before="0"/>
            </w:pPr>
            <w:r>
              <w:t>1 000 000</w:t>
            </w:r>
          </w:p>
        </w:tc>
        <w:tc>
          <w:tcPr>
            <w:tcW w:w="1560" w:type="dxa"/>
            <w:tcBorders>
              <w:top w:val="nil"/>
              <w:left w:val="nil"/>
              <w:bottom w:val="nil"/>
              <w:right w:val="single" w:sz="4" w:space="0" w:color="auto"/>
            </w:tcBorders>
          </w:tcPr>
          <w:p>
            <w:pPr>
              <w:pStyle w:val="TableNAm"/>
              <w:spacing w:before="0"/>
            </w:pPr>
            <w:r>
              <w:t>2 200 000</w:t>
            </w:r>
          </w:p>
        </w:tc>
        <w:tc>
          <w:tcPr>
            <w:tcW w:w="3304" w:type="dxa"/>
            <w:tcBorders>
              <w:top w:val="nil"/>
              <w:left w:val="single" w:sz="4" w:space="0" w:color="auto"/>
              <w:bottom w:val="nil"/>
            </w:tcBorders>
          </w:tcPr>
          <w:p>
            <w:pPr>
              <w:pStyle w:val="TableNAm"/>
              <w:spacing w:before="0"/>
            </w:pPr>
            <w:r>
              <w:t>$770 + 0.58 cent for each $1 in excess of $1 000 000</w:t>
            </w:r>
          </w:p>
        </w:tc>
      </w:tr>
      <w:tr>
        <w:tc>
          <w:tcPr>
            <w:tcW w:w="1320" w:type="dxa"/>
            <w:tcBorders>
              <w:top w:val="nil"/>
              <w:bottom w:val="nil"/>
              <w:right w:val="nil"/>
            </w:tcBorders>
          </w:tcPr>
          <w:p>
            <w:pPr>
              <w:pStyle w:val="TableNAm"/>
              <w:spacing w:before="0"/>
            </w:pPr>
            <w:r>
              <w:t>2 200 000</w:t>
            </w:r>
          </w:p>
        </w:tc>
        <w:tc>
          <w:tcPr>
            <w:tcW w:w="1560" w:type="dxa"/>
            <w:tcBorders>
              <w:top w:val="nil"/>
              <w:left w:val="nil"/>
              <w:bottom w:val="nil"/>
              <w:right w:val="single" w:sz="4" w:space="0" w:color="auto"/>
            </w:tcBorders>
          </w:tcPr>
          <w:p>
            <w:pPr>
              <w:pStyle w:val="TableNAm"/>
              <w:spacing w:before="0"/>
            </w:pPr>
            <w:r>
              <w:t>5 500 000</w:t>
            </w:r>
          </w:p>
        </w:tc>
        <w:tc>
          <w:tcPr>
            <w:tcW w:w="3304" w:type="dxa"/>
            <w:tcBorders>
              <w:top w:val="nil"/>
              <w:left w:val="single" w:sz="4" w:space="0" w:color="auto"/>
              <w:bottom w:val="nil"/>
            </w:tcBorders>
          </w:tcPr>
          <w:p>
            <w:pPr>
              <w:pStyle w:val="TableNAm"/>
              <w:spacing w:before="0"/>
            </w:pPr>
            <w:r>
              <w:t>$7 730 + 1.51 cents for each $1 in excess of $2 200 000</w:t>
            </w:r>
          </w:p>
        </w:tc>
      </w:tr>
      <w:tr>
        <w:tc>
          <w:tcPr>
            <w:tcW w:w="1320" w:type="dxa"/>
            <w:tcBorders>
              <w:top w:val="nil"/>
              <w:bottom w:val="nil"/>
              <w:right w:val="nil"/>
            </w:tcBorders>
          </w:tcPr>
          <w:p>
            <w:pPr>
              <w:pStyle w:val="TableNAm"/>
              <w:spacing w:before="0"/>
            </w:pPr>
            <w:r>
              <w:t>5 500 000</w:t>
            </w:r>
          </w:p>
        </w:tc>
        <w:tc>
          <w:tcPr>
            <w:tcW w:w="1560" w:type="dxa"/>
            <w:tcBorders>
              <w:top w:val="nil"/>
              <w:left w:val="nil"/>
              <w:bottom w:val="nil"/>
              <w:right w:val="single" w:sz="4" w:space="0" w:color="auto"/>
            </w:tcBorders>
          </w:tcPr>
          <w:p>
            <w:pPr>
              <w:pStyle w:val="TableNAm"/>
              <w:spacing w:before="0"/>
            </w:pPr>
            <w:r>
              <w:t>11 000 000</w:t>
            </w:r>
          </w:p>
        </w:tc>
        <w:tc>
          <w:tcPr>
            <w:tcW w:w="3304" w:type="dxa"/>
            <w:tcBorders>
              <w:top w:val="nil"/>
              <w:left w:val="single" w:sz="4" w:space="0" w:color="auto"/>
              <w:bottom w:val="nil"/>
            </w:tcBorders>
          </w:tcPr>
          <w:p>
            <w:pPr>
              <w:pStyle w:val="TableNAm"/>
              <w:spacing w:before="0"/>
            </w:pPr>
            <w:r>
              <w:t>$57 560 + 1.80 cents for each $1 in excess of $5 500 000</w:t>
            </w:r>
          </w:p>
        </w:tc>
      </w:tr>
      <w:tr>
        <w:tc>
          <w:tcPr>
            <w:tcW w:w="1320" w:type="dxa"/>
            <w:tcBorders>
              <w:top w:val="nil"/>
              <w:right w:val="nil"/>
            </w:tcBorders>
          </w:tcPr>
          <w:p>
            <w:pPr>
              <w:pStyle w:val="TableNAm"/>
              <w:spacing w:before="0"/>
            </w:pPr>
            <w:r>
              <w:t>11 000 000</w:t>
            </w:r>
          </w:p>
        </w:tc>
        <w:tc>
          <w:tcPr>
            <w:tcW w:w="1560" w:type="dxa"/>
            <w:tcBorders>
              <w:top w:val="nil"/>
              <w:left w:val="nil"/>
              <w:right w:val="single" w:sz="4" w:space="0" w:color="auto"/>
            </w:tcBorders>
          </w:tcPr>
          <w:p>
            <w:pPr>
              <w:pStyle w:val="zTableNAm"/>
              <w:spacing w:before="0"/>
            </w:pPr>
          </w:p>
        </w:tc>
        <w:tc>
          <w:tcPr>
            <w:tcW w:w="3304" w:type="dxa"/>
            <w:tcBorders>
              <w:top w:val="nil"/>
              <w:left w:val="single" w:sz="4" w:space="0" w:color="auto"/>
            </w:tcBorders>
          </w:tcPr>
          <w:p>
            <w:pPr>
              <w:pStyle w:val="TableNAm"/>
              <w:spacing w:before="0"/>
            </w:pPr>
            <w:r>
              <w:t>$156 560 + 2.67 cents for each $1 in excess of $11 000 000</w:t>
            </w:r>
          </w:p>
        </w:tc>
      </w:tr>
    </w:tbl>
    <w:p>
      <w:pPr>
        <w:pStyle w:val="Footnotesection"/>
      </w:pPr>
      <w:r>
        <w:tab/>
        <w:t>[Section 5 amended by No. 41 of 2003 s. 4; No. 11 of 2004 s. 4; No. 83 of 2004 s. 4; No. 10 of 2005 s. 4; No. 31 of 2006 s. 18; No. 12 of 2007 s. 4; No. 30 of 2008 s. 10; No. 3 of 2009 s. 4; No. 19 of 2009 s. 15; No. 15 of 2013 s. 4; No. 15 of 2014 s. 7.]</w:t>
      </w:r>
    </w:p>
    <w:p>
      <w:pPr>
        <w:pStyle w:val="CentredBaseLine"/>
        <w:jc w:val="center"/>
      </w:pPr>
      <w:r>
        <w:rPr>
          <w:noProof/>
        </w:rPr>
        <w:drawing>
          <wp:inline distT="0" distB="0" distL="0" distR="0">
            <wp:extent cx="933450" cy="171450"/>
            <wp:effectExtent l="0" t="0" r="0" b="0"/>
            <wp:docPr id="2" name="Picture 2"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line.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pacing w:before="60" w:after="40"/>
        <w:sectPr>
          <w:headerReference w:type="even" r:id="rId22"/>
          <w:headerReference w:type="default" r:id="rId23"/>
          <w:headerReference w:type="first" r:id="rId24"/>
          <w:pgSz w:w="11907" w:h="16840" w:code="9"/>
          <w:pgMar w:top="2376" w:right="2405" w:bottom="3542" w:left="2405" w:header="706" w:footer="3380" w:gutter="0"/>
          <w:pgNumType w:start="1"/>
          <w:cols w:space="720"/>
          <w:noEndnote/>
          <w:titlePg/>
          <w:docGrid w:linePitch="326"/>
        </w:sectPr>
      </w:pPr>
    </w:p>
    <w:p>
      <w:pPr>
        <w:pStyle w:val="nHeading2"/>
      </w:pPr>
      <w:bookmarkStart w:id="13" w:name="_Toc378945266"/>
      <w:bookmarkStart w:id="14" w:name="_Toc392162510"/>
      <w:bookmarkStart w:id="15" w:name="_Toc419816107"/>
      <w:bookmarkStart w:id="16" w:name="_Toc419816132"/>
      <w:r>
        <w:t>Notes</w:t>
      </w:r>
      <w:bookmarkEnd w:id="13"/>
      <w:bookmarkEnd w:id="14"/>
      <w:bookmarkEnd w:id="15"/>
      <w:bookmarkEnd w:id="16"/>
    </w:p>
    <w:p>
      <w:pPr>
        <w:pStyle w:val="nSubsection"/>
        <w:rPr>
          <w:snapToGrid w:val="0"/>
        </w:rPr>
      </w:pPr>
      <w:r>
        <w:rPr>
          <w:snapToGrid w:val="0"/>
          <w:vertAlign w:val="superscript"/>
        </w:rPr>
        <w:t>1</w:t>
      </w:r>
      <w:r>
        <w:rPr>
          <w:snapToGrid w:val="0"/>
        </w:rPr>
        <w:tab/>
        <w:t xml:space="preserve">This is a compilation of the </w:t>
      </w:r>
      <w:r>
        <w:rPr>
          <w:i/>
          <w:noProof/>
          <w:snapToGrid w:val="0"/>
        </w:rPr>
        <w:t>Land Tax Act 2002</w:t>
      </w:r>
      <w:r>
        <w:rPr>
          <w:snapToGrid w:val="0"/>
        </w:rPr>
        <w:t xml:space="preserve"> and includes the amendments made by the other written laws referred to in the following table</w:t>
      </w:r>
      <w:r>
        <w:rPr>
          <w:snapToGrid w:val="0"/>
          <w:vertAlign w:val="superscript"/>
        </w:rPr>
        <w:t> 2, 3</w:t>
      </w:r>
      <w:r>
        <w:rPr>
          <w:snapToGrid w:val="0"/>
        </w:rPr>
        <w:t>.  The table also contains information about any reprint.</w:t>
      </w:r>
    </w:p>
    <w:p>
      <w:pPr>
        <w:pStyle w:val="nHeading3"/>
        <w:spacing w:before="160"/>
        <w:rPr>
          <w:snapToGrid w:val="0"/>
        </w:rPr>
      </w:pPr>
      <w:bookmarkStart w:id="17" w:name="_Toc392162511"/>
      <w:bookmarkStart w:id="18" w:name="_Toc419816133"/>
      <w:r>
        <w:rPr>
          <w:snapToGrid w:val="0"/>
        </w:rPr>
        <w:t>Compilation table</w:t>
      </w:r>
      <w:bookmarkEnd w:id="17"/>
      <w:bookmarkEnd w:id="18"/>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before="34" w:after="34"/>
              <w:rPr>
                <w:b/>
              </w:rPr>
            </w:pPr>
            <w:r>
              <w:rPr>
                <w:b/>
              </w:rPr>
              <w:t>Short title</w:t>
            </w:r>
          </w:p>
        </w:tc>
        <w:tc>
          <w:tcPr>
            <w:tcW w:w="1134" w:type="dxa"/>
            <w:tcBorders>
              <w:top w:val="single" w:sz="8" w:space="0" w:color="auto"/>
              <w:bottom w:val="single" w:sz="8" w:space="0" w:color="auto"/>
            </w:tcBorders>
          </w:tcPr>
          <w:p>
            <w:pPr>
              <w:pStyle w:val="nTable"/>
              <w:spacing w:before="34" w:after="34"/>
              <w:rPr>
                <w:b/>
              </w:rPr>
            </w:pPr>
            <w:r>
              <w:rPr>
                <w:b/>
              </w:rPr>
              <w:t>Number and year</w:t>
            </w:r>
          </w:p>
        </w:tc>
        <w:tc>
          <w:tcPr>
            <w:tcW w:w="1134" w:type="dxa"/>
            <w:tcBorders>
              <w:top w:val="single" w:sz="8" w:space="0" w:color="auto"/>
              <w:bottom w:val="single" w:sz="8" w:space="0" w:color="auto"/>
            </w:tcBorders>
          </w:tcPr>
          <w:p>
            <w:pPr>
              <w:pStyle w:val="nTable"/>
              <w:spacing w:before="34" w:after="34"/>
              <w:rPr>
                <w:b/>
              </w:rPr>
            </w:pPr>
            <w:r>
              <w:rPr>
                <w:b/>
              </w:rPr>
              <w:t>Assent</w:t>
            </w:r>
          </w:p>
        </w:tc>
        <w:tc>
          <w:tcPr>
            <w:tcW w:w="2552" w:type="dxa"/>
            <w:tcBorders>
              <w:top w:val="single" w:sz="8" w:space="0" w:color="auto"/>
              <w:bottom w:val="single" w:sz="8" w:space="0" w:color="auto"/>
            </w:tcBorders>
          </w:tcPr>
          <w:p>
            <w:pPr>
              <w:pStyle w:val="nTable"/>
              <w:spacing w:before="34" w:after="34"/>
              <w:rPr>
                <w:b/>
              </w:rPr>
            </w:pPr>
            <w:r>
              <w:rPr>
                <w:b/>
              </w:rPr>
              <w:t>Commencement</w:t>
            </w:r>
          </w:p>
        </w:tc>
      </w:tr>
      <w:tr>
        <w:tc>
          <w:tcPr>
            <w:tcW w:w="2268" w:type="dxa"/>
            <w:tcBorders>
              <w:top w:val="single" w:sz="8" w:space="0" w:color="auto"/>
            </w:tcBorders>
          </w:tcPr>
          <w:p>
            <w:pPr>
              <w:pStyle w:val="nTable"/>
              <w:spacing w:before="34" w:after="34"/>
            </w:pPr>
            <w:r>
              <w:rPr>
                <w:i/>
              </w:rPr>
              <w:t>Land Tax Act 2002</w:t>
            </w:r>
          </w:p>
        </w:tc>
        <w:tc>
          <w:tcPr>
            <w:tcW w:w="1134" w:type="dxa"/>
            <w:tcBorders>
              <w:top w:val="single" w:sz="8" w:space="0" w:color="auto"/>
            </w:tcBorders>
          </w:tcPr>
          <w:p>
            <w:pPr>
              <w:pStyle w:val="nTable"/>
              <w:spacing w:before="34" w:after="34"/>
            </w:pPr>
            <w:r>
              <w:t>51 of 2002</w:t>
            </w:r>
          </w:p>
        </w:tc>
        <w:tc>
          <w:tcPr>
            <w:tcW w:w="1134" w:type="dxa"/>
            <w:tcBorders>
              <w:top w:val="single" w:sz="8" w:space="0" w:color="auto"/>
            </w:tcBorders>
          </w:tcPr>
          <w:p>
            <w:pPr>
              <w:pStyle w:val="nTable"/>
              <w:spacing w:before="34" w:after="34"/>
            </w:pPr>
            <w:r>
              <w:t>20 Mar 2003</w:t>
            </w:r>
          </w:p>
        </w:tc>
        <w:tc>
          <w:tcPr>
            <w:tcW w:w="2552" w:type="dxa"/>
            <w:tcBorders>
              <w:top w:val="single" w:sz="8" w:space="0" w:color="auto"/>
            </w:tcBorders>
          </w:tcPr>
          <w:p>
            <w:pPr>
              <w:pStyle w:val="nTable"/>
              <w:spacing w:before="34" w:after="34"/>
            </w:pPr>
            <w:r>
              <w:t xml:space="preserve">1 Jul 2003 (see s. 2 and </w:t>
            </w:r>
            <w:r>
              <w:rPr>
                <w:i/>
              </w:rPr>
              <w:t>Gazette</w:t>
            </w:r>
            <w:r>
              <w:t xml:space="preserve"> 27 Jun 2003 p. 2383)</w:t>
            </w:r>
          </w:p>
        </w:tc>
      </w:tr>
      <w:tr>
        <w:tc>
          <w:tcPr>
            <w:tcW w:w="2268" w:type="dxa"/>
          </w:tcPr>
          <w:p>
            <w:pPr>
              <w:pStyle w:val="nTable"/>
              <w:spacing w:before="34" w:after="34"/>
            </w:pPr>
            <w:r>
              <w:rPr>
                <w:i/>
              </w:rPr>
              <w:t>Business Tax Review (Taxing) Act 2003</w:t>
            </w:r>
            <w:r>
              <w:t xml:space="preserve"> Pt. 2</w:t>
            </w:r>
          </w:p>
        </w:tc>
        <w:tc>
          <w:tcPr>
            <w:tcW w:w="1134" w:type="dxa"/>
          </w:tcPr>
          <w:p>
            <w:pPr>
              <w:pStyle w:val="nTable"/>
              <w:spacing w:before="34" w:after="34"/>
            </w:pPr>
            <w:r>
              <w:t>41 of 2003</w:t>
            </w:r>
          </w:p>
        </w:tc>
        <w:tc>
          <w:tcPr>
            <w:tcW w:w="1134" w:type="dxa"/>
          </w:tcPr>
          <w:p>
            <w:pPr>
              <w:pStyle w:val="nTable"/>
              <w:spacing w:before="34" w:after="34"/>
            </w:pPr>
            <w:r>
              <w:t>30 Jun 2003</w:t>
            </w:r>
          </w:p>
        </w:tc>
        <w:tc>
          <w:tcPr>
            <w:tcW w:w="2552" w:type="dxa"/>
          </w:tcPr>
          <w:p>
            <w:pPr>
              <w:pStyle w:val="nTable"/>
              <w:spacing w:before="34" w:after="34"/>
            </w:pPr>
            <w:r>
              <w:t>1 Jul 2003 (see s. 2)</w:t>
            </w:r>
          </w:p>
        </w:tc>
      </w:tr>
      <w:tr>
        <w:tc>
          <w:tcPr>
            <w:tcW w:w="2268" w:type="dxa"/>
          </w:tcPr>
          <w:p>
            <w:pPr>
              <w:pStyle w:val="nTable"/>
              <w:spacing w:before="34" w:after="34"/>
            </w:pPr>
            <w:r>
              <w:rPr>
                <w:i/>
              </w:rPr>
              <w:t>Revenue Laws Amendment Act 2004</w:t>
            </w:r>
            <w:r>
              <w:t xml:space="preserve"> Pt. 2</w:t>
            </w:r>
          </w:p>
        </w:tc>
        <w:tc>
          <w:tcPr>
            <w:tcW w:w="1134" w:type="dxa"/>
          </w:tcPr>
          <w:p>
            <w:pPr>
              <w:pStyle w:val="nTable"/>
              <w:spacing w:before="34" w:after="34"/>
            </w:pPr>
            <w:r>
              <w:t>11 of 2004</w:t>
            </w:r>
          </w:p>
        </w:tc>
        <w:tc>
          <w:tcPr>
            <w:tcW w:w="1134" w:type="dxa"/>
          </w:tcPr>
          <w:p>
            <w:pPr>
              <w:pStyle w:val="nTable"/>
              <w:spacing w:before="34" w:after="34"/>
            </w:pPr>
            <w:r>
              <w:t>29 Jun 2004</w:t>
            </w:r>
          </w:p>
        </w:tc>
        <w:tc>
          <w:tcPr>
            <w:tcW w:w="2552" w:type="dxa"/>
          </w:tcPr>
          <w:p>
            <w:pPr>
              <w:pStyle w:val="nTable"/>
              <w:spacing w:before="34" w:after="34"/>
            </w:pPr>
            <w:r>
              <w:t>1 Jul 2004 (see s. 2(2))</w:t>
            </w:r>
          </w:p>
        </w:tc>
      </w:tr>
      <w:tr>
        <w:tc>
          <w:tcPr>
            <w:tcW w:w="2268" w:type="dxa"/>
          </w:tcPr>
          <w:p>
            <w:pPr>
              <w:pStyle w:val="nTable"/>
              <w:spacing w:before="34" w:after="34"/>
              <w:rPr>
                <w:i/>
              </w:rPr>
            </w:pPr>
            <w:r>
              <w:rPr>
                <w:i/>
              </w:rPr>
              <w:t xml:space="preserve">Revenue Laws Amendment (Tax Relief) Act (No. 2) 2004 </w:t>
            </w:r>
            <w:r>
              <w:t>Pt. 2</w:t>
            </w:r>
          </w:p>
        </w:tc>
        <w:tc>
          <w:tcPr>
            <w:tcW w:w="1134" w:type="dxa"/>
          </w:tcPr>
          <w:p>
            <w:pPr>
              <w:pStyle w:val="nTable"/>
              <w:spacing w:before="34" w:after="34"/>
            </w:pPr>
            <w:r>
              <w:t>83 of 2004</w:t>
            </w:r>
          </w:p>
        </w:tc>
        <w:tc>
          <w:tcPr>
            <w:tcW w:w="1134" w:type="dxa"/>
          </w:tcPr>
          <w:p>
            <w:pPr>
              <w:pStyle w:val="nTable"/>
              <w:spacing w:before="34" w:after="34"/>
            </w:pPr>
            <w:r>
              <w:t>8 Dec 2004</w:t>
            </w:r>
          </w:p>
        </w:tc>
        <w:tc>
          <w:tcPr>
            <w:tcW w:w="2552" w:type="dxa"/>
          </w:tcPr>
          <w:p>
            <w:pPr>
              <w:pStyle w:val="nTable"/>
              <w:spacing w:before="34" w:after="34"/>
            </w:pPr>
            <w:r>
              <w:t>8 Dec 2004 (see s. 2)</w:t>
            </w:r>
          </w:p>
        </w:tc>
      </w:tr>
      <w:tr>
        <w:tc>
          <w:tcPr>
            <w:tcW w:w="2268" w:type="dxa"/>
          </w:tcPr>
          <w:p>
            <w:pPr>
              <w:pStyle w:val="nTable"/>
              <w:spacing w:before="34" w:after="34"/>
              <w:rPr>
                <w:iCs/>
              </w:rPr>
            </w:pPr>
            <w:r>
              <w:rPr>
                <w:i/>
              </w:rPr>
              <w:t>Revenue Laws Amendment Act (No. 3) 2005</w:t>
            </w:r>
            <w:r>
              <w:rPr>
                <w:iCs/>
              </w:rPr>
              <w:t xml:space="preserve"> Pt. 2</w:t>
            </w:r>
          </w:p>
        </w:tc>
        <w:tc>
          <w:tcPr>
            <w:tcW w:w="1134" w:type="dxa"/>
          </w:tcPr>
          <w:p>
            <w:pPr>
              <w:pStyle w:val="nTable"/>
              <w:spacing w:before="34" w:after="34"/>
            </w:pPr>
            <w:r>
              <w:t>10 of 2005</w:t>
            </w:r>
          </w:p>
        </w:tc>
        <w:tc>
          <w:tcPr>
            <w:tcW w:w="1134" w:type="dxa"/>
          </w:tcPr>
          <w:p>
            <w:pPr>
              <w:pStyle w:val="nTable"/>
              <w:spacing w:before="34" w:after="34"/>
            </w:pPr>
            <w:r>
              <w:t>29 Aug 2005</w:t>
            </w:r>
          </w:p>
        </w:tc>
        <w:tc>
          <w:tcPr>
            <w:tcW w:w="2552" w:type="dxa"/>
          </w:tcPr>
          <w:p>
            <w:pPr>
              <w:pStyle w:val="nTable"/>
              <w:spacing w:before="34" w:after="34"/>
            </w:pPr>
            <w:r>
              <w:t>1 Jul 2005 (see s. 2(2))</w:t>
            </w:r>
          </w:p>
        </w:tc>
      </w:tr>
      <w:tr>
        <w:trPr>
          <w:cantSplit/>
        </w:trPr>
        <w:tc>
          <w:tcPr>
            <w:tcW w:w="7088" w:type="dxa"/>
            <w:gridSpan w:val="4"/>
          </w:tcPr>
          <w:p>
            <w:pPr>
              <w:pStyle w:val="nTable"/>
              <w:spacing w:before="34" w:after="34"/>
            </w:pPr>
            <w:r>
              <w:rPr>
                <w:b/>
                <w:bCs/>
              </w:rPr>
              <w:t xml:space="preserve">Reprint 1: The </w:t>
            </w:r>
            <w:r>
              <w:rPr>
                <w:b/>
                <w:bCs/>
                <w:i/>
              </w:rPr>
              <w:t>Land Tax Act 2002</w:t>
            </w:r>
            <w:r>
              <w:rPr>
                <w:b/>
                <w:bCs/>
              </w:rPr>
              <w:t xml:space="preserve"> as at 4 Nov 2005</w:t>
            </w:r>
            <w:r>
              <w:t xml:space="preserve"> (includes amendments listed above)</w:t>
            </w:r>
          </w:p>
        </w:tc>
      </w:tr>
      <w:tr>
        <w:tc>
          <w:tcPr>
            <w:tcW w:w="2268" w:type="dxa"/>
          </w:tcPr>
          <w:p>
            <w:pPr>
              <w:pStyle w:val="nTable"/>
              <w:spacing w:before="34" w:after="34"/>
            </w:pPr>
            <w:r>
              <w:rPr>
                <w:i/>
              </w:rPr>
              <w:t xml:space="preserve">Revenue Laws Amendment Act 2006 </w:t>
            </w:r>
            <w:r>
              <w:t>Pt. 3</w:t>
            </w:r>
          </w:p>
        </w:tc>
        <w:tc>
          <w:tcPr>
            <w:tcW w:w="1134" w:type="dxa"/>
          </w:tcPr>
          <w:p>
            <w:pPr>
              <w:pStyle w:val="nTable"/>
              <w:spacing w:before="34" w:after="34"/>
            </w:pPr>
            <w:r>
              <w:t>31 of 2006</w:t>
            </w:r>
          </w:p>
        </w:tc>
        <w:tc>
          <w:tcPr>
            <w:tcW w:w="1134" w:type="dxa"/>
          </w:tcPr>
          <w:p>
            <w:pPr>
              <w:pStyle w:val="nTable"/>
              <w:spacing w:before="34" w:after="34"/>
            </w:pPr>
            <w:r>
              <w:t>4 Jul 2006</w:t>
            </w:r>
          </w:p>
        </w:tc>
        <w:tc>
          <w:tcPr>
            <w:tcW w:w="2552" w:type="dxa"/>
          </w:tcPr>
          <w:p>
            <w:pPr>
              <w:pStyle w:val="nTable"/>
              <w:spacing w:before="34" w:after="34"/>
            </w:pPr>
            <w:r>
              <w:t>1 Jul 2006 (see s. 2(5))</w:t>
            </w:r>
          </w:p>
        </w:tc>
      </w:tr>
      <w:tr>
        <w:tc>
          <w:tcPr>
            <w:tcW w:w="2268" w:type="dxa"/>
          </w:tcPr>
          <w:p>
            <w:pPr>
              <w:pStyle w:val="nTable"/>
              <w:spacing w:before="34" w:after="34"/>
              <w:rPr>
                <w:iCs/>
              </w:rPr>
            </w:pPr>
            <w:r>
              <w:rPr>
                <w:i/>
              </w:rPr>
              <w:t>Revenue Laws Amendment (Taxation) Act 2007</w:t>
            </w:r>
            <w:r>
              <w:rPr>
                <w:iCs/>
              </w:rPr>
              <w:t xml:space="preserve"> Pt. 2</w:t>
            </w:r>
          </w:p>
        </w:tc>
        <w:tc>
          <w:tcPr>
            <w:tcW w:w="1134" w:type="dxa"/>
          </w:tcPr>
          <w:p>
            <w:pPr>
              <w:pStyle w:val="nTable"/>
              <w:spacing w:before="34" w:after="34"/>
            </w:pPr>
            <w:r>
              <w:t>12 of 2007</w:t>
            </w:r>
          </w:p>
        </w:tc>
        <w:tc>
          <w:tcPr>
            <w:tcW w:w="1134" w:type="dxa"/>
          </w:tcPr>
          <w:p>
            <w:pPr>
              <w:pStyle w:val="nTable"/>
              <w:spacing w:before="34" w:after="34"/>
            </w:pPr>
            <w:r>
              <w:t>29 Jun 2007</w:t>
            </w:r>
          </w:p>
        </w:tc>
        <w:tc>
          <w:tcPr>
            <w:tcW w:w="2552" w:type="dxa"/>
          </w:tcPr>
          <w:p>
            <w:pPr>
              <w:pStyle w:val="nTable"/>
              <w:spacing w:before="34" w:after="34"/>
            </w:pPr>
            <w:r>
              <w:t>30 Jun 2007 (see s. 2(b))</w:t>
            </w:r>
          </w:p>
        </w:tc>
      </w:tr>
      <w:tr>
        <w:tc>
          <w:tcPr>
            <w:tcW w:w="2268" w:type="dxa"/>
          </w:tcPr>
          <w:p>
            <w:pPr>
              <w:pStyle w:val="nTable"/>
              <w:spacing w:before="34" w:after="34"/>
              <w:rPr>
                <w:iCs/>
              </w:rPr>
            </w:pPr>
            <w:r>
              <w:rPr>
                <w:i/>
              </w:rPr>
              <w:t>Revenue Laws Amendment Act 2008</w:t>
            </w:r>
            <w:r>
              <w:rPr>
                <w:iCs/>
              </w:rPr>
              <w:t xml:space="preserve"> Pt. 3</w:t>
            </w:r>
          </w:p>
        </w:tc>
        <w:tc>
          <w:tcPr>
            <w:tcW w:w="1134" w:type="dxa"/>
          </w:tcPr>
          <w:p>
            <w:pPr>
              <w:pStyle w:val="nTable"/>
              <w:spacing w:before="34" w:after="34"/>
            </w:pPr>
            <w:r>
              <w:t>30 of 2008</w:t>
            </w:r>
          </w:p>
        </w:tc>
        <w:tc>
          <w:tcPr>
            <w:tcW w:w="1134" w:type="dxa"/>
          </w:tcPr>
          <w:p>
            <w:pPr>
              <w:pStyle w:val="nTable"/>
              <w:spacing w:before="34" w:after="34"/>
            </w:pPr>
            <w:r>
              <w:t>27 Jun 2008</w:t>
            </w:r>
          </w:p>
        </w:tc>
        <w:tc>
          <w:tcPr>
            <w:tcW w:w="2552" w:type="dxa"/>
          </w:tcPr>
          <w:p>
            <w:pPr>
              <w:pStyle w:val="nTable"/>
              <w:spacing w:before="34" w:after="34"/>
            </w:pPr>
            <w:r>
              <w:t>1 Jul 2008 (see s. 2(1)(c)(i))</w:t>
            </w:r>
          </w:p>
        </w:tc>
      </w:tr>
      <w:tr>
        <w:tc>
          <w:tcPr>
            <w:tcW w:w="2268" w:type="dxa"/>
          </w:tcPr>
          <w:p>
            <w:pPr>
              <w:pStyle w:val="nTable"/>
              <w:spacing w:before="34" w:after="34"/>
              <w:rPr>
                <w:iCs/>
              </w:rPr>
            </w:pPr>
            <w:r>
              <w:rPr>
                <w:i/>
              </w:rPr>
              <w:t>Revenue Laws Amendment Act 2009</w:t>
            </w:r>
            <w:r>
              <w:rPr>
                <w:iCs/>
              </w:rPr>
              <w:t xml:space="preserve"> Pt. 2</w:t>
            </w:r>
          </w:p>
        </w:tc>
        <w:tc>
          <w:tcPr>
            <w:tcW w:w="1134" w:type="dxa"/>
          </w:tcPr>
          <w:p>
            <w:pPr>
              <w:pStyle w:val="nTable"/>
              <w:spacing w:before="34" w:after="34"/>
            </w:pPr>
            <w:r>
              <w:t>3 of 2009</w:t>
            </w:r>
          </w:p>
        </w:tc>
        <w:tc>
          <w:tcPr>
            <w:tcW w:w="1134" w:type="dxa"/>
          </w:tcPr>
          <w:p>
            <w:pPr>
              <w:pStyle w:val="nTable"/>
              <w:spacing w:before="34" w:after="34"/>
            </w:pPr>
            <w:r>
              <w:t>14 May 2009</w:t>
            </w:r>
          </w:p>
        </w:tc>
        <w:tc>
          <w:tcPr>
            <w:tcW w:w="2552" w:type="dxa"/>
          </w:tcPr>
          <w:p>
            <w:pPr>
              <w:pStyle w:val="nTable"/>
              <w:spacing w:before="34" w:after="34"/>
            </w:pPr>
            <w:r>
              <w:t>1 Jul 2008 (see s. 2(b))</w:t>
            </w:r>
          </w:p>
        </w:tc>
      </w:tr>
      <w:tr>
        <w:tc>
          <w:tcPr>
            <w:tcW w:w="2268" w:type="dxa"/>
          </w:tcPr>
          <w:p>
            <w:pPr>
              <w:pStyle w:val="nTable"/>
              <w:spacing w:before="34" w:after="34"/>
              <w:rPr>
                <w:i/>
              </w:rPr>
            </w:pPr>
            <w:r>
              <w:rPr>
                <w:i/>
              </w:rPr>
              <w:t>Revenue Laws Amendment (Taxation) Act 2009</w:t>
            </w:r>
            <w:r>
              <w:rPr>
                <w:iCs/>
              </w:rPr>
              <w:t xml:space="preserve"> Pt. 3</w:t>
            </w:r>
          </w:p>
        </w:tc>
        <w:tc>
          <w:tcPr>
            <w:tcW w:w="1134" w:type="dxa"/>
          </w:tcPr>
          <w:p>
            <w:pPr>
              <w:pStyle w:val="nTable"/>
              <w:spacing w:before="34" w:after="34"/>
            </w:pPr>
            <w:r>
              <w:t>19 of 2009</w:t>
            </w:r>
          </w:p>
        </w:tc>
        <w:tc>
          <w:tcPr>
            <w:tcW w:w="1134" w:type="dxa"/>
          </w:tcPr>
          <w:p>
            <w:pPr>
              <w:pStyle w:val="nTable"/>
              <w:spacing w:before="34" w:after="34"/>
            </w:pPr>
            <w:r>
              <w:t>16 Sep 2009</w:t>
            </w:r>
          </w:p>
        </w:tc>
        <w:tc>
          <w:tcPr>
            <w:tcW w:w="2552" w:type="dxa"/>
          </w:tcPr>
          <w:p>
            <w:pPr>
              <w:pStyle w:val="nTable"/>
              <w:spacing w:before="34" w:after="34"/>
            </w:pPr>
            <w:r>
              <w:t>1 Jul 2009 (see s. 2(b)(ii))</w:t>
            </w:r>
          </w:p>
        </w:tc>
      </w:tr>
      <w:tr>
        <w:trPr>
          <w:cantSplit/>
        </w:trPr>
        <w:tc>
          <w:tcPr>
            <w:tcW w:w="7088" w:type="dxa"/>
            <w:gridSpan w:val="4"/>
          </w:tcPr>
          <w:p>
            <w:pPr>
              <w:pStyle w:val="nTable"/>
              <w:spacing w:before="34" w:after="34"/>
            </w:pPr>
            <w:r>
              <w:rPr>
                <w:b/>
                <w:bCs/>
              </w:rPr>
              <w:t xml:space="preserve">Reprint 2: The </w:t>
            </w:r>
            <w:r>
              <w:rPr>
                <w:b/>
                <w:bCs/>
                <w:i/>
              </w:rPr>
              <w:t>Land Tax Act 2002</w:t>
            </w:r>
            <w:r>
              <w:rPr>
                <w:b/>
                <w:bCs/>
              </w:rPr>
              <w:t xml:space="preserve"> as at 5 Feb 2010</w:t>
            </w:r>
            <w:r>
              <w:t xml:space="preserve"> (includes amendments listed above)</w:t>
            </w:r>
          </w:p>
        </w:tc>
      </w:tr>
      <w:tr>
        <w:tc>
          <w:tcPr>
            <w:tcW w:w="2268" w:type="dxa"/>
          </w:tcPr>
          <w:p>
            <w:pPr>
              <w:pStyle w:val="nTable"/>
              <w:spacing w:before="34" w:after="34"/>
              <w:rPr>
                <w:i/>
              </w:rPr>
            </w:pPr>
            <w:r>
              <w:rPr>
                <w:i/>
              </w:rPr>
              <w:t>Land Tax Amendment Act 2013</w:t>
            </w:r>
          </w:p>
        </w:tc>
        <w:tc>
          <w:tcPr>
            <w:tcW w:w="1134" w:type="dxa"/>
          </w:tcPr>
          <w:p>
            <w:pPr>
              <w:pStyle w:val="nTable"/>
              <w:spacing w:before="34" w:after="34"/>
            </w:pPr>
            <w:r>
              <w:t>15 of 2013</w:t>
            </w:r>
          </w:p>
        </w:tc>
        <w:tc>
          <w:tcPr>
            <w:tcW w:w="1134" w:type="dxa"/>
          </w:tcPr>
          <w:p>
            <w:pPr>
              <w:pStyle w:val="nTable"/>
              <w:spacing w:before="34" w:after="34"/>
            </w:pPr>
            <w:r>
              <w:t>21 Oct 2013</w:t>
            </w:r>
          </w:p>
        </w:tc>
        <w:tc>
          <w:tcPr>
            <w:tcW w:w="2552" w:type="dxa"/>
          </w:tcPr>
          <w:p>
            <w:pPr>
              <w:pStyle w:val="nTable"/>
              <w:spacing w:before="34" w:after="34"/>
            </w:pPr>
            <w:r>
              <w:t>Act other than s. 1 and 2: 1 Jul 2013 (see s. 2(b));</w:t>
            </w:r>
            <w:r>
              <w:br/>
              <w:t>s. 1 and 2: 21 Oct 2013 (see s. 2(a))</w:t>
            </w:r>
          </w:p>
        </w:tc>
      </w:tr>
      <w:tr>
        <w:tc>
          <w:tcPr>
            <w:tcW w:w="2268" w:type="dxa"/>
            <w:tcBorders>
              <w:bottom w:val="single" w:sz="4" w:space="0" w:color="auto"/>
            </w:tcBorders>
          </w:tcPr>
          <w:p>
            <w:pPr>
              <w:pStyle w:val="nTable"/>
              <w:spacing w:before="34" w:after="34"/>
            </w:pPr>
            <w:r>
              <w:rPr>
                <w:i/>
              </w:rPr>
              <w:t>Revenue Laws Amendment Act 2014</w:t>
            </w:r>
            <w:r>
              <w:t xml:space="preserve"> Pt. 3</w:t>
            </w:r>
          </w:p>
        </w:tc>
        <w:tc>
          <w:tcPr>
            <w:tcW w:w="1134" w:type="dxa"/>
            <w:tcBorders>
              <w:bottom w:val="single" w:sz="4" w:space="0" w:color="auto"/>
            </w:tcBorders>
          </w:tcPr>
          <w:p>
            <w:pPr>
              <w:pStyle w:val="nTable"/>
              <w:spacing w:before="34" w:after="34"/>
            </w:pPr>
            <w:r>
              <w:t>15 of 2014</w:t>
            </w:r>
          </w:p>
        </w:tc>
        <w:tc>
          <w:tcPr>
            <w:tcW w:w="1134" w:type="dxa"/>
            <w:tcBorders>
              <w:bottom w:val="single" w:sz="4" w:space="0" w:color="auto"/>
            </w:tcBorders>
          </w:tcPr>
          <w:p>
            <w:pPr>
              <w:pStyle w:val="nTable"/>
              <w:spacing w:before="34" w:after="34"/>
            </w:pPr>
            <w:r>
              <w:t>2 Jul 2014</w:t>
            </w:r>
          </w:p>
        </w:tc>
        <w:tc>
          <w:tcPr>
            <w:tcW w:w="2552" w:type="dxa"/>
            <w:tcBorders>
              <w:bottom w:val="single" w:sz="4" w:space="0" w:color="auto"/>
            </w:tcBorders>
          </w:tcPr>
          <w:p>
            <w:pPr>
              <w:pStyle w:val="nTable"/>
              <w:spacing w:before="34" w:after="34"/>
            </w:pPr>
            <w:r>
              <w:t>1 Jul 2014 (see s. 2(c)(ii))</w:t>
            </w:r>
          </w:p>
        </w:tc>
      </w:tr>
    </w:tbl>
    <w:p>
      <w:pPr>
        <w:pStyle w:val="nSubsection"/>
        <w:spacing w:before="160"/>
      </w:pPr>
      <w:r>
        <w:rPr>
          <w:vertAlign w:val="superscript"/>
        </w:rPr>
        <w:t>2</w:t>
      </w:r>
      <w:r>
        <w:tab/>
        <w:t xml:space="preserve">Under the </w:t>
      </w:r>
      <w:r>
        <w:rPr>
          <w:i/>
        </w:rPr>
        <w:t>Commonwealth Places (Mirror Taxes Administration) Act 1999</w:t>
      </w:r>
      <w:r>
        <w:t xml:space="preserve"> (W.A.) s. 7, this Act is to be read and construed with certain modifications. The </w:t>
      </w:r>
      <w:r>
        <w:rPr>
          <w:i/>
          <w:iCs/>
        </w:rPr>
        <w:t>Commonwealth</w:t>
      </w:r>
      <w:r>
        <w:rPr>
          <w:i/>
        </w:rPr>
        <w:t xml:space="preserve"> Places (Mirror Taxes Administration) Regulations 2007 </w:t>
      </w:r>
      <w:r>
        <w:rPr>
          <w:iCs/>
        </w:rPr>
        <w:t>(W.A.)</w:t>
      </w:r>
      <w:r>
        <w:t xml:space="preserve"> r. 1</w:t>
      </w:r>
      <w:r>
        <w:noBreakHyphen/>
        <w:t>4 and Pt. 3 Div. 1 prescribe particular modifications and read as follows:</w:t>
      </w:r>
    </w:p>
    <w:p>
      <w:pPr>
        <w:pStyle w:val="BlankOpen"/>
      </w:pPr>
    </w:p>
    <w:p>
      <w:pPr>
        <w:pStyle w:val="nzHeading5"/>
        <w:spacing w:before="0"/>
      </w:pPr>
      <w:r>
        <w:t>1.</w:t>
      </w:r>
      <w:r>
        <w:tab/>
        <w:t>Citation</w:t>
      </w:r>
    </w:p>
    <w:p>
      <w:pPr>
        <w:pStyle w:val="nzSubsection"/>
      </w:pPr>
      <w:r>
        <w:tab/>
      </w:r>
      <w:r>
        <w:tab/>
        <w:t xml:space="preserve">These regulations are the </w:t>
      </w:r>
      <w:r>
        <w:rPr>
          <w:i/>
          <w:iCs/>
        </w:rPr>
        <w:t>Commonwealth Places (Mirror Taxes Administration) Regulations 2007</w:t>
      </w:r>
      <w:r>
        <w:t>.</w:t>
      </w:r>
    </w:p>
    <w:p>
      <w:pPr>
        <w:pStyle w:val="nzHeading5"/>
      </w:pPr>
      <w:r>
        <w:t>2.</w:t>
      </w:r>
      <w:r>
        <w:tab/>
        <w:t>Commencement</w:t>
      </w:r>
    </w:p>
    <w:p>
      <w:pPr>
        <w:pStyle w:val="nzSubsection"/>
      </w:pPr>
      <w:r>
        <w:tab/>
      </w:r>
      <w:r>
        <w:tab/>
        <w:t xml:space="preserve">These regulations come into operation on the day on which the </w:t>
      </w:r>
      <w:r>
        <w:rPr>
          <w:i/>
          <w:iCs/>
        </w:rPr>
        <w:t>Commonwealth Places (Mirror Taxes) (Modification of Applied Laws (WA)) Notice 2007</w:t>
      </w:r>
      <w:r>
        <w:t xml:space="preserve"> comes into operation.</w:t>
      </w:r>
    </w:p>
    <w:p>
      <w:pPr>
        <w:pStyle w:val="nzHeading5"/>
      </w:pPr>
      <w:r>
        <w:t>3.</w:t>
      </w:r>
      <w:r>
        <w:tab/>
        <w:t>When certain modifications have effect</w:t>
      </w:r>
    </w:p>
    <w:p>
      <w:pPr>
        <w:pStyle w:val="nzSubsection"/>
      </w:pPr>
      <w:r>
        <w:tab/>
        <w:t>(1)</w:t>
      </w:r>
      <w:r>
        <w:tab/>
        <w:t>The modifications prescribed in Part 2, Part 3, Part 5, Part 6 Division 2 and Part 7 have effect on and from 1 July 2003.</w:t>
      </w:r>
    </w:p>
    <w:p>
      <w:pPr>
        <w:pStyle w:val="nzSubsection"/>
      </w:pPr>
      <w:r>
        <w:tab/>
        <w:t>(2)</w:t>
      </w:r>
      <w:r>
        <w:tab/>
        <w:t xml:space="preserve">The modifications prescribed in Part 4 have effect on and from 9 April 2006 and prevail over the modifications in the </w:t>
      </w:r>
      <w:r>
        <w:rPr>
          <w:i/>
          <w:iCs/>
        </w:rPr>
        <w:t>Commonwealth Places (Mirror Taxes Administration) Regulations 2002</w:t>
      </w:r>
      <w:r>
        <w:t xml:space="preserve"> Part 5 to the extent of any inconsistency.</w:t>
      </w:r>
    </w:p>
    <w:p>
      <w:pPr>
        <w:pStyle w:val="nzNotesPerm"/>
      </w:pPr>
      <w:r>
        <w:t>Note:</w:t>
      </w:r>
      <w:r>
        <w:tab/>
        <w:t>Modifications prescribed for the purposes of section 7(2) of the Act may be expressed to take effect from a date that is earlier than the date on which the modifications are published in the Gazette, see section 7(3) of the Act.</w:t>
      </w:r>
    </w:p>
    <w:p>
      <w:pPr>
        <w:pStyle w:val="nzHeading5"/>
      </w:pPr>
      <w:r>
        <w:t>4.</w:t>
      </w:r>
      <w:r>
        <w:tab/>
        <w:t>Modification of State taxing laws</w:t>
      </w:r>
    </w:p>
    <w:p>
      <w:pPr>
        <w:pStyle w:val="nzSubsection"/>
      </w:pPr>
      <w:r>
        <w:tab/>
        <w:t>(1)</w:t>
      </w:r>
      <w:r>
        <w:tab/>
        <w:t>For the purposes of section 7(2) of the Act, each State taxing law is taken to be modified to the extent necessary to give effect to subregulation (2).</w:t>
      </w:r>
    </w:p>
    <w:p>
      <w:pPr>
        <w:pStyle w:val="nzSubsection"/>
      </w:pPr>
      <w:r>
        <w:tab/>
        <w:t>(2)</w:t>
      </w:r>
      <w:r>
        <w:tab/>
        <w:t xml:space="preserve">If — </w:t>
      </w:r>
    </w:p>
    <w:p>
      <w:pPr>
        <w:pStyle w:val="nzIndenta"/>
      </w:pPr>
      <w:r>
        <w:tab/>
        <w:t>(a)</w:t>
      </w:r>
      <w:r>
        <w:tab/>
        <w:t>a State taxing law applies, or could apply, to any extent, to or in relation to an event, state of affairs or transaction, and the corresponding applied law also applies, or could apply, to any extent, to or in relation to the same event, state of affairs or transaction; and</w:t>
      </w:r>
    </w:p>
    <w:p>
      <w:pPr>
        <w:pStyle w:val="nzIndenta"/>
      </w:pPr>
      <w:r>
        <w:tab/>
        <w:t>(b)</w:t>
      </w:r>
      <w:r>
        <w:tab/>
        <w:t>a person is required or permitted, or could be required or permitted, to take an action under both the State taxing law and the corresponding applied law in relation to the event, state of affairs or transaction; and</w:t>
      </w:r>
    </w:p>
    <w:p>
      <w:pPr>
        <w:pStyle w:val="nzIndenta"/>
      </w:pPr>
      <w:r>
        <w:tab/>
        <w:t>(c)</w:t>
      </w:r>
      <w:r>
        <w:tab/>
        <w:t>the person has taken the action in accordance with the corresponding applied law; and</w:t>
      </w:r>
    </w:p>
    <w:p>
      <w:pPr>
        <w:pStyle w:val="nzIndenta"/>
      </w:pPr>
      <w:r>
        <w:tab/>
        <w:t>(d)</w:t>
      </w:r>
      <w:r>
        <w:tab/>
        <w:t>the Commissioner of State Revenue has sufficient information about the event, state of affairs or transaction to carry out his or her functions in relation to it under the State taxing law or the corresponding applied law or both, as the case requires,</w:t>
      </w:r>
    </w:p>
    <w:p>
      <w:pPr>
        <w:pStyle w:val="nzSubsection"/>
      </w:pPr>
      <w:r>
        <w:tab/>
      </w:r>
      <w:r>
        <w:tab/>
        <w:t xml:space="preserve">then — </w:t>
      </w:r>
    </w:p>
    <w:p>
      <w:pPr>
        <w:pStyle w:val="nzIndenta"/>
      </w:pPr>
      <w:r>
        <w:tab/>
        <w:t>(e)</w:t>
      </w:r>
      <w:r>
        <w:tab/>
        <w:t>the person is not required to take the action under the State taxing law; and</w:t>
      </w:r>
    </w:p>
    <w:p>
      <w:pPr>
        <w:pStyle w:val="nzIndenta"/>
        <w:keepNext/>
        <w:keepLines/>
      </w:pPr>
      <w:r>
        <w:tab/>
        <w:t>(f)</w:t>
      </w:r>
      <w:r>
        <w:tab/>
        <w:t>the Commissioner may carry out his or her functions in relation to the event, state of affairs or transaction as if the person had taken whatever action is required or permitted under the State taxing law in relation to the event, state of affairs or transaction.</w:t>
      </w:r>
    </w:p>
    <w:p>
      <w:pPr>
        <w:pStyle w:val="nzSubsection"/>
      </w:pPr>
      <w:r>
        <w:tab/>
        <w:t>(3)</w:t>
      </w:r>
      <w:r>
        <w:tab/>
        <w:t>The particular modifications set out in these regulations of certain State taxing laws have effect for the purposes of section 7(2) of the Act.</w:t>
      </w:r>
    </w:p>
    <w:p>
      <w:pPr>
        <w:pStyle w:val="nzHeading2"/>
      </w:pPr>
      <w:r>
        <w:t>Part 3 — Land tax</w:t>
      </w:r>
    </w:p>
    <w:p>
      <w:pPr>
        <w:pStyle w:val="nzHeading3"/>
      </w:pPr>
      <w:r>
        <w:t xml:space="preserve">Division 1 — The </w:t>
      </w:r>
      <w:r>
        <w:rPr>
          <w:i/>
          <w:iCs/>
        </w:rPr>
        <w:t>Land Tax Act 2002</w:t>
      </w:r>
    </w:p>
    <w:p>
      <w:pPr>
        <w:pStyle w:val="nzHeading5"/>
      </w:pPr>
      <w:r>
        <w:t>13.</w:t>
      </w:r>
      <w:r>
        <w:tab/>
        <w:t xml:space="preserve">Modification of the </w:t>
      </w:r>
      <w:r>
        <w:rPr>
          <w:i/>
          <w:iCs/>
        </w:rPr>
        <w:t>Land Tax Act 2002</w:t>
      </w:r>
    </w:p>
    <w:p>
      <w:pPr>
        <w:pStyle w:val="nzSubsection"/>
      </w:pPr>
      <w:r>
        <w:tab/>
      </w:r>
      <w:r>
        <w:tab/>
        <w:t xml:space="preserve">This Division sets out modifications of the </w:t>
      </w:r>
      <w:r>
        <w:rPr>
          <w:i/>
          <w:iCs/>
        </w:rPr>
        <w:t>Land Tax Act 2002</w:t>
      </w:r>
      <w:r>
        <w:t xml:space="preserve"> in its application as a law of Western Australia.</w:t>
      </w:r>
    </w:p>
    <w:p>
      <w:pPr>
        <w:pStyle w:val="nzHeading5"/>
      </w:pPr>
      <w:r>
        <w:t>14.</w:t>
      </w:r>
      <w:r>
        <w:tab/>
        <w:t>Section 4A inserted</w:t>
      </w:r>
    </w:p>
    <w:p>
      <w:pPr>
        <w:pStyle w:val="nzSubsection"/>
      </w:pPr>
      <w:r>
        <w:tab/>
      </w:r>
      <w:r>
        <w:tab/>
        <w:t xml:space="preserve">After section 4 the following section is inserted — </w:t>
      </w:r>
    </w:p>
    <w:p>
      <w:pPr>
        <w:pStyle w:val="MiscOpen"/>
        <w:ind w:left="880"/>
      </w:pPr>
      <w:r>
        <w:t xml:space="preserve">“    </w:t>
      </w:r>
    </w:p>
    <w:p>
      <w:pPr>
        <w:pStyle w:val="nzHeading5"/>
        <w:rPr>
          <w:bCs/>
        </w:rPr>
      </w:pPr>
      <w:r>
        <w:rPr>
          <w:bCs/>
        </w:rPr>
        <w:t>4A.</w:t>
      </w:r>
      <w:r>
        <w:rPr>
          <w:bCs/>
        </w:rPr>
        <w:tab/>
        <w:t>Application of Act in non</w:t>
      </w:r>
      <w:r>
        <w:rPr>
          <w:bCs/>
        </w:rPr>
        <w:noBreakHyphen/>
        <w:t>Commonwealth places</w:t>
      </w:r>
    </w:p>
    <w:p>
      <w:pPr>
        <w:pStyle w:val="nzSubsection"/>
      </w:pPr>
      <w:r>
        <w:tab/>
        <w:t>(1)</w:t>
      </w:r>
      <w:r>
        <w:tab/>
        <w:t xml:space="preserve">In this Act, unless the contrary intention appears — </w:t>
      </w:r>
    </w:p>
    <w:p>
      <w:pPr>
        <w:pStyle w:val="nzIndenta"/>
      </w:pPr>
      <w:r>
        <w:tab/>
        <w:t>(a)</w:t>
      </w:r>
      <w:r>
        <w:tab/>
        <w:t>a reference to this Act is to be read as a reference to this Act in its application as a law of Western Australia; and</w:t>
      </w:r>
    </w:p>
    <w:p>
      <w:pPr>
        <w:pStyle w:val="nzIndenta"/>
      </w:pPr>
      <w:r>
        <w:tab/>
        <w:t>(b)</w:t>
      </w:r>
      <w:r>
        <w:tab/>
        <w:t xml:space="preserve">a reference to the </w:t>
      </w:r>
      <w:r>
        <w:rPr>
          <w:i/>
          <w:iCs/>
        </w:rPr>
        <w:t>Land Tax Assessment Act 2002</w:t>
      </w:r>
      <w:r>
        <w:t xml:space="preserve"> is to be read as a reference to that Act in its application as a law of Western Australia.</w:t>
      </w:r>
    </w:p>
    <w:p>
      <w:pPr>
        <w:pStyle w:val="nzSubsection"/>
      </w:pPr>
      <w:r>
        <w:tab/>
        <w:t>(2)</w:t>
      </w:r>
      <w:r>
        <w:tab/>
        <w:t>This Act is to be read with the applied Land Tax Act as a single body of law.</w:t>
      </w:r>
    </w:p>
    <w:p>
      <w:pPr>
        <w:pStyle w:val="MiscClose"/>
      </w:pPr>
      <w:r>
        <w:t xml:space="preserve">    ”.</w:t>
      </w:r>
    </w:p>
    <w:p>
      <w:pPr>
        <w:pStyle w:val="BlankClose"/>
      </w:pPr>
    </w:p>
    <w:p>
      <w:pPr>
        <w:pStyle w:val="nSubsection"/>
      </w:pPr>
      <w:r>
        <w:rPr>
          <w:vertAlign w:val="superscript"/>
        </w:rPr>
        <w:t>3</w:t>
      </w:r>
      <w:r>
        <w:tab/>
        <w:t xml:space="preserve">Under the </w:t>
      </w:r>
      <w:r>
        <w:rPr>
          <w:i/>
        </w:rPr>
        <w:t>Commonwealth Places (Mirror Taxes) Act 1998</w:t>
      </w:r>
      <w:r>
        <w:t xml:space="preserve"> (Commonwealth) s. 6(4), this Act has effect subject to any modifications under s. 8.  Under s. 8(2) of that Act the </w:t>
      </w:r>
      <w:r>
        <w:rPr>
          <w:i/>
        </w:rPr>
        <w:t xml:space="preserve">Commonwealth Places (Mirror Taxes) (Modification of Applied Laws (WA)) Notice 2007 </w:t>
      </w:r>
      <w:r>
        <w:t>(Commonwealth) has been made and cl. 1-5 and Pt. 3 Div. 1 of it read as follows:</w:t>
      </w:r>
    </w:p>
    <w:p>
      <w:pPr>
        <w:pStyle w:val="BlankOpen"/>
      </w:pPr>
    </w:p>
    <w:p>
      <w:pPr>
        <w:pStyle w:val="nzHeading5"/>
      </w:pPr>
      <w:r>
        <w:rPr>
          <w:rStyle w:val="CharSectno"/>
        </w:rPr>
        <w:t>1</w:t>
      </w:r>
      <w:r>
        <w:t>.</w:t>
      </w:r>
      <w:r>
        <w:tab/>
        <w:t>Citation</w:t>
      </w:r>
    </w:p>
    <w:p>
      <w:pPr>
        <w:pStyle w:val="nzSubsection"/>
      </w:pPr>
      <w:r>
        <w:tab/>
      </w:r>
      <w:r>
        <w:tab/>
      </w:r>
      <w:r>
        <w:rPr>
          <w:spacing w:val="-2"/>
        </w:rPr>
        <w:t>This</w:t>
      </w:r>
      <w:r>
        <w:t xml:space="preserve"> notice is the </w:t>
      </w:r>
      <w:r>
        <w:rPr>
          <w:i/>
        </w:rPr>
        <w:t>Commonwealth Places (Mirror Taxes) (Modification of Applied Laws (WA)) Notice 2007</w:t>
      </w:r>
      <w:r>
        <w:t>.</w:t>
      </w:r>
    </w:p>
    <w:p>
      <w:pPr>
        <w:pStyle w:val="nzHeading5"/>
      </w:pPr>
      <w:r>
        <w:rPr>
          <w:rStyle w:val="CharSectno"/>
        </w:rPr>
        <w:t>2</w:t>
      </w:r>
      <w:r>
        <w:rPr>
          <w:spacing w:val="-2"/>
        </w:rPr>
        <w:t>.</w:t>
      </w:r>
      <w:r>
        <w:rPr>
          <w:spacing w:val="-2"/>
        </w:rPr>
        <w:tab/>
        <w:t>Commencement</w:t>
      </w:r>
    </w:p>
    <w:p>
      <w:pPr>
        <w:pStyle w:val="nzSubsection"/>
      </w:pPr>
      <w:r>
        <w:tab/>
      </w:r>
      <w:r>
        <w:tab/>
      </w:r>
      <w:r>
        <w:rPr>
          <w:spacing w:val="-2"/>
        </w:rPr>
        <w:t>This</w:t>
      </w:r>
      <w:r>
        <w:t xml:space="preserve"> notice comes into operation on the day after the day on which it is registered under the </w:t>
      </w:r>
      <w:r>
        <w:rPr>
          <w:i/>
          <w:iCs/>
        </w:rPr>
        <w:t>Legislative Instruments Act 2003</w:t>
      </w:r>
      <w:r>
        <w:t xml:space="preserve"> of the Commonwealth.</w:t>
      </w:r>
    </w:p>
    <w:p>
      <w:pPr>
        <w:pStyle w:val="nzHeading5"/>
      </w:pPr>
      <w:r>
        <w:rPr>
          <w:rStyle w:val="CharSectno"/>
        </w:rPr>
        <w:t>3</w:t>
      </w:r>
      <w:r>
        <w:t>.</w:t>
      </w:r>
      <w:r>
        <w:tab/>
        <w:t>When certain modifications have effect</w:t>
      </w:r>
    </w:p>
    <w:p>
      <w:pPr>
        <w:pStyle w:val="nzSubsection"/>
      </w:pPr>
      <w:r>
        <w:tab/>
        <w:t>(1)</w:t>
      </w:r>
      <w:r>
        <w:tab/>
        <w:t xml:space="preserve">The modifications prescribed in Part 2, Part 3, Part 5, Part 6 Division 2 and Part 7 </w:t>
      </w:r>
      <w:r>
        <w:rPr>
          <w:iCs/>
        </w:rPr>
        <w:t>have effect on and from 1 July 2003.</w:t>
      </w:r>
    </w:p>
    <w:p>
      <w:pPr>
        <w:pStyle w:val="nzSubsection"/>
      </w:pPr>
      <w:r>
        <w:tab/>
        <w:t>(2)</w:t>
      </w:r>
      <w:r>
        <w:tab/>
        <w:t xml:space="preserve">The modifications prescribed in Part 4 have effect on and from 9 April 2006 and prevail over the modifications in the </w:t>
      </w:r>
      <w:r>
        <w:rPr>
          <w:i/>
        </w:rPr>
        <w:t>Commonwealth Places (Mirror Taxes) (Modification of Applied Laws (WA)) Notice 2002</w:t>
      </w:r>
      <w:r>
        <w:t xml:space="preserve"> Part 5 to the extent of any inconsistency.</w:t>
      </w:r>
    </w:p>
    <w:p>
      <w:pPr>
        <w:pStyle w:val="nzNotesPerm"/>
      </w:pPr>
      <w:r>
        <w:t>Note:</w:t>
      </w:r>
      <w:r>
        <w:tab/>
        <w:t xml:space="preserve">Modifications prescribed in a notice under section 8 of the Act may be expressed to take effect from a date that is earlier than the date on which the modifications are published in the </w:t>
      </w:r>
      <w:r>
        <w:rPr>
          <w:i/>
          <w:iCs/>
        </w:rPr>
        <w:t>Commonwealth of Australia Gazette</w:t>
      </w:r>
      <w:r>
        <w:t>, see section 8(5) of the Act.</w:t>
      </w:r>
    </w:p>
    <w:p>
      <w:pPr>
        <w:pStyle w:val="nzHeading5"/>
      </w:pPr>
      <w:r>
        <w:rPr>
          <w:rStyle w:val="CharSectno"/>
        </w:rPr>
        <w:t>4</w:t>
      </w:r>
      <w:r>
        <w:t>.</w:t>
      </w:r>
      <w:r>
        <w:tab/>
        <w:t>Definitions</w:t>
      </w:r>
    </w:p>
    <w:p>
      <w:pPr>
        <w:pStyle w:val="nzSubsection"/>
      </w:pPr>
      <w:r>
        <w:tab/>
      </w:r>
      <w:r>
        <w:tab/>
        <w:t xml:space="preserve">In this notice — </w:t>
      </w:r>
    </w:p>
    <w:p>
      <w:pPr>
        <w:pStyle w:val="nzDefstart"/>
      </w:pPr>
      <w:r>
        <w:rPr>
          <w:b/>
        </w:rPr>
        <w:tab/>
      </w:r>
      <w:r>
        <w:rPr>
          <w:rStyle w:val="CharDefText"/>
        </w:rPr>
        <w:t>applied WA law</w:t>
      </w:r>
      <w:r>
        <w:t xml:space="preserve"> means the provisions of a State taxing law of Western Australia that apply or are taken to have applied in relation to Commonwealth places in Western Australia in accordance with the Commonwealth Mirror Taxes Act;</w:t>
      </w:r>
    </w:p>
    <w:p>
      <w:pPr>
        <w:pStyle w:val="nzDefstart"/>
      </w:pPr>
      <w:r>
        <w:rPr>
          <w:b/>
        </w:rPr>
        <w:tab/>
      </w:r>
      <w:r>
        <w:rPr>
          <w:rStyle w:val="CharDefText"/>
        </w:rPr>
        <w:t>Commissioner of State Revenue</w:t>
      </w:r>
      <w:r>
        <w:t xml:space="preserve"> means the Commissioner of State Revenue of Western Australia appointed in accordance with the </w:t>
      </w:r>
      <w:r>
        <w:rPr>
          <w:i/>
          <w:iCs/>
        </w:rPr>
        <w:t>Taxation Administration Act 2003</w:t>
      </w:r>
      <w:r>
        <w:t xml:space="preserve"> section 6 of Western Australia;</w:t>
      </w:r>
    </w:p>
    <w:p>
      <w:pPr>
        <w:pStyle w:val="nzDefstart"/>
      </w:pPr>
      <w:r>
        <w:rPr>
          <w:b/>
        </w:rPr>
        <w:tab/>
      </w:r>
      <w:r>
        <w:rPr>
          <w:rStyle w:val="CharDefText"/>
        </w:rPr>
        <w:t>Commonwealth Mirror Taxes Act</w:t>
      </w:r>
      <w:r>
        <w:t xml:space="preserve"> means the </w:t>
      </w:r>
      <w:r>
        <w:rPr>
          <w:i/>
        </w:rPr>
        <w:t>Commonwealth Places (Mirror Taxes) Act 1998</w:t>
      </w:r>
      <w:r>
        <w:t xml:space="preserve"> of the Commonwealth.</w:t>
      </w:r>
    </w:p>
    <w:p>
      <w:pPr>
        <w:pStyle w:val="nzHeading5"/>
      </w:pPr>
      <w:r>
        <w:rPr>
          <w:rStyle w:val="CharSectno"/>
        </w:rPr>
        <w:t>5</w:t>
      </w:r>
      <w:r>
        <w:t>.</w:t>
      </w:r>
      <w:r>
        <w:tab/>
        <w:t>Modification of applied WA laws</w:t>
      </w:r>
    </w:p>
    <w:p>
      <w:pPr>
        <w:pStyle w:val="nzSubsection"/>
      </w:pPr>
      <w:r>
        <w:tab/>
        <w:t>(1)</w:t>
      </w:r>
      <w:r>
        <w:tab/>
        <w:t>For the purposes of the Commonwealth Mirror Taxes Act section 8, each applied WA law is taken to be modified to the extent necessary to give effect to subclause (2).</w:t>
      </w:r>
    </w:p>
    <w:p>
      <w:pPr>
        <w:pStyle w:val="nzSubsection"/>
      </w:pPr>
      <w:r>
        <w:tab/>
        <w:t>(2)</w:t>
      </w:r>
      <w:r>
        <w:tab/>
        <w:t xml:space="preserve">If — </w:t>
      </w:r>
    </w:p>
    <w:p>
      <w:pPr>
        <w:pStyle w:val="nzIndenta"/>
      </w:pPr>
      <w:r>
        <w:tab/>
        <w:t>(a)</w:t>
      </w:r>
      <w:r>
        <w:tab/>
        <w:t>an applied WA law applies, or could apply, to any extent, to or in relation to an event, state of affairs or transaction, and the corresponding State taxing law also applies, or could apply, to any extent, to or in relation to the same event, state of affairs or transaction; and</w:t>
      </w:r>
    </w:p>
    <w:p>
      <w:pPr>
        <w:pStyle w:val="nzIndenta"/>
      </w:pPr>
      <w:r>
        <w:tab/>
        <w:t>(b)</w:t>
      </w:r>
      <w:r>
        <w:tab/>
        <w:t>a person is required or permitted, or could be required or permitted, to take an action under both the applied WA law and the corresponding State taxing law in relation to the event, state of affairs or transaction; and</w:t>
      </w:r>
    </w:p>
    <w:p>
      <w:pPr>
        <w:pStyle w:val="nzIndenta"/>
      </w:pPr>
      <w:r>
        <w:tab/>
        <w:t>(c)</w:t>
      </w:r>
      <w:r>
        <w:tab/>
        <w:t>the person has taken the action in accordance with the corresponding State taxing law; and</w:t>
      </w:r>
    </w:p>
    <w:p>
      <w:pPr>
        <w:pStyle w:val="nzIndenta"/>
      </w:pPr>
      <w:r>
        <w:tab/>
        <w:t>(d)</w:t>
      </w:r>
      <w:r>
        <w:tab/>
        <w:t>the Commissioner of State Revenue has sufficient information about the event, state of affairs or transaction to carry out his or her functions in relation to it under the applied WA law or the corresponding State taxing law or both, as the case requires,</w:t>
      </w:r>
    </w:p>
    <w:p>
      <w:pPr>
        <w:pStyle w:val="nzSubsection"/>
      </w:pPr>
      <w:r>
        <w:tab/>
      </w:r>
      <w:r>
        <w:tab/>
        <w:t xml:space="preserve">then — </w:t>
      </w:r>
    </w:p>
    <w:p>
      <w:pPr>
        <w:pStyle w:val="nzIndenta"/>
      </w:pPr>
      <w:r>
        <w:tab/>
        <w:t>(e)</w:t>
      </w:r>
      <w:r>
        <w:tab/>
        <w:t>the person is not required to take the action under the applied WA law; and</w:t>
      </w:r>
    </w:p>
    <w:p>
      <w:pPr>
        <w:pStyle w:val="nzIndenta"/>
      </w:pPr>
      <w:r>
        <w:tab/>
        <w:t>(f)</w:t>
      </w:r>
      <w:r>
        <w:tab/>
        <w:t>the Commissioner may carry out his or her functions in relation to the event, state of affairs or transaction as if the person had taken whatever action is required or permitted under the applied WA law in relation to the event, state of affairs or transaction.</w:t>
      </w:r>
    </w:p>
    <w:p>
      <w:pPr>
        <w:pStyle w:val="nzSubsection"/>
      </w:pPr>
      <w:r>
        <w:tab/>
        <w:t>(3)</w:t>
      </w:r>
      <w:r>
        <w:tab/>
        <w:t>The particular modifications set out in this notice of certain applied WA laws have effect for the purposes of the Commonwealth Mirror Taxes Act section 8.</w:t>
      </w:r>
    </w:p>
    <w:p>
      <w:pPr>
        <w:pStyle w:val="nzHeading2"/>
      </w:pPr>
      <w:r>
        <w:rPr>
          <w:rStyle w:val="CharPartNo"/>
        </w:rPr>
        <w:t>Part 3</w:t>
      </w:r>
      <w:r>
        <w:t> — </w:t>
      </w:r>
      <w:r>
        <w:rPr>
          <w:rStyle w:val="CharPartText"/>
        </w:rPr>
        <w:t>Land tax</w:t>
      </w:r>
    </w:p>
    <w:p>
      <w:pPr>
        <w:pStyle w:val="nzHeading3"/>
      </w:pPr>
      <w:r>
        <w:rPr>
          <w:rStyle w:val="CharDivNo"/>
        </w:rPr>
        <w:t>Division 1</w:t>
      </w:r>
      <w:r>
        <w:t> — </w:t>
      </w:r>
      <w:r>
        <w:rPr>
          <w:rStyle w:val="CharDivText"/>
        </w:rPr>
        <w:t xml:space="preserve">The applied </w:t>
      </w:r>
      <w:r>
        <w:rPr>
          <w:rStyle w:val="CharDivText"/>
          <w:i/>
          <w:iCs/>
        </w:rPr>
        <w:t>Land Tax Act 2002</w:t>
      </w:r>
    </w:p>
    <w:p>
      <w:pPr>
        <w:pStyle w:val="nzHeading5"/>
      </w:pPr>
      <w:r>
        <w:rPr>
          <w:rStyle w:val="CharSectno"/>
        </w:rPr>
        <w:t>14</w:t>
      </w:r>
      <w:r>
        <w:t>.</w:t>
      </w:r>
      <w:r>
        <w:tab/>
        <w:t xml:space="preserve">Modification of the applied </w:t>
      </w:r>
      <w:r>
        <w:rPr>
          <w:i/>
          <w:iCs/>
        </w:rPr>
        <w:t>Land Tax Act 2002</w:t>
      </w:r>
    </w:p>
    <w:p>
      <w:pPr>
        <w:pStyle w:val="nzSubsection"/>
      </w:pPr>
      <w:r>
        <w:tab/>
      </w:r>
      <w:r>
        <w:tab/>
        <w:t xml:space="preserve">This Division sets out modifications of the </w:t>
      </w:r>
      <w:r>
        <w:rPr>
          <w:i/>
        </w:rPr>
        <w:t>Land Tax Act 2002</w:t>
      </w:r>
      <w:r>
        <w:t xml:space="preserve"> of Western Australia in its application as a law of the Commonwealth in or in relation to Commonwealth places in Western Australia.</w:t>
      </w:r>
    </w:p>
    <w:p>
      <w:pPr>
        <w:pStyle w:val="nzHeading5"/>
      </w:pPr>
      <w:r>
        <w:rPr>
          <w:rStyle w:val="CharSectno"/>
        </w:rPr>
        <w:t>15</w:t>
      </w:r>
      <w:r>
        <w:t>.</w:t>
      </w:r>
      <w:r>
        <w:tab/>
        <w:t>Section 4A inserted</w:t>
      </w:r>
    </w:p>
    <w:p>
      <w:pPr>
        <w:pStyle w:val="nzSubsection"/>
      </w:pPr>
      <w:r>
        <w:tab/>
      </w:r>
      <w:r>
        <w:tab/>
        <w:t xml:space="preserve">After section 4 the following section is inserted — </w:t>
      </w:r>
    </w:p>
    <w:p>
      <w:pPr>
        <w:pStyle w:val="MiscOpen"/>
        <w:ind w:left="880"/>
      </w:pPr>
      <w:r>
        <w:t xml:space="preserve">“    </w:t>
      </w:r>
    </w:p>
    <w:p>
      <w:pPr>
        <w:pStyle w:val="nzHeading5"/>
      </w:pPr>
      <w:r>
        <w:t>4A.</w:t>
      </w:r>
      <w:r>
        <w:tab/>
        <w:t>Application of Act in Commonwealth places</w:t>
      </w:r>
    </w:p>
    <w:p>
      <w:pPr>
        <w:pStyle w:val="nzSubsection"/>
      </w:pPr>
      <w:r>
        <w:tab/>
        <w:t>(1)</w:t>
      </w:r>
      <w:r>
        <w:tab/>
        <w:t xml:space="preserve">In this Act, unless the contrary intention appears — </w:t>
      </w:r>
    </w:p>
    <w:p>
      <w:pPr>
        <w:pStyle w:val="nzIndenta"/>
      </w:pPr>
      <w:r>
        <w:tab/>
        <w:t>(a)</w:t>
      </w:r>
      <w:r>
        <w:tab/>
        <w:t xml:space="preserve">a reference to this Act is to be read as a reference to this Act in its application as a law of the Commonwealth in or in relation to Commonwealth places in Western Australia in accordance with the </w:t>
      </w:r>
      <w:r>
        <w:rPr>
          <w:i/>
          <w:iCs/>
        </w:rPr>
        <w:t>Commonwealth Places (Mirror Taxes) Act 1998</w:t>
      </w:r>
      <w:r>
        <w:t>; and</w:t>
      </w:r>
    </w:p>
    <w:p>
      <w:pPr>
        <w:pStyle w:val="nzIndenta"/>
        <w:rPr>
          <w:iCs/>
        </w:rPr>
      </w:pPr>
      <w:r>
        <w:tab/>
        <w:t>(b)</w:t>
      </w:r>
      <w:r>
        <w:tab/>
        <w:t xml:space="preserve">a reference to the </w:t>
      </w:r>
      <w:r>
        <w:rPr>
          <w:i/>
        </w:rPr>
        <w:t>Land Tax Assessment Act 2002</w:t>
      </w:r>
      <w:r>
        <w:t xml:space="preserve"> is to be read as a reference to </w:t>
      </w:r>
      <w:r>
        <w:rPr>
          <w:spacing w:val="-4"/>
        </w:rPr>
        <w:t xml:space="preserve">the </w:t>
      </w:r>
      <w:r>
        <w:rPr>
          <w:i/>
        </w:rPr>
        <w:t>Land Tax Assessment Act 2002</w:t>
      </w:r>
      <w:r>
        <w:rPr>
          <w:spacing w:val="-4"/>
        </w:rPr>
        <w:t xml:space="preserve"> of Western Australia in its application as a law of the Commonwealth in or in relation to Commonwealth places in Western Australia in accordance with the </w:t>
      </w:r>
      <w:r>
        <w:rPr>
          <w:i/>
          <w:iCs/>
        </w:rPr>
        <w:t>Commonwealth Places (Mirror Taxes) Act 1998</w:t>
      </w:r>
      <w:r>
        <w:rPr>
          <w:iCs/>
        </w:rPr>
        <w:t>; and</w:t>
      </w:r>
    </w:p>
    <w:p>
      <w:pPr>
        <w:pStyle w:val="nzIndenta"/>
        <w:rPr>
          <w:iCs/>
        </w:rPr>
        <w:sectPr>
          <w:headerReference w:type="even" r:id="rId25"/>
          <w:headerReference w:type="default" r:id="rId26"/>
          <w:headerReference w:type="first" r:id="rId27"/>
          <w:pgSz w:w="11907" w:h="16840" w:code="9"/>
          <w:pgMar w:top="2376" w:right="2404" w:bottom="3544" w:left="2404" w:header="720" w:footer="3380" w:gutter="0"/>
          <w:cols w:space="720"/>
          <w:noEndnote/>
          <w:docGrid w:linePitch="326"/>
        </w:sectPr>
      </w:pPr>
    </w:p>
    <w:p>
      <w:pPr>
        <w:pStyle w:val="nzIndenta"/>
      </w:pPr>
      <w:r>
        <w:rPr>
          <w:iCs/>
        </w:rPr>
        <w:tab/>
        <w:t>(c)</w:t>
      </w:r>
      <w:r>
        <w:rPr>
          <w:iCs/>
        </w:rPr>
        <w:tab/>
      </w:r>
      <w:r>
        <w:t xml:space="preserve">a reference to the </w:t>
      </w:r>
      <w:r>
        <w:rPr>
          <w:i/>
        </w:rPr>
        <w:t>Taxation Administration Act 2003</w:t>
      </w:r>
      <w:r>
        <w:t xml:space="preserve"> is to be read as a reference to </w:t>
      </w:r>
      <w:r>
        <w:rPr>
          <w:spacing w:val="-4"/>
        </w:rPr>
        <w:t xml:space="preserve">the </w:t>
      </w:r>
      <w:r>
        <w:rPr>
          <w:i/>
        </w:rPr>
        <w:t>Taxation Administration Act 2003</w:t>
      </w:r>
      <w:r>
        <w:rPr>
          <w:spacing w:val="-4"/>
        </w:rPr>
        <w:t xml:space="preserve"> of Western Australia in its application as a law of the Commonwealth in or in relation to Commonwealth places in Western Australia in accordance with the </w:t>
      </w:r>
      <w:r>
        <w:rPr>
          <w:i/>
          <w:iCs/>
        </w:rPr>
        <w:t>Commonwealth Places (Mirror Taxes) Act 1998</w:t>
      </w:r>
      <w:r>
        <w:t>.</w:t>
      </w:r>
    </w:p>
    <w:p>
      <w:pPr>
        <w:pStyle w:val="nzSubsection"/>
      </w:pPr>
      <w:r>
        <w:tab/>
        <w:t>(2)</w:t>
      </w:r>
      <w:r>
        <w:tab/>
        <w:t>This Act is to be read with the corresponding Land Tax Act as a single body of law.</w:t>
      </w:r>
    </w:p>
    <w:p>
      <w:pPr>
        <w:pStyle w:val="nzSubsection"/>
        <w:rPr>
          <w:spacing w:val="-4"/>
        </w:rPr>
      </w:pPr>
      <w:r>
        <w:rPr>
          <w:spacing w:val="-4"/>
        </w:rPr>
        <w:tab/>
        <w:t>(3)</w:t>
      </w:r>
      <w:r>
        <w:rPr>
          <w:spacing w:val="-4"/>
        </w:rPr>
        <w:tab/>
        <w:t xml:space="preserve">In addition to being modified as prescribed by the </w:t>
      </w:r>
      <w:r>
        <w:rPr>
          <w:i/>
          <w:spacing w:val="-4"/>
        </w:rPr>
        <w:t>Commonwealth Places (Mirror Taxes) (Modification of Applied Laws (WA)) Notice 2007</w:t>
      </w:r>
      <w:r>
        <w:rPr>
          <w:spacing w:val="-4"/>
        </w:rPr>
        <w:t xml:space="preserve">, this Act is deemed to be further modified to any extent that is necessary or convenient — </w:t>
      </w:r>
    </w:p>
    <w:p>
      <w:pPr>
        <w:pStyle w:val="nzIndenta"/>
      </w:pPr>
      <w:r>
        <w:tab/>
        <w:t>(a)</w:t>
      </w:r>
      <w:r>
        <w:tab/>
        <w:t>to enable this Act to operate effectively as a law of the Commonwealth; and</w:t>
      </w:r>
    </w:p>
    <w:p>
      <w:pPr>
        <w:pStyle w:val="nzIndenta"/>
      </w:pPr>
      <w:r>
        <w:tab/>
        <w:t>(b)</w:t>
      </w:r>
      <w:r>
        <w:tab/>
        <w:t>to ensure that the combined liability of a taxpayer under this Act and the corresponding Land Tax Act is as nearly as possible the same as the taxpayer’s liability would be under the corresponding Land Tax Act alone if the Commonwealth places in Western Australia were not Commonwealth places.</w:t>
      </w:r>
    </w:p>
    <w:p>
      <w:pPr>
        <w:pStyle w:val="MiscClose"/>
      </w:pPr>
      <w:r>
        <w:t xml:space="preserve">    ”.</w:t>
      </w:r>
    </w:p>
    <w:p>
      <w:pPr>
        <w:pStyle w:val="BlankClose"/>
      </w:pPr>
    </w:p>
    <w:p/>
    <w:p/>
    <w:p/>
    <w:p/>
    <w:p/>
    <w:p/>
    <w:p/>
    <w:p/>
    <w:p/>
    <w:p/>
    <w:p/>
    <w:p/>
    <w:p>
      <w:pPr>
        <w:sectPr>
          <w:headerReference w:type="even" r:id="rId28"/>
          <w:pgSz w:w="11907" w:h="16840" w:code="9"/>
          <w:pgMar w:top="2376" w:right="2404" w:bottom="3544" w:left="2404" w:header="720" w:footer="3380" w:gutter="0"/>
          <w:cols w:space="720"/>
          <w:noEndnote/>
          <w:docGrid w:linePitch="326"/>
        </w:sectPr>
      </w:pPr>
    </w:p>
    <w:p/>
    <w:sectPr>
      <w:headerReference w:type="even" r:id="rId29"/>
      <w:headerReference w:type="default" r:id="rId30"/>
      <w:footerReference w:type="even" r:id="rId31"/>
      <w:footerReference w:type="default" r:id="rId32"/>
      <w:headerReference w:type="first" r:id="rId33"/>
      <w:footerReference w:type="first" r:id="rId34"/>
      <w:type w:val="continuous"/>
      <w:pgSz w:w="11907" w:h="16840" w:code="9"/>
      <w:pgMar w:top="2376" w:right="2404" w:bottom="3544" w:left="2404" w:header="709"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02-c0-01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Jul 2014</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02-c0-01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02-c0-01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02-c0-01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Jul 2014</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02-c0-01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13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02-c0-01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Land Tax Act 2002</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Land Tax Act 2002</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19" w:name="Compilation"/>
    <w:bookmarkEnd w:id="19"/>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Land Tax Act 2002</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0" w:name="Coversheet"/>
    <w:bookmarkEnd w:id="2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Land Tax Act 2002</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Land Tax Act 2002</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Land Tax Act 2002</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63"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Land Tax Act 2002</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83EBE0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82E57B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726C634"/>
    <w:lvl w:ilvl="0">
      <w:start w:val="1"/>
      <w:numFmt w:val="decimal"/>
      <w:pStyle w:val="ListNumber3"/>
      <w:lvlText w:val="%1."/>
      <w:lvlJc w:val="left"/>
      <w:pPr>
        <w:tabs>
          <w:tab w:val="num" w:pos="926"/>
        </w:tabs>
        <w:ind w:left="926" w:hanging="360"/>
      </w:pPr>
    </w:lvl>
  </w:abstractNum>
  <w:abstractNum w:abstractNumId="3">
    <w:nsid w:val="FFFFFF7F"/>
    <w:multiLevelType w:val="singleLevel"/>
    <w:tmpl w:val="48DC8456"/>
    <w:lvl w:ilvl="0">
      <w:start w:val="1"/>
      <w:numFmt w:val="decimal"/>
      <w:pStyle w:val="ListNumber2"/>
      <w:lvlText w:val="%1."/>
      <w:lvlJc w:val="left"/>
      <w:pPr>
        <w:tabs>
          <w:tab w:val="num" w:pos="643"/>
        </w:tabs>
        <w:ind w:left="643" w:hanging="360"/>
      </w:pPr>
    </w:lvl>
  </w:abstractNum>
  <w:abstractNum w:abstractNumId="4">
    <w:nsid w:val="FFFFFF80"/>
    <w:multiLevelType w:val="singleLevel"/>
    <w:tmpl w:val="C662460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3147D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F702F1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F90018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C323BC4"/>
    <w:lvl w:ilvl="0">
      <w:start w:val="1"/>
      <w:numFmt w:val="decimal"/>
      <w:pStyle w:val="ListNumber"/>
      <w:lvlText w:val="%1."/>
      <w:lvlJc w:val="left"/>
      <w:pPr>
        <w:tabs>
          <w:tab w:val="num" w:pos="360"/>
        </w:tabs>
        <w:ind w:left="360" w:hanging="360"/>
      </w:pPr>
    </w:lvl>
  </w:abstractNum>
  <w:abstractNum w:abstractNumId="9">
    <w:nsid w:val="FFFFFF89"/>
    <w:multiLevelType w:val="singleLevel"/>
    <w:tmpl w:val="EBB079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44BEBB2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FC7255C4"/>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0"/>
  </w:num>
  <w:num w:numId="13">
    <w:abstractNumId w:val="1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intFractionalCharacterWidth/>
  <w:activeWritingStyle w:appName="MSWord" w:lang="en-AU" w:vendorID="8" w:dllVersion="513" w:checkStyle="1"/>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0519160712"/>
    <w:docVar w:name="WAFER_20140131151937" w:val="RemoveTocBookmarks,RemoveUnusedBookmarks,RemoveLanguageTags,UsedStyles,ResetPageSize,UpdateArrangement"/>
    <w:docVar w:name="WAFER_20140131151937_GUID" w:val="1cef14ef-5de5-4f1a-b603-db5ec35c4d71"/>
    <w:docVar w:name="WAFER_20140131151944" w:val="RemoveTocBookmarks,RunningHeaders"/>
    <w:docVar w:name="WAFER_20140131151944_GUID" w:val="48aaaf51-8e2b-41b9-940b-d4b4fed08466"/>
    <w:docVar w:name="WAFER_20150519160712" w:val="ResetPageSize,UpdateArrangement,UpdateNTable"/>
    <w:docVar w:name="WAFER_20150519160712_GUID" w:val="2b17b2f9-d9f3-40d2-bfa0-511fd6d78d9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Arial" w:hAnsi="Arial"/>
      <w:sz w:val="16"/>
    </w:rPr>
  </w:style>
  <w:style w:type="paragraph" w:styleId="Footer">
    <w:name w:val="footer"/>
    <w:basedOn w:val="Normal"/>
    <w:rPr>
      <w:rFonts w:ascii="Arial" w:hAnsi="Arial"/>
      <w:noProof/>
    </w:rPr>
  </w:style>
  <w:style w:type="paragraph" w:styleId="Header">
    <w:name w:val="header"/>
    <w:rPr>
      <w:rFonts w:ascii="Arial" w:hAnsi="Arial"/>
      <w:noProof/>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rPr>
  </w:style>
  <w:style w:type="character" w:customStyle="1" w:styleId="CharSClsNo">
    <w:name w:val="CharSClsNo"/>
    <w:basedOn w:val="DefaultParagraphFont"/>
    <w:rPr>
      <w:sz w:val="22"/>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3"/>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4"/>
      </w:numPr>
    </w:pPr>
  </w:style>
  <w:style w:type="paragraph" w:styleId="ListBullet2">
    <w:name w:val="List Bullet 2"/>
    <w:basedOn w:val="Normal"/>
    <w:autoRedefine/>
    <w:semiHidden/>
    <w:pPr>
      <w:numPr>
        <w:numId w:val="15"/>
      </w:numPr>
      <w:tabs>
        <w:tab w:val="clear" w:pos="643"/>
        <w:tab w:val="num" w:pos="720"/>
      </w:tabs>
      <w:ind w:left="720"/>
    </w:pPr>
  </w:style>
  <w:style w:type="paragraph" w:styleId="ListBullet3">
    <w:name w:val="List Bullet 3"/>
    <w:basedOn w:val="Normal"/>
    <w:autoRedefine/>
    <w:semiHidden/>
    <w:pPr>
      <w:numPr>
        <w:numId w:val="16"/>
      </w:numPr>
      <w:tabs>
        <w:tab w:val="clear" w:pos="926"/>
        <w:tab w:val="num" w:pos="1080"/>
      </w:tabs>
      <w:ind w:left="1080"/>
    </w:pPr>
  </w:style>
  <w:style w:type="paragraph" w:styleId="ListBullet4">
    <w:name w:val="List Bullet 4"/>
    <w:basedOn w:val="Normal"/>
    <w:autoRedefine/>
    <w:semiHidden/>
    <w:pPr>
      <w:numPr>
        <w:numId w:val="17"/>
      </w:numPr>
      <w:tabs>
        <w:tab w:val="clear" w:pos="1209"/>
        <w:tab w:val="num" w:pos="1440"/>
      </w:tabs>
      <w:ind w:left="1440"/>
    </w:pPr>
  </w:style>
  <w:style w:type="paragraph" w:styleId="ListBullet5">
    <w:name w:val="List Bullet 5"/>
    <w:basedOn w:val="Normal"/>
    <w:autoRedefine/>
    <w:semiHidden/>
    <w:pPr>
      <w:numPr>
        <w:numId w:val="1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9"/>
      </w:numPr>
    </w:pPr>
  </w:style>
  <w:style w:type="paragraph" w:styleId="ListNumber2">
    <w:name w:val="List Number 2"/>
    <w:basedOn w:val="Normal"/>
    <w:semiHidden/>
    <w:pPr>
      <w:numPr>
        <w:numId w:val="20"/>
      </w:numPr>
      <w:tabs>
        <w:tab w:val="clear" w:pos="643"/>
        <w:tab w:val="num" w:pos="720"/>
      </w:tabs>
      <w:ind w:left="720"/>
    </w:pPr>
  </w:style>
  <w:style w:type="paragraph" w:styleId="ListNumber3">
    <w:name w:val="List Number 3"/>
    <w:basedOn w:val="Normal"/>
    <w:semiHidden/>
    <w:pPr>
      <w:numPr>
        <w:numId w:val="21"/>
      </w:numPr>
      <w:tabs>
        <w:tab w:val="clear" w:pos="926"/>
        <w:tab w:val="num" w:pos="1080"/>
      </w:tabs>
      <w:ind w:left="1080"/>
    </w:pPr>
  </w:style>
  <w:style w:type="paragraph" w:styleId="ListNumber4">
    <w:name w:val="List Number 4"/>
    <w:basedOn w:val="Normal"/>
    <w:semiHidden/>
    <w:pPr>
      <w:numPr>
        <w:numId w:val="22"/>
      </w:numPr>
      <w:tabs>
        <w:tab w:val="clear" w:pos="1209"/>
        <w:tab w:val="num" w:pos="1440"/>
      </w:tabs>
      <w:ind w:left="1440"/>
    </w:pPr>
  </w:style>
  <w:style w:type="paragraph" w:styleId="ListNumber5">
    <w:name w:val="List Number 5"/>
    <w:basedOn w:val="Normal"/>
    <w:semiHidden/>
    <w:pPr>
      <w:numPr>
        <w:numId w:val="23"/>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9"/>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CharSDivNo">
    <w:name w:val="CharSDivNo"/>
    <w:basedOn w:val="DefaultParagraphFont"/>
    <w:rPr>
      <w:sz w:val="24"/>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24"/>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rFonts w:ascii="Times New Roman" w:hAnsi="Times New Roman"/>
      <w:b/>
      <w:noProof/>
      <w:sz w:val="28"/>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Arial" w:hAnsi="Arial"/>
      <w:sz w:val="16"/>
    </w:rPr>
  </w:style>
  <w:style w:type="paragraph" w:styleId="Footer">
    <w:name w:val="footer"/>
    <w:basedOn w:val="Normal"/>
    <w:rPr>
      <w:rFonts w:ascii="Arial" w:hAnsi="Arial"/>
      <w:noProof/>
    </w:rPr>
  </w:style>
  <w:style w:type="paragraph" w:styleId="Header">
    <w:name w:val="header"/>
    <w:rPr>
      <w:rFonts w:ascii="Arial" w:hAnsi="Arial"/>
      <w:noProof/>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rPr>
  </w:style>
  <w:style w:type="character" w:customStyle="1" w:styleId="CharSClsNo">
    <w:name w:val="CharSClsNo"/>
    <w:basedOn w:val="DefaultParagraphFont"/>
    <w:rPr>
      <w:sz w:val="22"/>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3"/>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4"/>
      </w:numPr>
    </w:pPr>
  </w:style>
  <w:style w:type="paragraph" w:styleId="ListBullet2">
    <w:name w:val="List Bullet 2"/>
    <w:basedOn w:val="Normal"/>
    <w:autoRedefine/>
    <w:semiHidden/>
    <w:pPr>
      <w:numPr>
        <w:numId w:val="15"/>
      </w:numPr>
      <w:tabs>
        <w:tab w:val="clear" w:pos="643"/>
        <w:tab w:val="num" w:pos="720"/>
      </w:tabs>
      <w:ind w:left="720"/>
    </w:pPr>
  </w:style>
  <w:style w:type="paragraph" w:styleId="ListBullet3">
    <w:name w:val="List Bullet 3"/>
    <w:basedOn w:val="Normal"/>
    <w:autoRedefine/>
    <w:semiHidden/>
    <w:pPr>
      <w:numPr>
        <w:numId w:val="16"/>
      </w:numPr>
      <w:tabs>
        <w:tab w:val="clear" w:pos="926"/>
        <w:tab w:val="num" w:pos="1080"/>
      </w:tabs>
      <w:ind w:left="1080"/>
    </w:pPr>
  </w:style>
  <w:style w:type="paragraph" w:styleId="ListBullet4">
    <w:name w:val="List Bullet 4"/>
    <w:basedOn w:val="Normal"/>
    <w:autoRedefine/>
    <w:semiHidden/>
    <w:pPr>
      <w:numPr>
        <w:numId w:val="17"/>
      </w:numPr>
      <w:tabs>
        <w:tab w:val="clear" w:pos="1209"/>
        <w:tab w:val="num" w:pos="1440"/>
      </w:tabs>
      <w:ind w:left="1440"/>
    </w:pPr>
  </w:style>
  <w:style w:type="paragraph" w:styleId="ListBullet5">
    <w:name w:val="List Bullet 5"/>
    <w:basedOn w:val="Normal"/>
    <w:autoRedefine/>
    <w:semiHidden/>
    <w:pPr>
      <w:numPr>
        <w:numId w:val="1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9"/>
      </w:numPr>
    </w:pPr>
  </w:style>
  <w:style w:type="paragraph" w:styleId="ListNumber2">
    <w:name w:val="List Number 2"/>
    <w:basedOn w:val="Normal"/>
    <w:semiHidden/>
    <w:pPr>
      <w:numPr>
        <w:numId w:val="20"/>
      </w:numPr>
      <w:tabs>
        <w:tab w:val="clear" w:pos="643"/>
        <w:tab w:val="num" w:pos="720"/>
      </w:tabs>
      <w:ind w:left="720"/>
    </w:pPr>
  </w:style>
  <w:style w:type="paragraph" w:styleId="ListNumber3">
    <w:name w:val="List Number 3"/>
    <w:basedOn w:val="Normal"/>
    <w:semiHidden/>
    <w:pPr>
      <w:numPr>
        <w:numId w:val="21"/>
      </w:numPr>
      <w:tabs>
        <w:tab w:val="clear" w:pos="926"/>
        <w:tab w:val="num" w:pos="1080"/>
      </w:tabs>
      <w:ind w:left="1080"/>
    </w:pPr>
  </w:style>
  <w:style w:type="paragraph" w:styleId="ListNumber4">
    <w:name w:val="List Number 4"/>
    <w:basedOn w:val="Normal"/>
    <w:semiHidden/>
    <w:pPr>
      <w:numPr>
        <w:numId w:val="22"/>
      </w:numPr>
      <w:tabs>
        <w:tab w:val="clear" w:pos="1209"/>
        <w:tab w:val="num" w:pos="1440"/>
      </w:tabs>
      <w:ind w:left="1440"/>
    </w:pPr>
  </w:style>
  <w:style w:type="paragraph" w:styleId="ListNumber5">
    <w:name w:val="List Number 5"/>
    <w:basedOn w:val="Normal"/>
    <w:semiHidden/>
    <w:pPr>
      <w:numPr>
        <w:numId w:val="23"/>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9"/>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CharSDivNo">
    <w:name w:val="CharSDivNo"/>
    <w:basedOn w:val="DefaultParagraphFont"/>
    <w:rPr>
      <w:sz w:val="24"/>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24"/>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rFonts w:ascii="Times New Roman" w:hAnsi="Times New Roman"/>
      <w:b/>
      <w:noProof/>
      <w:sz w:val="28"/>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3551</Words>
  <Characters>14489</Characters>
  <Application>Microsoft Office Word</Application>
  <DocSecurity>0</DocSecurity>
  <Lines>689</Lines>
  <Paragraphs>501</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Parliamentary Counsel's Office</Company>
  <LinksUpToDate>false</LinksUpToDate>
  <CharactersWithSpaces>17539</CharactersWithSpaces>
  <SharedDoc>false</SharedDoc>
  <HyperlinkBase/>
  <HLinks>
    <vt:vector size="18" baseType="variant">
      <vt:variant>
        <vt:i4>3014716</vt:i4>
      </vt:variant>
      <vt:variant>
        <vt:i4>1914</vt:i4>
      </vt:variant>
      <vt:variant>
        <vt:i4>1025</vt:i4>
      </vt:variant>
      <vt:variant>
        <vt:i4>1</vt:i4>
      </vt:variant>
      <vt:variant>
        <vt:lpwstr>C:\Program Files\PCO DLL\Support\Crest.wpg</vt:lpwstr>
      </vt:variant>
      <vt:variant>
        <vt:lpwstr/>
      </vt:variant>
      <vt:variant>
        <vt:i4>5439608</vt:i4>
      </vt:variant>
      <vt:variant>
        <vt:i4>7391</vt:i4>
      </vt:variant>
      <vt:variant>
        <vt:i4>1026</vt:i4>
      </vt:variant>
      <vt:variant>
        <vt:i4>1</vt:i4>
      </vt:variant>
      <vt:variant>
        <vt:lpwstr>A:\dline.gif</vt:lpwstr>
      </vt:variant>
      <vt:variant>
        <vt:lpwstr/>
      </vt:variant>
      <vt:variant>
        <vt:i4>3014716</vt:i4>
      </vt:variant>
      <vt:variant>
        <vt:i4>-1</vt:i4>
      </vt:variant>
      <vt:variant>
        <vt:i4>1031</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Tax Act 2002 - 02-c0-01</dc:title>
  <dc:subject>Bills and Amendments</dc:subject>
  <dc:creator>Matthew Pether</dc:creator>
  <cp:keywords/>
  <cp:lastModifiedBy>svcMRProcess</cp:lastModifiedBy>
  <cp:revision>4</cp:revision>
  <cp:lastPrinted>2010-02-16T06:39:00Z</cp:lastPrinted>
  <dcterms:created xsi:type="dcterms:W3CDTF">2015-05-19T08:33:00Z</dcterms:created>
  <dcterms:modified xsi:type="dcterms:W3CDTF">2015-05-19T08:33:00Z</dcterms:modified>
  <cp:category>DN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51 of 2002</vt:lpwstr>
  </property>
  <property fmtid="{D5CDD505-2E9C-101B-9397-08002B2CF9AE}" pid="3" name="CommencementDate">
    <vt:lpwstr>20140701</vt:lpwstr>
  </property>
  <property fmtid="{D5CDD505-2E9C-101B-9397-08002B2CF9AE}" pid="4" name="DocumentType">
    <vt:lpwstr>Act</vt:lpwstr>
  </property>
  <property fmtid="{D5CDD505-2E9C-101B-9397-08002B2CF9AE}" pid="5" name="OwlsUID">
    <vt:i4>6340</vt:i4>
  </property>
  <property fmtid="{D5CDD505-2E9C-101B-9397-08002B2CF9AE}" pid="6" name="ReprintNo">
    <vt:lpwstr>2</vt:lpwstr>
  </property>
  <property fmtid="{D5CDD505-2E9C-101B-9397-08002B2CF9AE}" pid="7" name="AsAtDate">
    <vt:lpwstr>01 Jul 2014</vt:lpwstr>
  </property>
  <property fmtid="{D5CDD505-2E9C-101B-9397-08002B2CF9AE}" pid="8" name="Suffix">
    <vt:lpwstr>02-c0-01</vt:lpwstr>
  </property>
</Properties>
</file>