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_Toc392244632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_Toc392244633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_Toc392244634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_Toc392244637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_Toc392244638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_Toc392244639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_Toc392244640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_Toc392244641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_Toc392244642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_Toc392244643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_Toc392244644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_Toc392244646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_Toc392244647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_Toc392244648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_Toc392244649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_Toc392244650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_Toc392244651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_Toc392244653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_Toc392244654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_Toc392244655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_Toc392244656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_Toc392244657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_Toc392244658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_Toc392244659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_Toc392244660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_Toc392244661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_Toc392244662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_Toc392244663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_Toc392244665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_Toc392244666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_Toc392244667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_Toc392244668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_Toc392244670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_Toc392244671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_Toc392244672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_Toc392244673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_Toc392244674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_Toc392244675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_Toc392244689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_Toc392244690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9224463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9224463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92244633"/>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92244634"/>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92244635"/>
      <w:r>
        <w:rPr>
          <w:rStyle w:val="CharPartNo"/>
        </w:rPr>
        <w:t>Part I</w:t>
      </w:r>
      <w:r>
        <w:t> — </w:t>
      </w:r>
      <w:r>
        <w:rPr>
          <w:rStyle w:val="CharPartText"/>
        </w:rPr>
        <w:t>Legislature</w:t>
      </w:r>
      <w:bookmarkEnd w:id="5"/>
    </w:p>
    <w:p>
      <w:pPr>
        <w:pStyle w:val="Heading3"/>
      </w:pPr>
      <w:bookmarkStart w:id="6" w:name="_Toc392244636"/>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92244637"/>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92244638"/>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92244639"/>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92244640"/>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92244641"/>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92244642"/>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92244643"/>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92244644"/>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92244645"/>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92244646"/>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92244647"/>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92244648"/>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92244649"/>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92244650"/>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92244651"/>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92244652"/>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92244653"/>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92244654"/>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92244655"/>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92244656"/>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92244657"/>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92244658"/>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92244659"/>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92244660"/>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92244661"/>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92244662"/>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92244663"/>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92244664"/>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92244665"/>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92244666"/>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92244667"/>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92244668"/>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92244669"/>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92244670"/>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92244671"/>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92244672"/>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92244673"/>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92244674"/>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92244675"/>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392244676"/>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392244677"/>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92244678"/>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92244679"/>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92244680"/>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92244681"/>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92244682"/>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92244683"/>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92244684"/>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44(1) and (3)</w:t>
      </w:r>
      <w:r>
        <w:rPr>
          <w:spacing w:val="-4"/>
        </w:rPr>
        <w:noBreakHyphen/>
        <w:t>(5)</w:t>
      </w:r>
      <w:r>
        <w:t>.]</w:t>
      </w:r>
    </w:p>
    <w:p>
      <w:pPr>
        <w:pStyle w:val="yScheduleHeading"/>
      </w:pPr>
      <w:bookmarkStart w:id="55" w:name="_Toc392244685"/>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92244686"/>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92244687"/>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392244688"/>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92244689"/>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44(1) and (3)</w:t>
            </w:r>
            <w:r>
              <w:rPr>
                <w:sz w:val="19"/>
                <w:szCs w:val="19"/>
              </w:rPr>
              <w:noBreakHyphen/>
              <w:t>(5)</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 xml:space="preserve">1 Jul 2014 (see s. 2(1)(c) and </w:t>
            </w:r>
            <w:r>
              <w:rPr>
                <w:i/>
                <w:sz w:val="19"/>
                <w:szCs w:val="19"/>
              </w:rPr>
              <w:t>Gazette</w:t>
            </w:r>
            <w:r>
              <w:rPr>
                <w:sz w:val="19"/>
                <w:szCs w:val="19"/>
              </w:rPr>
              <w:t xml:space="preserve"> 20 Jun 2014 p. 2023)</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92244690"/>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spacing w:after="40"/>
              <w:ind w:left="12" w:right="113"/>
              <w:rPr>
                <w:sz w:val="19"/>
                <w:szCs w:val="19"/>
                <w:vertAlign w:val="superscript"/>
              </w:rPr>
            </w:pPr>
            <w:r>
              <w:rPr>
                <w:i/>
                <w:sz w:val="19"/>
                <w:szCs w:val="19"/>
              </w:rPr>
              <w:t>Ports Legislation Amendment Act 2014</w:t>
            </w:r>
            <w:r>
              <w:rPr>
                <w:sz w:val="19"/>
                <w:szCs w:val="19"/>
              </w:rPr>
              <w:t xml:space="preserve"> s. 44(2)</w:t>
            </w:r>
            <w:r>
              <w:rPr>
                <w:sz w:val="19"/>
                <w:szCs w:val="19"/>
                <w:vertAlign w:val="superscript"/>
              </w:rPr>
              <w:t> 55</w:t>
            </w:r>
          </w:p>
        </w:tc>
        <w:tc>
          <w:tcPr>
            <w:tcW w:w="1135" w:type="dxa"/>
          </w:tcPr>
          <w:p>
            <w:pPr>
              <w:pStyle w:val="nTable"/>
              <w:spacing w:after="40"/>
              <w:rPr>
                <w:sz w:val="19"/>
                <w:szCs w:val="19"/>
              </w:rPr>
            </w:pPr>
            <w:r>
              <w:rPr>
                <w:sz w:val="19"/>
                <w:szCs w:val="19"/>
              </w:rPr>
              <w:t>9 of 2014</w:t>
            </w:r>
          </w:p>
        </w:tc>
        <w:tc>
          <w:tcPr>
            <w:tcW w:w="1134" w:type="dxa"/>
          </w:tcPr>
          <w:p>
            <w:pPr>
              <w:pStyle w:val="nTable"/>
              <w:spacing w:after="40"/>
              <w:rPr>
                <w:sz w:val="19"/>
                <w:szCs w:val="19"/>
              </w:rPr>
            </w:pPr>
            <w:r>
              <w:rPr>
                <w:sz w:val="19"/>
                <w:szCs w:val="19"/>
              </w:rPr>
              <w:t>20 May 2014</w:t>
            </w:r>
          </w:p>
        </w:tc>
        <w:tc>
          <w:tcPr>
            <w:tcW w:w="2552" w:type="dxa"/>
          </w:tcPr>
          <w:p>
            <w:pPr>
              <w:pStyle w:val="nTable"/>
              <w:spacing w:after="40"/>
              <w:rPr>
                <w:sz w:val="19"/>
                <w:szCs w:val="19"/>
              </w:rPr>
            </w:pPr>
            <w:r>
              <w:rPr>
                <w:sz w:val="19"/>
                <w:szCs w:val="19"/>
              </w:rPr>
              <w:t>To be proclaimed (see s. 2(1)(c))</w:t>
            </w:r>
          </w:p>
        </w:tc>
      </w:tr>
      <w:tr>
        <w:trPr>
          <w:cantSplit/>
        </w:trPr>
        <w:tc>
          <w:tcPr>
            <w:tcW w:w="2268" w:type="dxa"/>
            <w:tcBorders>
              <w:bottom w:val="single" w:sz="4"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56</w:t>
            </w:r>
          </w:p>
        </w:tc>
        <w:tc>
          <w:tcPr>
            <w:tcW w:w="1135" w:type="dxa"/>
            <w:tcBorders>
              <w:bottom w:val="single" w:sz="4" w:space="0" w:color="auto"/>
            </w:tcBorders>
          </w:tcPr>
          <w:p>
            <w:pPr>
              <w:pStyle w:val="nTable"/>
              <w:spacing w:after="40"/>
            </w:pPr>
            <w:r>
              <w:t>13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t>On the date as at which this compilation</w:t>
      </w:r>
      <w:r>
        <w:t xml:space="preserve"> </w:t>
      </w:r>
      <w:r>
        <w:rPr>
          <w:snapToGrid w:val="0"/>
        </w:rPr>
        <w:t xml:space="preserve">was prepared, the </w:t>
      </w:r>
      <w:r>
        <w:rPr>
          <w:i/>
          <w:snapToGrid w:val="0"/>
        </w:rPr>
        <w:t>Ports Legislation Amendment Act 2014</w:t>
      </w:r>
      <w:r>
        <w:rPr>
          <w:snapToGrid w:val="0"/>
        </w:rPr>
        <w:t xml:space="preserve"> s. 44(2) had not come into operation. It reads as follows:</w:t>
      </w:r>
    </w:p>
    <w:p>
      <w:pPr>
        <w:pStyle w:val="BlankOpen"/>
        <w:rPr>
          <w:snapToGrid w:val="0"/>
        </w:rPr>
      </w:pPr>
    </w:p>
    <w:p>
      <w:pPr>
        <w:pStyle w:val="nzHeading5"/>
      </w:pPr>
      <w:r>
        <w:rPr>
          <w:rStyle w:val="CharSectno"/>
        </w:rPr>
        <w:t>44</w:t>
      </w:r>
      <w:r>
        <w:t>.</w:t>
      </w:r>
      <w:r>
        <w:tab/>
      </w:r>
      <w:r>
        <w:rPr>
          <w:i/>
        </w:rPr>
        <w:t>Constitution Acts Amendment Act 1899</w:t>
      </w:r>
      <w:r>
        <w:t xml:space="preserve"> amended</w:t>
      </w:r>
    </w:p>
    <w:p>
      <w:pPr>
        <w:pStyle w:val="nzSubsection"/>
      </w:pPr>
      <w:r>
        <w:tab/>
        <w:t>(2)</w:t>
      </w:r>
      <w:r>
        <w:tab/>
        <w:t>In Schedule V Part 3:</w:t>
      </w:r>
    </w:p>
    <w:p>
      <w:pPr>
        <w:pStyle w:val="nzIndenta"/>
      </w:pPr>
      <w:r>
        <w:tab/>
        <w:t>(a)</w:t>
      </w:r>
      <w:r>
        <w:tab/>
        <w:t xml:space="preserve">delete the items relating to the </w:t>
      </w:r>
      <w:r>
        <w:rPr>
          <w:szCs w:val="24"/>
        </w:rPr>
        <w:t>Albany Port Authority, the Bunbury Port Authority and the Esperance Port Authority;</w:t>
      </w:r>
    </w:p>
    <w:p>
      <w:pPr>
        <w:pStyle w:val="nzIndenta"/>
      </w:pPr>
      <w:r>
        <w:tab/>
        <w:t>(b)</w:t>
      </w:r>
      <w:r>
        <w:tab/>
        <w:t xml:space="preserve">before the item relating to the </w:t>
      </w:r>
      <w:r>
        <w:rPr>
          <w:snapToGrid w:val="0"/>
        </w:rPr>
        <w:t>State</w:t>
      </w:r>
      <w:r>
        <w:t xml:space="preserve"> Advisory Committee on Publications insert:</w:t>
      </w:r>
    </w:p>
    <w:p>
      <w:pPr>
        <w:pStyle w:val="BlankOpen"/>
      </w:pPr>
    </w:p>
    <w:p>
      <w:pPr>
        <w:pStyle w:val="nzNumberedItem"/>
      </w:pPr>
      <w:r>
        <w:tab/>
        <w:t xml:space="preserve">The Southern Ports Authority established under </w:t>
      </w:r>
      <w:r>
        <w:rPr>
          <w:snapToGrid w:val="0"/>
        </w:rPr>
        <w:t>the</w:t>
      </w:r>
      <w:r>
        <w:rPr>
          <w:i/>
          <w:snapToGrid w:val="0"/>
        </w:rPr>
        <w:t xml:space="preserve"> Port Authorities Act 1999</w:t>
      </w:r>
      <w:r>
        <w:t>.</w:t>
      </w:r>
    </w:p>
    <w:p>
      <w:pPr>
        <w:pStyle w:val="BlankClose"/>
      </w:pPr>
    </w:p>
    <w:p>
      <w:pPr>
        <w:pStyle w:val="BlankClose"/>
      </w:pPr>
    </w:p>
    <w:p/>
    <w:p>
      <w:pPr>
        <w:pStyle w:val="nSubsection"/>
        <w:keepNext/>
        <w:keepLines/>
        <w:spacing w:before="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BlankOpen"/>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392244691"/>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64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63FB-AF4E-47AA-B7F0-5E6E98F0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22017</Words>
  <Characters>99517</Characters>
  <Application>Microsoft Office Word</Application>
  <DocSecurity>0</DocSecurity>
  <Lines>3685</Lines>
  <Paragraphs>2250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1899 - 19-h0-00</dc:title>
  <dc:subject/>
  <dc:creator/>
  <cp:keywords/>
  <dc:description/>
  <cp:lastModifiedBy>svcMRProcess</cp:lastModifiedBy>
  <cp:revision>4</cp:revision>
  <cp:lastPrinted>2013-07-17T05:47:00Z</cp:lastPrinted>
  <dcterms:created xsi:type="dcterms:W3CDTF">2018-08-28T00:32:00Z</dcterms:created>
  <dcterms:modified xsi:type="dcterms:W3CDTF">2018-08-28T00:32:00Z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173</vt:i4>
  </property>
  <property fmtid="{D5CDD505-2E9C-101B-9397-08002B2CF9AE}" pid="6" name="AsAtDate">
    <vt:lpwstr>02 Jul 2014</vt:lpwstr>
  </property>
  <property fmtid="{D5CDD505-2E9C-101B-9397-08002B2CF9AE}" pid="7" name="Suffix">
    <vt:lpwstr>19-h0-00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