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Police (Medical and Other Expenses for Former Officers) Act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Police (Medical and Other Expenses for Former Officers)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_Toc424284265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_Toc424284266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_Toc424284267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Liability to pay amounts for medical and other expenses</w:t>
      </w:r>
    </w:p>
    <w:p>
      <w:pPr>
        <w:pStyle w:val="TOC8"/>
        <w:rPr>
          <w:rFonts w:asciiTheme="minorHAnsi" w:eastAsiaTheme="minorEastAsia" w:hAnsiTheme="minorHAnsi" w:cstheme="minorBidi"/>
          <w:szCs w:val="22"/>
        </w:rPr>
      </w:pPr>
      <w:r>
        <w:t>4.</w:t>
      </w:r>
      <w:r>
        <w:tab/>
        <w:t>Police Commissioner liable</w:t>
      </w:r>
      <w:r>
        <w:tab/>
      </w:r>
      <w:r>
        <w:fldChar w:fldCharType="begin"/>
      </w:r>
      <w:r>
        <w:instrText xml:space="preserve"> PAGEREF _Toc424284269 \h </w:instrText>
      </w:r>
      <w:r>
        <w:fldChar w:fldCharType="separate"/>
      </w:r>
      <w:r>
        <w:t>4</w:t>
      </w:r>
      <w:r>
        <w:fldChar w:fldCharType="end"/>
      </w:r>
    </w:p>
    <w:p>
      <w:pPr>
        <w:pStyle w:val="TOC8"/>
        <w:rPr>
          <w:rFonts w:asciiTheme="minorHAnsi" w:eastAsiaTheme="minorEastAsia" w:hAnsiTheme="minorHAnsi" w:cstheme="minorBidi"/>
          <w:szCs w:val="22"/>
        </w:rPr>
      </w:pPr>
      <w:r>
        <w:t>5.</w:t>
      </w:r>
      <w:r>
        <w:tab/>
        <w:t>Calculating amount payable</w:t>
      </w:r>
      <w:r>
        <w:tab/>
      </w:r>
      <w:r>
        <w:fldChar w:fldCharType="begin"/>
      </w:r>
      <w:r>
        <w:instrText xml:space="preserve"> PAGEREF _Toc424284270 \h </w:instrText>
      </w:r>
      <w:r>
        <w:fldChar w:fldCharType="separate"/>
      </w:r>
      <w:r>
        <w:t>4</w:t>
      </w:r>
      <w:r>
        <w:fldChar w:fldCharType="end"/>
      </w:r>
    </w:p>
    <w:p>
      <w:pPr>
        <w:pStyle w:val="TOC8"/>
        <w:rPr>
          <w:rFonts w:asciiTheme="minorHAnsi" w:eastAsiaTheme="minorEastAsia" w:hAnsiTheme="minorHAnsi" w:cstheme="minorBidi"/>
          <w:szCs w:val="22"/>
        </w:rPr>
      </w:pPr>
      <w:r>
        <w:t>6.</w:t>
      </w:r>
      <w:r>
        <w:tab/>
        <w:t>Person not to be paid twice</w:t>
      </w:r>
      <w:r>
        <w:tab/>
      </w:r>
      <w:r>
        <w:fldChar w:fldCharType="begin"/>
      </w:r>
      <w:r>
        <w:instrText xml:space="preserve"> PAGEREF _Toc424284271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Dispute resolution</w:t>
      </w:r>
    </w:p>
    <w:p>
      <w:pPr>
        <w:pStyle w:val="TOC8"/>
        <w:rPr>
          <w:rFonts w:asciiTheme="minorHAnsi" w:eastAsiaTheme="minorEastAsia" w:hAnsiTheme="minorHAnsi" w:cstheme="minorBidi"/>
          <w:szCs w:val="22"/>
        </w:rPr>
      </w:pPr>
      <w:r>
        <w:t>7.</w:t>
      </w:r>
      <w:r>
        <w:tab/>
        <w:t>Procedure under WC&amp;IM Act applies</w:t>
      </w:r>
      <w:r>
        <w:tab/>
      </w:r>
      <w:r>
        <w:fldChar w:fldCharType="begin"/>
      </w:r>
      <w:r>
        <w:instrText xml:space="preserve"> PAGEREF _Toc424284273 \h </w:instrText>
      </w:r>
      <w:r>
        <w:fldChar w:fldCharType="separate"/>
      </w:r>
      <w:r>
        <w:t>6</w:t>
      </w:r>
      <w:r>
        <w:fldChar w:fldCharType="end"/>
      </w:r>
    </w:p>
    <w:p>
      <w:pPr>
        <w:pStyle w:val="TOC8"/>
        <w:rPr>
          <w:rFonts w:asciiTheme="minorHAnsi" w:eastAsiaTheme="minorEastAsia" w:hAnsiTheme="minorHAnsi" w:cstheme="minorBidi"/>
          <w:szCs w:val="22"/>
        </w:rPr>
      </w:pPr>
      <w:r>
        <w:t>8.</w:t>
      </w:r>
      <w:r>
        <w:tab/>
        <w:t>Time limits under WC&amp;IM Act do not apply</w:t>
      </w:r>
      <w:r>
        <w:tab/>
      </w:r>
      <w:r>
        <w:fldChar w:fldCharType="begin"/>
      </w:r>
      <w:r>
        <w:instrText xml:space="preserve"> PAGEREF _Toc424284274 \h </w:instrText>
      </w:r>
      <w:r>
        <w:fldChar w:fldCharType="separate"/>
      </w:r>
      <w:r>
        <w:t>6</w:t>
      </w:r>
      <w:r>
        <w:fldChar w:fldCharType="end"/>
      </w:r>
    </w:p>
    <w:p>
      <w:pPr>
        <w:pStyle w:val="TOC8"/>
        <w:rPr>
          <w:rFonts w:asciiTheme="minorHAnsi" w:eastAsiaTheme="minorEastAsia" w:hAnsiTheme="minorHAnsi" w:cstheme="minorBidi"/>
          <w:szCs w:val="22"/>
        </w:rPr>
      </w:pPr>
      <w:r>
        <w:t>9.</w:t>
      </w:r>
      <w:r>
        <w:tab/>
        <w:t>Arbitrator’s decision not final for other proceedings</w:t>
      </w:r>
      <w:r>
        <w:tab/>
      </w:r>
      <w:r>
        <w:fldChar w:fldCharType="begin"/>
      </w:r>
      <w:r>
        <w:instrText xml:space="preserve"> PAGEREF _Toc424284275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Claims management</w:t>
      </w:r>
    </w:p>
    <w:p>
      <w:pPr>
        <w:pStyle w:val="TOC8"/>
        <w:rPr>
          <w:rFonts w:asciiTheme="minorHAnsi" w:eastAsiaTheme="minorEastAsia" w:hAnsiTheme="minorHAnsi" w:cstheme="minorBidi"/>
          <w:szCs w:val="22"/>
        </w:rPr>
      </w:pPr>
      <w:r>
        <w:t>10.</w:t>
      </w:r>
      <w:r>
        <w:tab/>
        <w:t>Terms used in this Part</w:t>
      </w:r>
      <w:r>
        <w:tab/>
      </w:r>
      <w:r>
        <w:fldChar w:fldCharType="begin"/>
      </w:r>
      <w:r>
        <w:instrText xml:space="preserve"> PAGEREF _Toc424284277 \h </w:instrText>
      </w:r>
      <w:r>
        <w:fldChar w:fldCharType="separate"/>
      </w:r>
      <w:r>
        <w:t>7</w:t>
      </w:r>
      <w:r>
        <w:fldChar w:fldCharType="end"/>
      </w:r>
    </w:p>
    <w:p>
      <w:pPr>
        <w:pStyle w:val="TOC8"/>
        <w:rPr>
          <w:rFonts w:asciiTheme="minorHAnsi" w:eastAsiaTheme="minorEastAsia" w:hAnsiTheme="minorHAnsi" w:cstheme="minorBidi"/>
          <w:szCs w:val="22"/>
        </w:rPr>
      </w:pPr>
      <w:r>
        <w:t>11.</w:t>
      </w:r>
      <w:r>
        <w:tab/>
        <w:t>Insurance Commission to manage claims for first 3 years</w:t>
      </w:r>
      <w:r>
        <w:tab/>
      </w:r>
      <w:r>
        <w:fldChar w:fldCharType="begin"/>
      </w:r>
      <w:r>
        <w:instrText xml:space="preserve"> PAGEREF _Toc424284278 \h </w:instrText>
      </w:r>
      <w:r>
        <w:fldChar w:fldCharType="separate"/>
      </w:r>
      <w:r>
        <w:t>7</w:t>
      </w:r>
      <w:r>
        <w:fldChar w:fldCharType="end"/>
      </w:r>
    </w:p>
    <w:p>
      <w:pPr>
        <w:pStyle w:val="TOC8"/>
        <w:rPr>
          <w:rFonts w:asciiTheme="minorHAnsi" w:eastAsiaTheme="minorEastAsia" w:hAnsiTheme="minorHAnsi" w:cstheme="minorBidi"/>
          <w:szCs w:val="22"/>
        </w:rPr>
      </w:pPr>
      <w:r>
        <w:t>12.</w:t>
      </w:r>
      <w:r>
        <w:tab/>
        <w:t>Management of claims after first 3 years</w:t>
      </w:r>
      <w:r>
        <w:tab/>
      </w:r>
      <w:r>
        <w:fldChar w:fldCharType="begin"/>
      </w:r>
      <w:r>
        <w:instrText xml:space="preserve"> PAGEREF _Toc424284279 \h </w:instrText>
      </w:r>
      <w:r>
        <w:fldChar w:fldCharType="separate"/>
      </w:r>
      <w:r>
        <w:t>7</w:t>
      </w:r>
      <w:r>
        <w:fldChar w:fldCharType="end"/>
      </w:r>
    </w:p>
    <w:p>
      <w:pPr>
        <w:pStyle w:val="TOC8"/>
        <w:rPr>
          <w:rFonts w:asciiTheme="minorHAnsi" w:eastAsiaTheme="minorEastAsia" w:hAnsiTheme="minorHAnsi" w:cstheme="minorBidi"/>
          <w:szCs w:val="22"/>
        </w:rPr>
      </w:pPr>
      <w:r>
        <w:t>13.</w:t>
      </w:r>
      <w:r>
        <w:tab/>
        <w:t>Police Commissioner is public authority</w:t>
      </w:r>
      <w:r>
        <w:tab/>
      </w:r>
      <w:r>
        <w:fldChar w:fldCharType="begin"/>
      </w:r>
      <w:r>
        <w:instrText xml:space="preserve"> PAGEREF _Toc424284280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 matters</w:t>
      </w:r>
    </w:p>
    <w:p>
      <w:pPr>
        <w:pStyle w:val="TOC8"/>
        <w:rPr>
          <w:rFonts w:asciiTheme="minorHAnsi" w:eastAsiaTheme="minorEastAsia" w:hAnsiTheme="minorHAnsi" w:cstheme="minorBidi"/>
          <w:szCs w:val="22"/>
        </w:rPr>
      </w:pPr>
      <w:r>
        <w:t>14.</w:t>
      </w:r>
      <w:r>
        <w:tab/>
        <w:t>Appropriate changes to WC&amp;IM Act</w:t>
      </w:r>
      <w:r>
        <w:tab/>
      </w:r>
      <w:r>
        <w:fldChar w:fldCharType="begin"/>
      </w:r>
      <w:r>
        <w:instrText xml:space="preserve"> PAGEREF _Toc424284282 \h </w:instrText>
      </w:r>
      <w:r>
        <w:fldChar w:fldCharType="separate"/>
      </w:r>
      <w:r>
        <w:t>9</w:t>
      </w:r>
      <w:r>
        <w:fldChar w:fldCharType="end"/>
      </w:r>
    </w:p>
    <w:p>
      <w:pPr>
        <w:pStyle w:val="TOC8"/>
        <w:rPr>
          <w:rFonts w:asciiTheme="minorHAnsi" w:eastAsiaTheme="minorEastAsia" w:hAnsiTheme="minorHAnsi" w:cstheme="minorBidi"/>
          <w:szCs w:val="22"/>
        </w:rPr>
      </w:pPr>
      <w:r>
        <w:t>15.</w:t>
      </w:r>
      <w:r>
        <w:tab/>
        <w:t>Regulations</w:t>
      </w:r>
      <w:r>
        <w:tab/>
      </w:r>
      <w:r>
        <w:fldChar w:fldCharType="begin"/>
      </w:r>
      <w:r>
        <w:instrText xml:space="preserve"> PAGEREF _Toc424284283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_Toc424284285 \h </w:instrText>
      </w:r>
      <w:r>
        <w:fldChar w:fldCharType="separate"/>
      </w:r>
      <w:r>
        <w:t>10</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_Toc424284286 \h </w:instrText>
      </w:r>
      <w:r>
        <w:fldChar w:fldCharType="separate"/>
      </w:r>
      <w:r>
        <w:t>10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Police (Medical and Other Expenses for Former Officers) Act 2008</w:t>
      </w:r>
    </w:p>
    <w:p>
      <w:pPr>
        <w:pStyle w:val="LongTitle"/>
        <w:suppressLineNumbers/>
        <w:rPr>
          <w:snapToGrid w:val="0"/>
        </w:rPr>
      </w:pPr>
      <w:bookmarkStart w:id="3" w:name="BillCited"/>
      <w:bookmarkEnd w:id="3"/>
      <w:r>
        <w:rPr>
          <w:snapToGrid w:val="0"/>
        </w:rPr>
        <w:t xml:space="preserve">An Act — </w:t>
      </w:r>
    </w:p>
    <w:p>
      <w:pPr>
        <w:pStyle w:val="LongTitle2"/>
        <w:numPr>
          <w:ilvl w:val="0"/>
          <w:numId w:val="13"/>
        </w:numPr>
        <w:tabs>
          <w:tab w:val="clear" w:pos="170"/>
          <w:tab w:val="clear" w:pos="397"/>
          <w:tab w:val="left" w:pos="284"/>
        </w:tabs>
        <w:ind w:left="284" w:hanging="284"/>
        <w:rPr>
          <w:snapToGrid w:val="0"/>
        </w:rPr>
      </w:pPr>
      <w:r>
        <w:rPr>
          <w:snapToGrid w:val="0"/>
        </w:rPr>
        <w:t>to provide for the payment of medical and other expenses incurred by former police officers and former Aboriginal police liaison officers in respect of employment</w:t>
      </w:r>
      <w:r>
        <w:rPr>
          <w:snapToGrid w:val="0"/>
        </w:rPr>
        <w:noBreakHyphen/>
        <w:t>related injuries; and</w:t>
      </w:r>
    </w:p>
    <w:p>
      <w:pPr>
        <w:pStyle w:val="LongTitle2"/>
        <w:numPr>
          <w:ilvl w:val="0"/>
          <w:numId w:val="13"/>
        </w:numPr>
        <w:suppressLineNumbers/>
        <w:tabs>
          <w:tab w:val="clear" w:pos="170"/>
          <w:tab w:val="clear" w:pos="397"/>
          <w:tab w:val="left" w:pos="284"/>
        </w:tabs>
        <w:ind w:left="284" w:hanging="284"/>
        <w:rPr>
          <w:snapToGrid w:val="0"/>
        </w:rPr>
      </w:pPr>
      <w:r>
        <w:rPr>
          <w:snapToGrid w:val="0"/>
        </w:rPr>
        <w:t>to provide for the resolution of disputes in connection with claims for payment of amounts, or liability to pay amounts, under this Act; and</w:t>
      </w:r>
    </w:p>
    <w:p>
      <w:pPr>
        <w:pStyle w:val="LongTitle2"/>
        <w:numPr>
          <w:ilvl w:val="0"/>
          <w:numId w:val="13"/>
        </w:numPr>
        <w:suppressLineNumbers/>
        <w:tabs>
          <w:tab w:val="clear" w:pos="170"/>
          <w:tab w:val="clear" w:pos="397"/>
          <w:tab w:val="left" w:pos="284"/>
        </w:tabs>
        <w:ind w:left="284" w:hanging="284"/>
        <w:rPr>
          <w:snapToGrid w:val="0"/>
        </w:rPr>
      </w:pPr>
      <w:r>
        <w:rPr>
          <w:snapToGrid w:val="0"/>
        </w:rPr>
        <w:t>to provide for the management of claims for payment of amounts under this Act,</w:t>
      </w:r>
    </w:p>
    <w:p>
      <w:pPr>
        <w:pStyle w:val="LongTitle"/>
        <w:suppressLineNumbers/>
        <w:rPr>
          <w:snapToGrid w:val="0"/>
        </w:rPr>
      </w:pPr>
      <w:r>
        <w:rPr>
          <w:snapToGrid w:val="0"/>
        </w:rPr>
        <w:t>and for related purposes.</w:t>
      </w:r>
    </w:p>
    <w:p>
      <w:pPr>
        <w:pStyle w:val="Heading2"/>
      </w:pPr>
      <w:bookmarkStart w:id="4" w:name="_Toc392244995"/>
      <w:bookmarkStart w:id="5" w:name="_Toc424284264"/>
      <w:r>
        <w:rPr>
          <w:rStyle w:val="CharPartNo"/>
        </w:rPr>
        <w:t>Part 1</w:t>
      </w:r>
      <w:r>
        <w:rPr>
          <w:rStyle w:val="CharDivNo"/>
        </w:rPr>
        <w:t> </w:t>
      </w:r>
      <w:r>
        <w:t>—</w:t>
      </w:r>
      <w:r>
        <w:rPr>
          <w:rStyle w:val="CharDivText"/>
        </w:rPr>
        <w:t> </w:t>
      </w:r>
      <w:r>
        <w:rPr>
          <w:rStyle w:val="CharPartText"/>
        </w:rPr>
        <w:t>Preliminary matters</w:t>
      </w:r>
      <w:bookmarkEnd w:id="4"/>
      <w:bookmarkEnd w:id="5"/>
    </w:p>
    <w:p>
      <w:pPr>
        <w:pStyle w:val="Heading5"/>
      </w:pPr>
      <w:bookmarkStart w:id="6" w:name="_Toc392244996"/>
      <w:bookmarkStart w:id="7" w:name="_Toc424284265"/>
      <w:r>
        <w:rPr>
          <w:rStyle w:val="CharSectno"/>
        </w:rPr>
        <w:t>1</w:t>
      </w:r>
      <w:r>
        <w:t>.</w:t>
      </w:r>
      <w:r>
        <w:tab/>
      </w:r>
      <w:r>
        <w:rPr>
          <w:snapToGrid w:val="0"/>
        </w:rPr>
        <w:t>Short title</w:t>
      </w:r>
      <w:bookmarkEnd w:id="6"/>
      <w:bookmarkEnd w:id="7"/>
    </w:p>
    <w:p>
      <w:pPr>
        <w:pStyle w:val="Subsection"/>
      </w:pPr>
      <w:r>
        <w:tab/>
      </w:r>
      <w:r>
        <w:tab/>
        <w:t>This</w:t>
      </w:r>
      <w:r>
        <w:rPr>
          <w:snapToGrid w:val="0"/>
        </w:rPr>
        <w:t xml:space="preserve"> is the</w:t>
      </w:r>
      <w:r>
        <w:rPr>
          <w:i/>
          <w:snapToGrid w:val="0"/>
        </w:rPr>
        <w:t xml:space="preserve"> Police (Medical and Other Expenses for Former Officers) Act 2008</w:t>
      </w:r>
      <w:r>
        <w:rPr>
          <w:snapToGrid w:val="0"/>
        </w:rPr>
        <w:t>.</w:t>
      </w:r>
    </w:p>
    <w:p>
      <w:pPr>
        <w:pStyle w:val="Heading5"/>
        <w:rPr>
          <w:snapToGrid w:val="0"/>
        </w:rPr>
      </w:pPr>
      <w:bookmarkStart w:id="8" w:name="_Toc392244997"/>
      <w:bookmarkStart w:id="9" w:name="_Toc424284266"/>
      <w:r>
        <w:rPr>
          <w:rStyle w:val="CharSectno"/>
        </w:rPr>
        <w:t>2</w:t>
      </w:r>
      <w:r>
        <w:rPr>
          <w:snapToGrid w:val="0"/>
        </w:rPr>
        <w:t>.</w:t>
      </w:r>
      <w:r>
        <w:rPr>
          <w:snapToGrid w:val="0"/>
        </w:rPr>
        <w:tab/>
      </w:r>
      <w:r>
        <w:t>Commencement</w:t>
      </w:r>
      <w:bookmarkEnd w:id="8"/>
      <w:bookmarkEnd w:id="9"/>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0" w:name="_Toc392244998"/>
      <w:bookmarkStart w:id="11" w:name="_Toc424284267"/>
      <w:r>
        <w:rPr>
          <w:rStyle w:val="CharSectno"/>
        </w:rPr>
        <w:t>3</w:t>
      </w:r>
      <w:r>
        <w:t>.</w:t>
      </w:r>
      <w:r>
        <w:tab/>
        <w:t>Terms used in this Act</w:t>
      </w:r>
      <w:bookmarkEnd w:id="10"/>
      <w:bookmarkEnd w:id="11"/>
    </w:p>
    <w:p>
      <w:pPr>
        <w:pStyle w:val="Subsection"/>
      </w:pPr>
      <w:r>
        <w:tab/>
        <w:t>(1)</w:t>
      </w:r>
      <w:r>
        <w:tab/>
        <w:t xml:space="preserve">In this Act, unless the contrary intention appears — </w:t>
      </w:r>
    </w:p>
    <w:p>
      <w:pPr>
        <w:pStyle w:val="Defstart"/>
      </w:pPr>
      <w:r>
        <w:rPr>
          <w:b/>
        </w:rPr>
        <w:tab/>
      </w:r>
      <w:r>
        <w:rPr>
          <w:rStyle w:val="CharDefText"/>
        </w:rPr>
        <w:t>APLO</w:t>
      </w:r>
      <w:r>
        <w:t xml:space="preserve"> has the meaning given in the </w:t>
      </w:r>
      <w:r>
        <w:rPr>
          <w:i/>
          <w:iCs/>
        </w:rPr>
        <w:t>Police Act 1892</w:t>
      </w:r>
      <w:r>
        <w:t xml:space="preserve"> section 38A;</w:t>
      </w:r>
    </w:p>
    <w:p>
      <w:pPr>
        <w:pStyle w:val="Defstart"/>
      </w:pPr>
      <w:r>
        <w:rPr>
          <w:b/>
        </w:rPr>
        <w:tab/>
      </w:r>
      <w:r>
        <w:rPr>
          <w:rStyle w:val="CharDefText"/>
        </w:rPr>
        <w:t>appropriate changes</w:t>
      </w:r>
      <w:r>
        <w:t>, to the WC&amp;IM Act, has the meaning given in section 14;</w:t>
      </w:r>
    </w:p>
    <w:p>
      <w:pPr>
        <w:pStyle w:val="Defstart"/>
      </w:pPr>
      <w:r>
        <w:rPr>
          <w:b/>
        </w:rPr>
        <w:tab/>
      </w:r>
      <w:r>
        <w:rPr>
          <w:rStyle w:val="CharDefText"/>
        </w:rPr>
        <w:t>claim</w:t>
      </w:r>
      <w:r>
        <w:t xml:space="preserve"> means a claim for payment of an amount under section 4(1);</w:t>
      </w:r>
    </w:p>
    <w:p>
      <w:pPr>
        <w:pStyle w:val="Defstart"/>
      </w:pPr>
      <w:r>
        <w:rPr>
          <w:b/>
        </w:rPr>
        <w:tab/>
      </w:r>
      <w:r>
        <w:rPr>
          <w:rStyle w:val="CharDefText"/>
        </w:rPr>
        <w:t>former officer</w:t>
      </w:r>
      <w:r>
        <w:t xml:space="preserve"> means a person who has ceased (whether before or after the commencement of section 4(1)) to be — </w:t>
      </w:r>
    </w:p>
    <w:p>
      <w:pPr>
        <w:pStyle w:val="Defpara"/>
      </w:pPr>
      <w:r>
        <w:tab/>
        <w:t>(a)</w:t>
      </w:r>
      <w:r>
        <w:tab/>
        <w:t>a police officer; or</w:t>
      </w:r>
    </w:p>
    <w:p>
      <w:pPr>
        <w:pStyle w:val="Defpara"/>
      </w:pPr>
      <w:r>
        <w:tab/>
        <w:t>(b)</w:t>
      </w:r>
      <w:r>
        <w:tab/>
        <w:t>an APLO;</w:t>
      </w:r>
    </w:p>
    <w:p>
      <w:pPr>
        <w:pStyle w:val="Defstart"/>
      </w:pPr>
      <w:r>
        <w:rPr>
          <w:b/>
        </w:rPr>
        <w:tab/>
      </w:r>
      <w:r>
        <w:rPr>
          <w:rStyle w:val="CharDefText"/>
        </w:rPr>
        <w:t>injury</w:t>
      </w:r>
      <w:r>
        <w:t xml:space="preserve"> has the meaning given in the WC&amp;IM Act section 5(1);</w:t>
      </w:r>
    </w:p>
    <w:p>
      <w:pPr>
        <w:pStyle w:val="Defstart"/>
      </w:pPr>
      <w:r>
        <w:rPr>
          <w:b/>
        </w:rPr>
        <w:tab/>
      </w:r>
      <w:r>
        <w:rPr>
          <w:rStyle w:val="CharDefText"/>
        </w:rPr>
        <w:t>Police Commissioner</w:t>
      </w:r>
      <w:r>
        <w:t xml:space="preserve"> means the Commissioner of Police appointed under the </w:t>
      </w:r>
      <w:r>
        <w:rPr>
          <w:i/>
        </w:rPr>
        <w:t>Police Act 1892</w:t>
      </w:r>
      <w:r>
        <w:t xml:space="preserve"> section 5;</w:t>
      </w:r>
    </w:p>
    <w:p>
      <w:pPr>
        <w:pStyle w:val="Defstart"/>
        <w:rPr>
          <w:iCs/>
        </w:rPr>
      </w:pPr>
      <w:r>
        <w:rPr>
          <w:b/>
        </w:rPr>
        <w:tab/>
      </w:r>
      <w:r>
        <w:rPr>
          <w:rStyle w:val="CharDefText"/>
        </w:rPr>
        <w:t>WC&amp;IM Act</w:t>
      </w:r>
      <w:r>
        <w:t xml:space="preserve"> means the </w:t>
      </w:r>
      <w:r>
        <w:rPr>
          <w:i/>
        </w:rPr>
        <w:t>Workers’ Compensation and Injury Management Act 1981</w:t>
      </w:r>
      <w:r>
        <w:rPr>
          <w:iCs/>
        </w:rPr>
        <w:t>.</w:t>
      </w:r>
    </w:p>
    <w:p>
      <w:pPr>
        <w:pStyle w:val="Subsection"/>
        <w:keepNext/>
        <w:keepLines/>
      </w:pPr>
      <w:r>
        <w:tab/>
        <w:t>(2)</w:t>
      </w:r>
      <w:r>
        <w:tab/>
        <w:t xml:space="preserve">For the purpose of applying a provision of the WC&amp;IM Act under this Act — </w:t>
      </w:r>
    </w:p>
    <w:p>
      <w:pPr>
        <w:pStyle w:val="Indenta"/>
      </w:pPr>
      <w:r>
        <w:tab/>
        <w:t>(a)</w:t>
      </w:r>
      <w:r>
        <w:tab/>
        <w:t>a reference in the WC&amp;IM Act to a worker is read as a reference to a former officer; and</w:t>
      </w:r>
    </w:p>
    <w:p>
      <w:pPr>
        <w:pStyle w:val="Indenta"/>
      </w:pPr>
      <w:r>
        <w:tab/>
        <w:t>(b)</w:t>
      </w:r>
      <w:r>
        <w:tab/>
        <w:t>a reference in the WC&amp;IM Act to a worker’s employer is read as a reference to the Police Commissioner; and</w:t>
      </w:r>
    </w:p>
    <w:p>
      <w:pPr>
        <w:pStyle w:val="Indenta"/>
      </w:pPr>
      <w:r>
        <w:tab/>
        <w:t>(c)</w:t>
      </w:r>
      <w:r>
        <w:tab/>
        <w:t>a reference in the WC&amp;IM Act to a worker’s employment is read as a reference to a former officer’s employment as a police officer or APLO.</w:t>
      </w:r>
    </w:p>
    <w:p>
      <w:pPr>
        <w:pStyle w:val="Heading2"/>
      </w:pPr>
      <w:bookmarkStart w:id="12" w:name="_Toc392244999"/>
      <w:bookmarkStart w:id="13" w:name="_Toc424284268"/>
      <w:r>
        <w:rPr>
          <w:rStyle w:val="CharPartNo"/>
        </w:rPr>
        <w:t>Part 2</w:t>
      </w:r>
      <w:r>
        <w:rPr>
          <w:rStyle w:val="CharDivNo"/>
        </w:rPr>
        <w:t> </w:t>
      </w:r>
      <w:r>
        <w:t>—</w:t>
      </w:r>
      <w:r>
        <w:rPr>
          <w:rStyle w:val="CharDivText"/>
        </w:rPr>
        <w:t> </w:t>
      </w:r>
      <w:r>
        <w:rPr>
          <w:rStyle w:val="CharPartText"/>
        </w:rPr>
        <w:t>Liability to pay amounts for medical and other expenses</w:t>
      </w:r>
      <w:bookmarkEnd w:id="12"/>
      <w:bookmarkEnd w:id="13"/>
    </w:p>
    <w:p>
      <w:pPr>
        <w:pStyle w:val="Heading5"/>
      </w:pPr>
      <w:bookmarkStart w:id="14" w:name="_Toc392245000"/>
      <w:bookmarkStart w:id="15" w:name="_Toc424284269"/>
      <w:r>
        <w:rPr>
          <w:rStyle w:val="CharSectno"/>
        </w:rPr>
        <w:t>4</w:t>
      </w:r>
      <w:r>
        <w:t>.</w:t>
      </w:r>
      <w:r>
        <w:tab/>
        <w:t>Police Commissioner liable</w:t>
      </w:r>
      <w:bookmarkEnd w:id="14"/>
      <w:bookmarkEnd w:id="15"/>
    </w:p>
    <w:p>
      <w:pPr>
        <w:pStyle w:val="Subsection"/>
      </w:pPr>
      <w:r>
        <w:tab/>
        <w:t>(1)</w:t>
      </w:r>
      <w:r>
        <w:tab/>
        <w:t>The Police Commissioner is liable to pay an amount for medical and other expenses incurred or likely to be incurred by a former officer on or after 1 July 2007 as a result of an injury to the officer.</w:t>
      </w:r>
    </w:p>
    <w:p>
      <w:pPr>
        <w:pStyle w:val="Subsection"/>
      </w:pPr>
      <w:r>
        <w:tab/>
        <w:t>(2)</w:t>
      </w:r>
      <w:r>
        <w:tab/>
        <w:t>The amount is payable in accordance with section 5.</w:t>
      </w:r>
    </w:p>
    <w:p>
      <w:pPr>
        <w:pStyle w:val="Subsection"/>
      </w:pPr>
      <w:r>
        <w:tab/>
        <w:t>(3)</w:t>
      </w:r>
      <w:r>
        <w:tab/>
        <w:t xml:space="preserve">The Police Commissioner is not liable to pay an amount under subsection (1) in respect of an injury if the injury is attributable to — </w:t>
      </w:r>
    </w:p>
    <w:p>
      <w:pPr>
        <w:pStyle w:val="Indenta"/>
      </w:pPr>
      <w:r>
        <w:tab/>
        <w:t>(a)</w:t>
      </w:r>
      <w:r>
        <w:tab/>
        <w:t xml:space="preserve">the officer’s voluntary consumption of alcohol or a drug of addiction within the meaning given in the </w:t>
      </w:r>
      <w:r>
        <w:rPr>
          <w:i/>
          <w:iCs/>
        </w:rPr>
        <w:t>Poisons Act 1964</w:t>
      </w:r>
      <w:r>
        <w:t xml:space="preserve"> section 5(1), or both, that impaired the proper functioning of the officer’s faculties; or</w:t>
      </w:r>
    </w:p>
    <w:p>
      <w:pPr>
        <w:pStyle w:val="Indenta"/>
      </w:pPr>
      <w:r>
        <w:tab/>
        <w:t>(b)</w:t>
      </w:r>
      <w:r>
        <w:tab/>
        <w:t>the officer’s failure without reasonable excuse (proof of which is on the officer) to use protective equipment, clothing or accessories provided by the Police Commissioner for the officer’s use; or</w:t>
      </w:r>
    </w:p>
    <w:p>
      <w:pPr>
        <w:pStyle w:val="Indenta"/>
      </w:pPr>
      <w:r>
        <w:tab/>
        <w:t>(c)</w:t>
      </w:r>
      <w:r>
        <w:tab/>
        <w:t>other serious and wilful misconduct of the officer,</w:t>
      </w:r>
    </w:p>
    <w:p>
      <w:pPr>
        <w:pStyle w:val="Subsection"/>
      </w:pPr>
      <w:r>
        <w:tab/>
      </w:r>
      <w:r>
        <w:tab/>
        <w:t>unless the injury has serious and permanent effects or results in death.</w:t>
      </w:r>
    </w:p>
    <w:p>
      <w:pPr>
        <w:pStyle w:val="Heading5"/>
      </w:pPr>
      <w:bookmarkStart w:id="16" w:name="_Toc392245001"/>
      <w:bookmarkStart w:id="17" w:name="_Toc424284270"/>
      <w:r>
        <w:rPr>
          <w:rStyle w:val="CharSectno"/>
        </w:rPr>
        <w:t>5</w:t>
      </w:r>
      <w:r>
        <w:t>.</w:t>
      </w:r>
      <w:r>
        <w:tab/>
        <w:t>Calculating amount payable</w:t>
      </w:r>
      <w:bookmarkEnd w:id="16"/>
      <w:bookmarkEnd w:id="17"/>
    </w:p>
    <w:p>
      <w:pPr>
        <w:pStyle w:val="Subsection"/>
      </w:pPr>
      <w:r>
        <w:tab/>
        <w:t>(1)</w:t>
      </w:r>
      <w:r>
        <w:tab/>
        <w:t>The amount payable under section 4(1) is calculated in accordance with the WC&amp;IM Act Schedule 1 clause 17 (other than subclauses (1aa), (1a) and (6)) and clause 19, and that Act (with the appropriate changes) applies accordingly.</w:t>
      </w:r>
    </w:p>
    <w:p>
      <w:pPr>
        <w:pStyle w:val="Subsection"/>
      </w:pPr>
      <w:r>
        <w:tab/>
        <w:t>(2)</w:t>
      </w:r>
      <w:r>
        <w:tab/>
        <w:t>To avoid doubt, the amount payable under section 4(1) in respect of an injury does not include any amount in respect of the injury that became payable by the Police Commissioner before the former officer ceased to be a police officer or APLO.</w:t>
      </w:r>
    </w:p>
    <w:p>
      <w:pPr>
        <w:pStyle w:val="Heading5"/>
      </w:pPr>
      <w:bookmarkStart w:id="18" w:name="_Toc392245002"/>
      <w:bookmarkStart w:id="19" w:name="_Toc424284271"/>
      <w:r>
        <w:rPr>
          <w:rStyle w:val="CharSectno"/>
        </w:rPr>
        <w:t>6</w:t>
      </w:r>
      <w:r>
        <w:t>.</w:t>
      </w:r>
      <w:r>
        <w:tab/>
        <w:t>Person not to be paid twice</w:t>
      </w:r>
      <w:bookmarkEnd w:id="18"/>
      <w:bookmarkEnd w:id="19"/>
    </w:p>
    <w:p>
      <w:pPr>
        <w:pStyle w:val="Subsection"/>
      </w:pPr>
      <w:r>
        <w:tab/>
        <w:t>(1)</w:t>
      </w:r>
      <w:r>
        <w:tab/>
        <w:t xml:space="preserve">An amount is not payable under section 4(1) for medical or other expenses to the extent of — </w:t>
      </w:r>
    </w:p>
    <w:p>
      <w:pPr>
        <w:pStyle w:val="Indenta"/>
      </w:pPr>
      <w:r>
        <w:tab/>
        <w:t>(a)</w:t>
      </w:r>
      <w:r>
        <w:tab/>
        <w:t>any amount received for those medical or other expenses under the laws of a place outside the State; or</w:t>
      </w:r>
    </w:p>
    <w:p>
      <w:pPr>
        <w:pStyle w:val="Indenta"/>
      </w:pPr>
      <w:r>
        <w:tab/>
        <w:t>(b)</w:t>
      </w:r>
      <w:r>
        <w:tab/>
        <w:t>the amount of any judgment for those medical or other expenses obtained independently of this Act; or</w:t>
      </w:r>
    </w:p>
    <w:p>
      <w:pPr>
        <w:pStyle w:val="Indenta"/>
      </w:pPr>
      <w:r>
        <w:tab/>
        <w:t>(c)</w:t>
      </w:r>
      <w:r>
        <w:tab/>
        <w:t>the amount received in compromise of any claim for those medical or other expenses made independently of this Act; or</w:t>
      </w:r>
    </w:p>
    <w:p>
      <w:pPr>
        <w:pStyle w:val="Indenta"/>
      </w:pPr>
      <w:r>
        <w:tab/>
        <w:t>(d)</w:t>
      </w:r>
      <w:r>
        <w:tab/>
        <w:t>any amount received for those medical or other expenses as an act of grace payment.</w:t>
      </w:r>
    </w:p>
    <w:p>
      <w:pPr>
        <w:pStyle w:val="Subsection"/>
      </w:pPr>
      <w:r>
        <w:tab/>
        <w:t>(2)</w:t>
      </w:r>
      <w:r>
        <w:tab/>
        <w:t xml:space="preserve">If a person receives an amount under section 4(1) for medical or other expenses and subsequently — </w:t>
      </w:r>
    </w:p>
    <w:p>
      <w:pPr>
        <w:pStyle w:val="Indenta"/>
      </w:pPr>
      <w:r>
        <w:tab/>
        <w:t>(a)</w:t>
      </w:r>
      <w:r>
        <w:tab/>
        <w:t>receives an amount for those medical or other expenses under the laws of a place outside the State; or</w:t>
      </w:r>
    </w:p>
    <w:p>
      <w:pPr>
        <w:pStyle w:val="Indenta"/>
      </w:pPr>
      <w:r>
        <w:tab/>
        <w:t>(b)</w:t>
      </w:r>
      <w:r>
        <w:tab/>
        <w:t>obtains judgment for an amount for those medical or other expenses independently of this Act; or</w:t>
      </w:r>
    </w:p>
    <w:p>
      <w:pPr>
        <w:pStyle w:val="Indenta"/>
      </w:pPr>
      <w:r>
        <w:tab/>
        <w:t>(c)</w:t>
      </w:r>
      <w:r>
        <w:tab/>
        <w:t>receives an amount in compromise of any claim for those medical or other expenses made independently of this Act; or</w:t>
      </w:r>
    </w:p>
    <w:p>
      <w:pPr>
        <w:pStyle w:val="Indenta"/>
      </w:pPr>
      <w:r>
        <w:tab/>
        <w:t>(d)</w:t>
      </w:r>
      <w:r>
        <w:tab/>
        <w:t>receives an amount for those medical or other expenses as an act of grace payment,</w:t>
      </w:r>
    </w:p>
    <w:p>
      <w:pPr>
        <w:pStyle w:val="Subsection"/>
      </w:pPr>
      <w:r>
        <w:tab/>
      </w:r>
      <w:r>
        <w:tab/>
        <w:t>the amount specified in subsection (3) is recoverable in a court of competent jurisdiction as a debt due from the person to the Police Commissioner.</w:t>
      </w:r>
    </w:p>
    <w:p>
      <w:pPr>
        <w:pStyle w:val="Subsection"/>
      </w:pPr>
      <w:r>
        <w:tab/>
        <w:t>(3)</w:t>
      </w:r>
      <w:r>
        <w:tab/>
        <w:t xml:space="preserve">The amount recoverable under subsection (2) is the lesser of — </w:t>
      </w:r>
    </w:p>
    <w:p>
      <w:pPr>
        <w:pStyle w:val="Indenta"/>
      </w:pPr>
      <w:r>
        <w:tab/>
        <w:t>(a)</w:t>
      </w:r>
      <w:r>
        <w:tab/>
        <w:t>the amount paid under section 4(1); and</w:t>
      </w:r>
    </w:p>
    <w:p>
      <w:pPr>
        <w:pStyle w:val="Indenta"/>
      </w:pPr>
      <w:r>
        <w:tab/>
        <w:t>(b)</w:t>
      </w:r>
      <w:r>
        <w:tab/>
        <w:t>the amount received or for which judgment was obtained.</w:t>
      </w:r>
    </w:p>
    <w:p>
      <w:pPr>
        <w:pStyle w:val="Heading2"/>
      </w:pPr>
      <w:bookmarkStart w:id="20" w:name="_Toc392245003"/>
      <w:bookmarkStart w:id="21" w:name="_Toc424284272"/>
      <w:r>
        <w:rPr>
          <w:rStyle w:val="CharPartNo"/>
        </w:rPr>
        <w:t>Part 3</w:t>
      </w:r>
      <w:r>
        <w:rPr>
          <w:rStyle w:val="CharDivNo"/>
        </w:rPr>
        <w:t> </w:t>
      </w:r>
      <w:r>
        <w:t>—</w:t>
      </w:r>
      <w:r>
        <w:rPr>
          <w:rStyle w:val="CharDivText"/>
        </w:rPr>
        <w:t> </w:t>
      </w:r>
      <w:r>
        <w:rPr>
          <w:rStyle w:val="CharPartText"/>
        </w:rPr>
        <w:t>Dispute resolution</w:t>
      </w:r>
      <w:bookmarkEnd w:id="20"/>
      <w:bookmarkEnd w:id="21"/>
    </w:p>
    <w:p>
      <w:pPr>
        <w:pStyle w:val="Heading5"/>
      </w:pPr>
      <w:bookmarkStart w:id="22" w:name="_Toc392245004"/>
      <w:bookmarkStart w:id="23" w:name="_Toc424284273"/>
      <w:r>
        <w:rPr>
          <w:rStyle w:val="CharSectno"/>
        </w:rPr>
        <w:t>7</w:t>
      </w:r>
      <w:r>
        <w:t>.</w:t>
      </w:r>
      <w:r>
        <w:tab/>
        <w:t>Procedure under WC&amp;IM Act applies</w:t>
      </w:r>
      <w:bookmarkEnd w:id="22"/>
      <w:bookmarkEnd w:id="23"/>
    </w:p>
    <w:p>
      <w:pPr>
        <w:pStyle w:val="Subsection"/>
      </w:pPr>
      <w:r>
        <w:tab/>
      </w:r>
      <w:r>
        <w:tab/>
        <w:t>The WC&amp;IM Act applies (with the appropriate changes) in relation to the determination of a dispute in connection with a claim, or liability to pay an amount under section 4(1), as if the dispute were a dispute within the meaning given in the WC&amp;IM Act section 176(1).</w:t>
      </w:r>
    </w:p>
    <w:p>
      <w:pPr>
        <w:pStyle w:val="Heading5"/>
      </w:pPr>
      <w:bookmarkStart w:id="24" w:name="_Toc392245005"/>
      <w:bookmarkStart w:id="25" w:name="_Toc424284274"/>
      <w:r>
        <w:rPr>
          <w:rStyle w:val="CharSectno"/>
        </w:rPr>
        <w:t>8</w:t>
      </w:r>
      <w:r>
        <w:t>.</w:t>
      </w:r>
      <w:r>
        <w:tab/>
        <w:t>Time limits under WC&amp;IM Act do not apply</w:t>
      </w:r>
      <w:bookmarkEnd w:id="24"/>
      <w:bookmarkEnd w:id="25"/>
    </w:p>
    <w:p>
      <w:pPr>
        <w:pStyle w:val="Subsection"/>
      </w:pPr>
      <w:r>
        <w:tab/>
      </w:r>
      <w:r>
        <w:tab/>
        <w:t xml:space="preserve">Despite section 7, the following provisions of the WC&amp;IM Act do not apply in relation to a claim or the recovery of an amount under section 4(1) — </w:t>
      </w:r>
    </w:p>
    <w:p>
      <w:pPr>
        <w:pStyle w:val="Indenta"/>
      </w:pPr>
      <w:r>
        <w:tab/>
        <w:t>(a)</w:t>
      </w:r>
      <w:r>
        <w:tab/>
        <w:t>sections 178(1)(b), 231(2)(a) and 241(2)(a);</w:t>
      </w:r>
    </w:p>
    <w:p>
      <w:pPr>
        <w:pStyle w:val="Indenta"/>
      </w:pPr>
      <w:r>
        <w:tab/>
        <w:t>(b)</w:t>
      </w:r>
      <w:r>
        <w:tab/>
        <w:t>Schedule 1 clause 18B.</w:t>
      </w:r>
    </w:p>
    <w:p>
      <w:pPr>
        <w:pStyle w:val="Heading5"/>
      </w:pPr>
      <w:bookmarkStart w:id="26" w:name="_Toc392245006"/>
      <w:bookmarkStart w:id="27" w:name="_Toc424284275"/>
      <w:r>
        <w:rPr>
          <w:rStyle w:val="CharSectno"/>
        </w:rPr>
        <w:t>9</w:t>
      </w:r>
      <w:r>
        <w:t>.</w:t>
      </w:r>
      <w:r>
        <w:tab/>
        <w:t>Arbitrator’s decision not final for other proceedings</w:t>
      </w:r>
      <w:bookmarkEnd w:id="26"/>
      <w:bookmarkEnd w:id="27"/>
    </w:p>
    <w:p>
      <w:pPr>
        <w:pStyle w:val="Subsection"/>
      </w:pPr>
      <w:r>
        <w:tab/>
      </w:r>
      <w:r>
        <w:tab/>
        <w:t>Despite the WC&amp;IM Act section 187, for the purposes of an action for damages brought independently of this Act, a decision of an arbitrator in relation to a dispute referred to in section 7 is not final or binding on the parties to the dispute.</w:t>
      </w:r>
    </w:p>
    <w:p>
      <w:pPr>
        <w:pStyle w:val="Heading2"/>
      </w:pPr>
      <w:bookmarkStart w:id="28" w:name="_Toc392245007"/>
      <w:bookmarkStart w:id="29" w:name="_Toc424284276"/>
      <w:r>
        <w:rPr>
          <w:rStyle w:val="CharPartNo"/>
        </w:rPr>
        <w:t>Part 4</w:t>
      </w:r>
      <w:r>
        <w:rPr>
          <w:rStyle w:val="CharDivNo"/>
        </w:rPr>
        <w:t> </w:t>
      </w:r>
      <w:r>
        <w:t>—</w:t>
      </w:r>
      <w:r>
        <w:rPr>
          <w:rStyle w:val="CharDivText"/>
        </w:rPr>
        <w:t> </w:t>
      </w:r>
      <w:r>
        <w:rPr>
          <w:rStyle w:val="CharPartText"/>
        </w:rPr>
        <w:t>Claims management</w:t>
      </w:r>
      <w:bookmarkEnd w:id="28"/>
      <w:bookmarkEnd w:id="29"/>
    </w:p>
    <w:p>
      <w:pPr>
        <w:pStyle w:val="Heading5"/>
      </w:pPr>
      <w:bookmarkStart w:id="30" w:name="_Toc392245008"/>
      <w:bookmarkStart w:id="31" w:name="_Toc424284277"/>
      <w:r>
        <w:rPr>
          <w:rStyle w:val="CharSectno"/>
        </w:rPr>
        <w:t>10</w:t>
      </w:r>
      <w:r>
        <w:t>.</w:t>
      </w:r>
      <w:r>
        <w:tab/>
        <w:t>Terms used in this Part</w:t>
      </w:r>
      <w:bookmarkEnd w:id="30"/>
      <w:bookmarkEnd w:id="31"/>
    </w:p>
    <w:p>
      <w:pPr>
        <w:pStyle w:val="Subsection"/>
      </w:pPr>
      <w:r>
        <w:tab/>
      </w:r>
      <w:r>
        <w:tab/>
        <w:t xml:space="preserve">In this Part — </w:t>
      </w:r>
    </w:p>
    <w:p>
      <w:pPr>
        <w:pStyle w:val="Defstart"/>
      </w:pPr>
      <w:r>
        <w:rPr>
          <w:b/>
        </w:rPr>
        <w:tab/>
      </w:r>
      <w:r>
        <w:rPr>
          <w:rStyle w:val="CharDefText"/>
        </w:rPr>
        <w:t>claims management period</w:t>
      </w:r>
      <w:r>
        <w:t xml:space="preserve"> means the period for which an arrangement entered into under section 11 or 12(1)(b) or (3) will be in force;</w:t>
      </w:r>
    </w:p>
    <w:p>
      <w:pPr>
        <w:pStyle w:val="Defstart"/>
        <w:rPr>
          <w:iCs/>
        </w:rPr>
      </w:pPr>
      <w:r>
        <w:rPr>
          <w:b/>
        </w:rPr>
        <w:tab/>
      </w:r>
      <w:r>
        <w:rPr>
          <w:rStyle w:val="CharDefText"/>
        </w:rPr>
        <w:t>Insurance Commission</w:t>
      </w:r>
      <w:r>
        <w:t xml:space="preserve"> means the Insurance Commission of Western Australia continued under the </w:t>
      </w:r>
      <w:r>
        <w:rPr>
          <w:i/>
        </w:rPr>
        <w:t>Insurance Commission of Western Australia Act 1986</w:t>
      </w:r>
      <w:r>
        <w:rPr>
          <w:iCs/>
        </w:rPr>
        <w:t xml:space="preserve"> section 4(1).</w:t>
      </w:r>
    </w:p>
    <w:p>
      <w:pPr>
        <w:pStyle w:val="Heading5"/>
      </w:pPr>
      <w:bookmarkStart w:id="32" w:name="_Toc392245009"/>
      <w:bookmarkStart w:id="33" w:name="_Toc424284278"/>
      <w:r>
        <w:rPr>
          <w:rStyle w:val="CharSectno"/>
        </w:rPr>
        <w:t>11</w:t>
      </w:r>
      <w:r>
        <w:t>.</w:t>
      </w:r>
      <w:r>
        <w:tab/>
        <w:t>Insurance Commission to manage claims for first 3 years</w:t>
      </w:r>
      <w:bookmarkEnd w:id="32"/>
      <w:bookmarkEnd w:id="33"/>
    </w:p>
    <w:p>
      <w:pPr>
        <w:pStyle w:val="Subsection"/>
      </w:pPr>
      <w:r>
        <w:tab/>
      </w:r>
      <w:r>
        <w:tab/>
        <w:t>The Insurance Commission will manage claims on the Police Commissioner’s behalf for the period of 3 years beginning on the day on which section 4(1) commences in accordance with the terms to be agreed before that day between the Police Commissioner and the Insurance Commission.</w:t>
      </w:r>
    </w:p>
    <w:p>
      <w:pPr>
        <w:pStyle w:val="Heading5"/>
      </w:pPr>
      <w:bookmarkStart w:id="34" w:name="_Toc392245010"/>
      <w:bookmarkStart w:id="35" w:name="_Toc424284279"/>
      <w:r>
        <w:rPr>
          <w:rStyle w:val="CharSectno"/>
        </w:rPr>
        <w:t>12</w:t>
      </w:r>
      <w:r>
        <w:t>.</w:t>
      </w:r>
      <w:r>
        <w:tab/>
        <w:t>Management of claims after first 3 years</w:t>
      </w:r>
      <w:bookmarkEnd w:id="34"/>
      <w:bookmarkEnd w:id="35"/>
    </w:p>
    <w:p>
      <w:pPr>
        <w:pStyle w:val="Subsection"/>
      </w:pPr>
      <w:r>
        <w:tab/>
        <w:t>(1)</w:t>
      </w:r>
      <w:r>
        <w:tab/>
        <w:t xml:space="preserve">Before the end of a claims management period, the Police Commissioner must — </w:t>
      </w:r>
    </w:p>
    <w:p>
      <w:pPr>
        <w:pStyle w:val="Indenta"/>
      </w:pPr>
      <w:r>
        <w:tab/>
        <w:t>(a)</w:t>
      </w:r>
      <w:r>
        <w:tab/>
        <w:t>review the arrangement for the management of claims on the Police Commissioner’s behalf; and</w:t>
      </w:r>
    </w:p>
    <w:p>
      <w:pPr>
        <w:pStyle w:val="Indenta"/>
      </w:pPr>
      <w:r>
        <w:tab/>
        <w:t>(b)</w:t>
      </w:r>
      <w:r>
        <w:tab/>
        <w:t>enter into a new arrangement for that management with the Insurance Commission or another person for the period (not less than 12 months) from the end of the claims management period that is specified in the new arrangement.</w:t>
      </w:r>
    </w:p>
    <w:p>
      <w:pPr>
        <w:pStyle w:val="Subsection"/>
      </w:pPr>
      <w:r>
        <w:tab/>
        <w:t>(2)</w:t>
      </w:r>
      <w:r>
        <w:tab/>
        <w:t>Subsection (1) does not prevent an arrangement for the management of claims being terminated before the end of a claims management period in accordance with the terms of the arrangement.</w:t>
      </w:r>
    </w:p>
    <w:p>
      <w:pPr>
        <w:pStyle w:val="Subsection"/>
      </w:pPr>
      <w:r>
        <w:tab/>
        <w:t>(3)</w:t>
      </w:r>
      <w:r>
        <w:tab/>
        <w:t>If an arrangement is terminated as described in subsection (2), the Police Commissioner must enter into a new arrangement for the management of claims on the Police Commissioner’s behalf with the Insurance Commission or another person for the period (not less than 12 months) that is specified in the new arrangement.</w:t>
      </w:r>
    </w:p>
    <w:p>
      <w:pPr>
        <w:pStyle w:val="Heading5"/>
      </w:pPr>
      <w:bookmarkStart w:id="36" w:name="_Toc392245011"/>
      <w:bookmarkStart w:id="37" w:name="_Toc424284280"/>
      <w:r>
        <w:rPr>
          <w:rStyle w:val="CharSectno"/>
        </w:rPr>
        <w:t>13</w:t>
      </w:r>
      <w:r>
        <w:t>.</w:t>
      </w:r>
      <w:r>
        <w:tab/>
        <w:t>Police Commissioner is public authority</w:t>
      </w:r>
      <w:bookmarkEnd w:id="36"/>
      <w:bookmarkEnd w:id="37"/>
    </w:p>
    <w:p>
      <w:pPr>
        <w:pStyle w:val="Subsection"/>
        <w:rPr>
          <w:iCs/>
        </w:rPr>
      </w:pPr>
      <w:r>
        <w:tab/>
      </w:r>
      <w:r>
        <w:tab/>
        <w:t xml:space="preserve">For the purpose of an arrangement with the Insurance Commission entered into under section 11 or 12(1)(b) or (3), the Police Commissioner is a public authority within the meaning given in the </w:t>
      </w:r>
      <w:r>
        <w:rPr>
          <w:i/>
        </w:rPr>
        <w:t>Insurance Commission of Western Australia Act 1986</w:t>
      </w:r>
      <w:r>
        <w:rPr>
          <w:iCs/>
        </w:rPr>
        <w:t xml:space="preserve"> section 3.</w:t>
      </w:r>
    </w:p>
    <w:p>
      <w:pPr>
        <w:pStyle w:val="Heading2"/>
      </w:pPr>
      <w:bookmarkStart w:id="38" w:name="_Toc392245012"/>
      <w:bookmarkStart w:id="39" w:name="_Toc424284281"/>
      <w:r>
        <w:rPr>
          <w:rStyle w:val="CharPartNo"/>
        </w:rPr>
        <w:t>Part 5</w:t>
      </w:r>
      <w:r>
        <w:rPr>
          <w:rStyle w:val="CharDivNo"/>
        </w:rPr>
        <w:t> </w:t>
      </w:r>
      <w:r>
        <w:t>—</w:t>
      </w:r>
      <w:r>
        <w:rPr>
          <w:rStyle w:val="CharDivText"/>
        </w:rPr>
        <w:t> </w:t>
      </w:r>
      <w:r>
        <w:rPr>
          <w:rStyle w:val="CharPartText"/>
        </w:rPr>
        <w:t>Miscellaneous matters</w:t>
      </w:r>
      <w:bookmarkEnd w:id="38"/>
      <w:bookmarkEnd w:id="39"/>
    </w:p>
    <w:p>
      <w:pPr>
        <w:pStyle w:val="Heading5"/>
      </w:pPr>
      <w:bookmarkStart w:id="40" w:name="_Toc392245013"/>
      <w:bookmarkStart w:id="41" w:name="_Toc424284282"/>
      <w:r>
        <w:rPr>
          <w:rStyle w:val="CharSectno"/>
        </w:rPr>
        <w:t>14</w:t>
      </w:r>
      <w:r>
        <w:t>.</w:t>
      </w:r>
      <w:r>
        <w:tab/>
        <w:t>Appropriate changes to WC&amp;IM Act</w:t>
      </w:r>
      <w:bookmarkEnd w:id="40"/>
      <w:bookmarkEnd w:id="41"/>
    </w:p>
    <w:p>
      <w:pPr>
        <w:pStyle w:val="Subsection"/>
      </w:pPr>
      <w:r>
        <w:tab/>
      </w:r>
      <w:r>
        <w:tab/>
        <w:t xml:space="preserve">Appropriate changes to the WC&amp;IM Act are — </w:t>
      </w:r>
    </w:p>
    <w:p>
      <w:pPr>
        <w:pStyle w:val="Indenta"/>
      </w:pPr>
      <w:r>
        <w:tab/>
        <w:t>(a)</w:t>
      </w:r>
      <w:r>
        <w:tab/>
        <w:t>any changes to that Act that are prescribed by the regulations; and</w:t>
      </w:r>
    </w:p>
    <w:p>
      <w:pPr>
        <w:pStyle w:val="Indenta"/>
      </w:pPr>
      <w:r>
        <w:tab/>
        <w:t>(b)</w:t>
      </w:r>
      <w:r>
        <w:tab/>
        <w:t>any other changes to that Act that are necessary or convenient to give effect to this Act.</w:t>
      </w:r>
    </w:p>
    <w:p>
      <w:pPr>
        <w:pStyle w:val="Heading5"/>
      </w:pPr>
      <w:bookmarkStart w:id="42" w:name="_Toc392245014"/>
      <w:bookmarkStart w:id="43" w:name="_Toc424284283"/>
      <w:r>
        <w:rPr>
          <w:rStyle w:val="CharSectno"/>
        </w:rPr>
        <w:t>15</w:t>
      </w:r>
      <w:r>
        <w:t>.</w:t>
      </w:r>
      <w:r>
        <w:tab/>
        <w:t>Regulations</w:t>
      </w:r>
      <w:bookmarkEnd w:id="42"/>
      <w:bookmarkEnd w:id="43"/>
    </w:p>
    <w:p>
      <w:pPr>
        <w:pStyle w:val="Subsection"/>
      </w:pPr>
      <w:r>
        <w:tab/>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sectPr>
          <w:headerReference w:type="even" r:id="rId21"/>
          <w:headerReference w:type="default" r:id="rId22"/>
          <w:headerReference w:type="first" r:id="rId23"/>
          <w:endnotePr>
            <w:numFmt w:val="decimal"/>
          </w:endnotePr>
          <w:pgSz w:w="11907" w:h="16840" w:code="9"/>
          <w:pgMar w:top="2376" w:right="2404" w:bottom="3544" w:left="2404" w:header="709" w:footer="3379" w:gutter="0"/>
          <w:pgNumType w:start="1"/>
          <w:cols w:space="720"/>
          <w:noEndnote/>
          <w:titlePg/>
          <w:docGrid w:linePitch="326"/>
        </w:sectPr>
      </w:pPr>
    </w:p>
    <w:p>
      <w:pPr>
        <w:pStyle w:val="nHeading2"/>
      </w:pPr>
      <w:bookmarkStart w:id="44" w:name="_Toc392245015"/>
      <w:bookmarkStart w:id="45" w:name="_Toc424284284"/>
      <w:r>
        <w:t>Notes</w:t>
      </w:r>
      <w:bookmarkEnd w:id="44"/>
      <w:bookmarkEnd w:id="45"/>
    </w:p>
    <w:p>
      <w:pPr>
        <w:pStyle w:val="nSubsection"/>
        <w:rPr>
          <w:snapToGrid w:val="0"/>
        </w:rPr>
      </w:pPr>
      <w:r>
        <w:rPr>
          <w:snapToGrid w:val="0"/>
          <w:vertAlign w:val="superscript"/>
        </w:rPr>
        <w:t>1</w:t>
      </w:r>
      <w:r>
        <w:rPr>
          <w:snapToGrid w:val="0"/>
        </w:rPr>
        <w:tab/>
        <w:t xml:space="preserve">This is a compilation of the </w:t>
      </w:r>
      <w:r>
        <w:rPr>
          <w:i/>
          <w:snapToGrid w:val="0"/>
        </w:rPr>
        <w:t>Police (Medical and Other Expenses for Former Officers) Act 2008 </w:t>
      </w:r>
      <w:r>
        <w:rPr>
          <w:snapToGrid w:val="0"/>
          <w:vertAlign w:val="superscript"/>
        </w:rPr>
        <w:t>1a</w:t>
      </w:r>
      <w:r>
        <w:rPr>
          <w:snapToGrid w:val="0"/>
        </w:rPr>
        <w:t>.  The following table contains information about that Act.</w:t>
      </w:r>
    </w:p>
    <w:p>
      <w:pPr>
        <w:pStyle w:val="nHeading3"/>
        <w:rPr>
          <w:snapToGrid w:val="0"/>
        </w:rPr>
      </w:pPr>
      <w:bookmarkStart w:id="46" w:name="_Toc392245016"/>
      <w:bookmarkStart w:id="47" w:name="_Toc424284285"/>
      <w:r>
        <w:rPr>
          <w:snapToGrid w:val="0"/>
        </w:rPr>
        <w:t>Compilation table</w:t>
      </w:r>
      <w:bookmarkEnd w:id="46"/>
      <w:bookmarkEnd w:id="4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single" w:sz="8" w:space="0" w:color="auto"/>
            </w:tcBorders>
          </w:tcPr>
          <w:p>
            <w:pPr>
              <w:pStyle w:val="nTable"/>
              <w:spacing w:after="40"/>
              <w:rPr>
                <w:vertAlign w:val="superscript"/>
              </w:rPr>
            </w:pPr>
            <w:r>
              <w:rPr>
                <w:i/>
                <w:iCs/>
                <w:snapToGrid w:val="0"/>
              </w:rPr>
              <w:t>Police (Medical and Other Expenses for Former Officers) Act 2008 </w:t>
            </w:r>
          </w:p>
        </w:tc>
        <w:tc>
          <w:tcPr>
            <w:tcW w:w="1134" w:type="dxa"/>
            <w:tcBorders>
              <w:top w:val="single" w:sz="8" w:space="0" w:color="auto"/>
              <w:bottom w:val="single" w:sz="8" w:space="0" w:color="auto"/>
            </w:tcBorders>
          </w:tcPr>
          <w:p>
            <w:pPr>
              <w:pStyle w:val="nTable"/>
              <w:spacing w:after="40"/>
            </w:pPr>
            <w:r>
              <w:t>46 of 2008</w:t>
            </w:r>
          </w:p>
        </w:tc>
        <w:tc>
          <w:tcPr>
            <w:tcW w:w="1134" w:type="dxa"/>
            <w:tcBorders>
              <w:top w:val="single" w:sz="8" w:space="0" w:color="auto"/>
              <w:bottom w:val="single" w:sz="8" w:space="0" w:color="auto"/>
            </w:tcBorders>
          </w:tcPr>
          <w:p>
            <w:pPr>
              <w:pStyle w:val="nTable"/>
              <w:spacing w:after="40"/>
            </w:pPr>
            <w:r>
              <w:t>10 Dec 2008</w:t>
            </w:r>
          </w:p>
        </w:tc>
        <w:tc>
          <w:tcPr>
            <w:tcW w:w="2551" w:type="dxa"/>
            <w:tcBorders>
              <w:top w:val="single" w:sz="8" w:space="0" w:color="auto"/>
              <w:bottom w:val="single" w:sz="8" w:space="0" w:color="auto"/>
            </w:tcBorders>
          </w:tcPr>
          <w:p>
            <w:pPr>
              <w:pStyle w:val="nTable"/>
              <w:spacing w:after="40"/>
            </w:pPr>
            <w:r>
              <w:t>s. 1 and 2: 10 Dec 2008 (see s. 2(a));</w:t>
            </w:r>
            <w:r>
              <w:br/>
              <w:t xml:space="preserve">Act other than s. 1 and 2: 1 Jul 2009 (see s. 2(b) and </w:t>
            </w:r>
            <w:r>
              <w:rPr>
                <w:i/>
                <w:iCs/>
              </w:rPr>
              <w:t>Gazette</w:t>
            </w:r>
            <w:r>
              <w:t xml:space="preserve"> 23 Jun 2009 p. 2424)</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8" w:name="_Toc392245017"/>
      <w:bookmarkStart w:id="49" w:name="_Toc424284286"/>
      <w:r>
        <w:t>Provisions that have not come into operation</w:t>
      </w:r>
      <w:bookmarkEnd w:id="48"/>
      <w:bookmarkEnd w:id="4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Pr>
          <w:p>
            <w:pPr>
              <w:pStyle w:val="nSubsection"/>
              <w:tabs>
                <w:tab w:val="clear" w:pos="454"/>
              </w:tabs>
              <w:spacing w:before="40" w:after="40"/>
              <w:ind w:left="0" w:firstLine="0"/>
              <w:rPr>
                <w:vertAlign w:val="superscript"/>
              </w:rPr>
            </w:pPr>
            <w:r>
              <w:rPr>
                <w:i/>
                <w:noProof/>
                <w:snapToGrid w:val="0"/>
              </w:rPr>
              <w:t>Medicines and Poisons Act 2014</w:t>
            </w:r>
            <w:r>
              <w:rPr>
                <w:noProof/>
                <w:snapToGrid w:val="0"/>
              </w:rPr>
              <w:t xml:space="preserve"> s. 187 </w:t>
            </w:r>
            <w:r>
              <w:rPr>
                <w:noProof/>
                <w:snapToGrid w:val="0"/>
                <w:vertAlign w:val="superscript"/>
              </w:rPr>
              <w:t>2</w:t>
            </w:r>
          </w:p>
        </w:tc>
        <w:tc>
          <w:tcPr>
            <w:tcW w:w="1118" w:type="dxa"/>
          </w:tcPr>
          <w:p>
            <w:pPr>
              <w:pStyle w:val="nTable"/>
              <w:spacing w:after="40"/>
            </w:pPr>
            <w:r>
              <w:t>13 of 2014</w:t>
            </w:r>
          </w:p>
        </w:tc>
        <w:tc>
          <w:tcPr>
            <w:tcW w:w="1134" w:type="dxa"/>
          </w:tcPr>
          <w:p>
            <w:pPr>
              <w:pStyle w:val="nTable"/>
              <w:spacing w:after="40"/>
            </w:pPr>
            <w:r>
              <w:t>2 Jul 2014</w:t>
            </w:r>
          </w:p>
        </w:tc>
        <w:tc>
          <w:tcPr>
            <w:tcW w:w="2552" w:type="dxa"/>
          </w:tcPr>
          <w:p>
            <w:pPr>
              <w:pStyle w:val="nTable"/>
              <w:spacing w:after="40"/>
              <w:rPr>
                <w:snapToGrid w:val="0"/>
              </w:rPr>
            </w:pPr>
            <w:r>
              <w:rPr>
                <w:snapToGrid w:val="0"/>
              </w:rPr>
              <w:t>To be proclaimed (see s. 2(b))</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187</w:t>
      </w:r>
      <w:r>
        <w:rPr>
          <w:snapToGrid w:val="0"/>
        </w:rPr>
        <w:t xml:space="preserve"> had not come into operation.  It reads as follows:</w:t>
      </w:r>
    </w:p>
    <w:p>
      <w:pPr>
        <w:pStyle w:val="BlankOpen"/>
      </w:pPr>
    </w:p>
    <w:p>
      <w:pPr>
        <w:pStyle w:val="nzHeading5"/>
      </w:pPr>
      <w:r>
        <w:rPr>
          <w:rStyle w:val="CharSectno"/>
        </w:rPr>
        <w:t>187</w:t>
      </w:r>
      <w:r>
        <w:t>.</w:t>
      </w:r>
      <w:r>
        <w:tab/>
      </w:r>
      <w:r>
        <w:rPr>
          <w:i/>
        </w:rPr>
        <w:t>Police (Medical and Other Expenses for Former Officers) Act 2008</w:t>
      </w:r>
      <w:r>
        <w:t xml:space="preserve"> amended</w:t>
      </w:r>
    </w:p>
    <w:p>
      <w:pPr>
        <w:pStyle w:val="nzSubsection"/>
      </w:pPr>
      <w:r>
        <w:tab/>
        <w:t>(1)</w:t>
      </w:r>
      <w:r>
        <w:tab/>
        <w:t xml:space="preserve">This section amends the </w:t>
      </w:r>
      <w:r>
        <w:rPr>
          <w:i/>
        </w:rPr>
        <w:t>Police (Medical and Other Expenses for Former Officers) Act 2008</w:t>
      </w:r>
      <w:r>
        <w:t>.</w:t>
      </w:r>
    </w:p>
    <w:p>
      <w:pPr>
        <w:pStyle w:val="nzSubsection"/>
      </w:pPr>
      <w:r>
        <w:tab/>
        <w:t>(2)</w:t>
      </w:r>
      <w:r>
        <w:tab/>
        <w:t>In section 4(3)(a) delete “</w:t>
      </w:r>
      <w:r>
        <w:rPr>
          <w:i/>
        </w:rPr>
        <w:t>Poisons Act 1964</w:t>
      </w:r>
      <w:r>
        <w:t xml:space="preserve"> section 5(1),” and insert:</w:t>
      </w:r>
    </w:p>
    <w:p>
      <w:pPr>
        <w:pStyle w:val="BlankOpen"/>
        <w:rPr>
          <w:snapToGrid w:val="0"/>
        </w:rPr>
      </w:pPr>
    </w:p>
    <w:p>
      <w:pPr>
        <w:pStyle w:val="nzSubsection"/>
        <w:rPr>
          <w:snapToGrid w:val="0"/>
        </w:rPr>
      </w:pPr>
      <w:r>
        <w:rPr>
          <w:snapToGrid w:val="0"/>
        </w:rPr>
        <w:tab/>
      </w:r>
      <w:r>
        <w:rPr>
          <w:snapToGrid w:val="0"/>
        </w:rPr>
        <w:tab/>
      </w:r>
      <w:r>
        <w:rPr>
          <w:i/>
          <w:snapToGrid w:val="0"/>
        </w:rPr>
        <w:t>Medicines and Poisons Act 2014</w:t>
      </w:r>
      <w:r>
        <w:rPr>
          <w:snapToGrid w:val="0"/>
        </w:rPr>
        <w:t xml:space="preserve"> section 77(1),</w:t>
      </w:r>
    </w:p>
    <w:p>
      <w:pPr>
        <w:pStyle w:val="BlankClose"/>
      </w:pPr>
    </w:p>
    <w:p>
      <w:pPr>
        <w:pStyle w:val="BlankOpen"/>
      </w:pPr>
    </w:p>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APLO</w:t>
      </w:r>
      <w:r>
        <w:tab/>
        <w:t>3(1)</w:t>
      </w:r>
    </w:p>
    <w:p>
      <w:pPr>
        <w:pStyle w:val="DefinedTerms"/>
      </w:pPr>
      <w:r>
        <w:t>appropriate changes</w:t>
      </w:r>
      <w:r>
        <w:tab/>
        <w:t>3(1)</w:t>
      </w:r>
    </w:p>
    <w:p>
      <w:pPr>
        <w:pStyle w:val="DefinedTerms"/>
      </w:pPr>
      <w:r>
        <w:t>claim</w:t>
      </w:r>
      <w:r>
        <w:tab/>
        <w:t>3(1)</w:t>
      </w:r>
    </w:p>
    <w:p>
      <w:pPr>
        <w:pStyle w:val="DefinedTerms"/>
      </w:pPr>
      <w:r>
        <w:t>claims management period</w:t>
      </w:r>
      <w:r>
        <w:tab/>
        <w:t>10</w:t>
      </w:r>
    </w:p>
    <w:p>
      <w:pPr>
        <w:pStyle w:val="DefinedTerms"/>
      </w:pPr>
      <w:r>
        <w:t>former officer</w:t>
      </w:r>
      <w:r>
        <w:tab/>
        <w:t>3(1)</w:t>
      </w:r>
    </w:p>
    <w:p>
      <w:pPr>
        <w:pStyle w:val="DefinedTerms"/>
      </w:pPr>
      <w:r>
        <w:t>injury</w:t>
      </w:r>
      <w:r>
        <w:tab/>
        <w:t>3(1)</w:t>
      </w:r>
    </w:p>
    <w:p>
      <w:pPr>
        <w:pStyle w:val="DefinedTerms"/>
      </w:pPr>
      <w:r>
        <w:t>Insurance Commission</w:t>
      </w:r>
      <w:r>
        <w:tab/>
        <w:t>10</w:t>
      </w:r>
    </w:p>
    <w:p>
      <w:pPr>
        <w:pStyle w:val="DefinedTerms"/>
      </w:pPr>
      <w:r>
        <w:t>Police Commissioner</w:t>
      </w:r>
      <w:r>
        <w:tab/>
        <w:t>3(1)</w:t>
      </w:r>
    </w:p>
    <w:p>
      <w:pPr>
        <w:pStyle w:val="DefinedTerms"/>
      </w:pPr>
      <w:r>
        <w:t>WC&amp;IM Act</w:t>
      </w:r>
      <w:r>
        <w:tab/>
        <w:t>3(1)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Police (Medical and Other Expenses for Former Officers)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(Medical and Other Expenses for Former Officers)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0" w:name="Compilation"/>
    <w:bookmarkEnd w:id="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(Medical and Other Expenses for Former Officers)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Police (Medical and Other Expenses for Former Officers)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 w:name="DefinedTerms"/>
    <w:bookmarkEnd w:id="5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 w:name="Coversheet"/>
    <w:bookmarkEnd w:id="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(Medical and Other Expenses for Former Officers)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(Medical and Other Expenses for Former Officers)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(Medical and Other Expenses for Former Officers)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(Medical and Other Expenses for Former Officers)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2E958AD"/>
    <w:multiLevelType w:val="hybridMultilevel"/>
    <w:tmpl w:val="48FC7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722"/>
    <w:docVar w:name="WAFER_20140123144423" w:val="RemoveTocBookmarks,RemoveUnusedBookmarks,RemoveLanguageTags,UsedStyles,ResetPageSize,UpdateArrangement"/>
    <w:docVar w:name="WAFER_20140123144423_GUID" w:val="1169b43a-8355-42b9-b31c-9586a0e3948c"/>
    <w:docVar w:name="WAFER_20140123152650" w:val="RemoveTocBookmarks,RunningHeaders"/>
    <w:docVar w:name="WAFER_20140123152650_GUID" w:val="1cd98693-5362-45e3-8218-75284431fd6f"/>
    <w:docVar w:name="WAFER_20140704133922" w:val="RemoveTocBookmarks,RunningHeaders"/>
    <w:docVar w:name="WAFER_20140704133922_GUID" w:val="558c65fa-7558-4752-b9a2-8a9347864969"/>
    <w:docVar w:name="WAFER_20150710092423" w:val="ResetPageSize,UpdateArrangement,UpdateNTable"/>
    <w:docVar w:name="WAFER_20150710092423_GUID" w:val="5cbd914e-4f54-4b09-813c-13f64794fb11"/>
    <w:docVar w:name="WAFER_20151109112722" w:val="UpdateStyles,UsedStyles"/>
    <w:docVar w:name="WAFER_20151109112722_GUID" w:val="b7ea3d87-4ea9-4083-8aa7-3e2291d566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2041</Words>
  <Characters>9882</Characters>
  <Application>Microsoft Office Word</Application>
  <DocSecurity>0</DocSecurity>
  <Lines>318</Lines>
  <Paragraphs>202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11721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(Medical and Other Expenses for Former Officers) Act 2008 - 00-c0-02</dc:title>
  <dc:subject/>
  <dc:creator/>
  <cp:keywords/>
  <dc:description/>
  <cp:lastModifiedBy>svcMRProcess</cp:lastModifiedBy>
  <cp:revision>4</cp:revision>
  <cp:lastPrinted>2008-12-16T02:32:00Z</cp:lastPrinted>
  <dcterms:created xsi:type="dcterms:W3CDTF">2015-11-10T07:00:00Z</dcterms:created>
  <dcterms:modified xsi:type="dcterms:W3CDTF">2015-11-10T07:00:00Z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2008</vt:lpwstr>
  </property>
  <property fmtid="{D5CDD505-2E9C-101B-9397-08002B2CF9AE}" pid="3" name="CommencementDate">
    <vt:lpwstr>20140702</vt:lpwstr>
  </property>
  <property fmtid="{D5CDD505-2E9C-101B-9397-08002B2CF9AE}" pid="4" name="OwlsUID">
    <vt:i4>146695</vt:i4>
  </property>
  <property fmtid="{D5CDD505-2E9C-101B-9397-08002B2CF9AE}" pid="5" name="DocumentType">
    <vt:lpwstr>Act</vt:lpwstr>
  </property>
  <property fmtid="{D5CDD505-2E9C-101B-9397-08002B2CF9AE}" pid="6" name="AsAtDate">
    <vt:lpwstr>02 Jul 2014</vt:lpwstr>
  </property>
  <property fmtid="{D5CDD505-2E9C-101B-9397-08002B2CF9AE}" pid="7" name="Suffix">
    <vt:lpwstr>00-c0-02</vt:lpwstr>
  </property>
</Properties>
</file>