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Bush Fires Act 1954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October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_Toc392495336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Commencement</w:t>
      </w:r>
      <w:r>
        <w:tab/>
      </w:r>
      <w:r>
        <w:fldChar w:fldCharType="begin"/>
      </w:r>
      <w:r>
        <w:instrText xml:space="preserve"> PAGEREF _Toc392495337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Saving provisions</w:t>
      </w:r>
      <w:r>
        <w:tab/>
      </w:r>
      <w:r>
        <w:fldChar w:fldCharType="begin"/>
      </w:r>
      <w:r>
        <w:instrText xml:space="preserve"> PAGEREF _Toc392495338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_Toc392495339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_Toc392495341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FES Commissioner</w:t>
      </w:r>
      <w:r>
        <w:tab/>
      </w:r>
      <w:r>
        <w:fldChar w:fldCharType="begin"/>
      </w:r>
      <w:r>
        <w:instrText xml:space="preserve"> PAGEREF _Toc392495342 \h </w:instrText>
      </w:r>
      <w:r>
        <w:fldChar w:fldCharType="separate"/>
      </w:r>
      <w:r>
        <w:t>6</w:t>
      </w:r>
      <w:r>
        <w:fldChar w:fldCharType="end"/>
      </w:r>
    </w:p>
    <w:p>
      <w:pPr>
        <w:pStyle w:val="TOC8"/>
        <w:rPr>
          <w:rFonts w:asciiTheme="minorHAnsi" w:eastAsiaTheme="minorEastAsia" w:hAnsiTheme="minorHAnsi" w:cstheme="minorBidi"/>
          <w:szCs w:val="22"/>
        </w:rPr>
      </w:pPr>
      <w:r>
        <w:t>12.</w:t>
      </w:r>
      <w:r>
        <w:tab/>
        <w:t>Bush fire liaison officers</w:t>
      </w:r>
      <w:r>
        <w:tab/>
      </w:r>
      <w:r>
        <w:fldChar w:fldCharType="begin"/>
      </w:r>
      <w:r>
        <w:instrText xml:space="preserve"> PAGEREF _Toc392495343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Duties and powers of bush fire liaison officers</w:t>
      </w:r>
      <w:r>
        <w:tab/>
      </w:r>
      <w:r>
        <w:fldChar w:fldCharType="begin"/>
      </w:r>
      <w:r>
        <w:instrText xml:space="preserve"> PAGEREF _Toc392495344 \h </w:instrText>
      </w:r>
      <w:r>
        <w:fldChar w:fldCharType="separate"/>
      </w:r>
      <w:r>
        <w:t>8</w:t>
      </w:r>
      <w:r>
        <w:fldChar w:fldCharType="end"/>
      </w:r>
    </w:p>
    <w:p>
      <w:pPr>
        <w:pStyle w:val="TOC8"/>
        <w:rPr>
          <w:rFonts w:asciiTheme="minorHAnsi" w:eastAsiaTheme="minorEastAsia" w:hAnsiTheme="minorHAnsi" w:cstheme="minorBidi"/>
          <w:szCs w:val="22"/>
        </w:rPr>
      </w:pPr>
      <w:r>
        <w:t>14A.</w:t>
      </w:r>
      <w:r>
        <w:tab/>
        <w:t xml:space="preserve">Powers and duties under section 13 not affected by certain powers under </w:t>
      </w:r>
      <w:r>
        <w:rPr>
          <w:i/>
          <w:iCs/>
        </w:rPr>
        <w:t>Emergency Management Act 2005</w:t>
      </w:r>
      <w:r>
        <w:tab/>
      </w:r>
      <w:r>
        <w:fldChar w:fldCharType="begin"/>
      </w:r>
      <w:r>
        <w:instrText xml:space="preserve"> PAGEREF _Toc392495345 \h </w:instrText>
      </w:r>
      <w:r>
        <w:fldChar w:fldCharType="separate"/>
      </w:r>
      <w:r>
        <w:t>9</w:t>
      </w:r>
      <w:r>
        <w:fldChar w:fldCharType="end"/>
      </w:r>
    </w:p>
    <w:p>
      <w:pPr>
        <w:pStyle w:val="TOC8"/>
        <w:rPr>
          <w:rFonts w:asciiTheme="minorHAnsi" w:eastAsiaTheme="minorEastAsia" w:hAnsiTheme="minorHAnsi" w:cstheme="minorBidi"/>
          <w:szCs w:val="22"/>
        </w:rPr>
      </w:pPr>
      <w:r>
        <w:t>14B.</w:t>
      </w:r>
      <w:r>
        <w:tab/>
        <w:t>Powers of authorised persons and police officers during authorised periods</w:t>
      </w:r>
      <w:r>
        <w:tab/>
      </w:r>
      <w:r>
        <w:fldChar w:fldCharType="begin"/>
      </w:r>
      <w:r>
        <w:instrText xml:space="preserve"> PAGEREF _Toc392495346 \h </w:instrText>
      </w:r>
      <w:r>
        <w:fldChar w:fldCharType="separate"/>
      </w:r>
      <w:r>
        <w:t>10</w:t>
      </w:r>
      <w:r>
        <w:fldChar w:fldCharType="end"/>
      </w:r>
    </w:p>
    <w:p>
      <w:pPr>
        <w:pStyle w:val="TOC8"/>
        <w:rPr>
          <w:rFonts w:asciiTheme="minorHAnsi" w:eastAsiaTheme="minorEastAsia" w:hAnsiTheme="minorHAnsi" w:cstheme="minorBidi"/>
          <w:szCs w:val="22"/>
        </w:rPr>
      </w:pPr>
      <w:r>
        <w:t>14C.</w:t>
      </w:r>
      <w:r>
        <w:tab/>
        <w:t>Failure to comply with directions</w:t>
      </w:r>
      <w:r>
        <w:tab/>
      </w:r>
      <w:r>
        <w:fldChar w:fldCharType="begin"/>
      </w:r>
      <w:r>
        <w:instrText xml:space="preserve"> PAGEREF _Toc392495347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persons may enter land or building for purposes of Act</w:t>
      </w:r>
      <w:r>
        <w:tab/>
      </w:r>
      <w:r>
        <w:fldChar w:fldCharType="begin"/>
      </w:r>
      <w:r>
        <w:instrText xml:space="preserve"> PAGEREF _Toc392495348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III — Prevention of bush fires</w:t>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Prohibited burning times</w:t>
      </w:r>
    </w:p>
    <w:p>
      <w:pPr>
        <w:pStyle w:val="TOC8"/>
        <w:rPr>
          <w:rFonts w:asciiTheme="minorHAnsi" w:eastAsiaTheme="minorEastAsia" w:hAnsiTheme="minorHAnsi" w:cstheme="minorBidi"/>
          <w:szCs w:val="22"/>
        </w:rPr>
      </w:pPr>
      <w:r>
        <w:t>17</w:t>
      </w:r>
      <w:r>
        <w:rPr>
          <w:snapToGrid w:val="0"/>
        </w:rPr>
        <w:t>.</w:t>
      </w:r>
      <w:r>
        <w:rPr>
          <w:snapToGrid w:val="0"/>
        </w:rPr>
        <w:tab/>
        <w:t>Prohibited burning times may be declared by Minister</w:t>
      </w:r>
      <w:r>
        <w:tab/>
      </w:r>
      <w:r>
        <w:fldChar w:fldCharType="begin"/>
      </w:r>
      <w:r>
        <w:instrText xml:space="preserve"> PAGEREF _Toc392495351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Restricted burning times</w:t>
      </w:r>
    </w:p>
    <w:p>
      <w:pPr>
        <w:pStyle w:val="TOC8"/>
        <w:rPr>
          <w:rFonts w:asciiTheme="minorHAnsi" w:eastAsiaTheme="minorEastAsia" w:hAnsiTheme="minorHAnsi" w:cstheme="minorBidi"/>
          <w:szCs w:val="22"/>
        </w:rPr>
      </w:pPr>
      <w:r>
        <w:t>18</w:t>
      </w:r>
      <w:r>
        <w:rPr>
          <w:snapToGrid w:val="0"/>
        </w:rPr>
        <w:t>.</w:t>
      </w:r>
      <w:r>
        <w:rPr>
          <w:snapToGrid w:val="0"/>
        </w:rPr>
        <w:tab/>
        <w:t>Restricted burning times may be declared by FES Commissioner</w:t>
      </w:r>
      <w:r>
        <w:tab/>
      </w:r>
      <w:r>
        <w:fldChar w:fldCharType="begin"/>
      </w:r>
      <w:r>
        <w:instrText xml:space="preserve"> PAGEREF _Toc392495353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Regulations as to restricted burning times</w:t>
      </w:r>
      <w:r>
        <w:tab/>
      </w:r>
      <w:r>
        <w:fldChar w:fldCharType="begin"/>
      </w:r>
      <w:r>
        <w:instrText xml:space="preserve"> PAGEREF _Toc392495354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4 — Total fire ban</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_Toc392495356 \h </w:instrText>
      </w:r>
      <w:r>
        <w:fldChar w:fldCharType="separate"/>
      </w:r>
      <w:r>
        <w:t>21</w:t>
      </w:r>
      <w:r>
        <w:fldChar w:fldCharType="end"/>
      </w:r>
    </w:p>
    <w:p>
      <w:pPr>
        <w:pStyle w:val="TOC8"/>
        <w:rPr>
          <w:rFonts w:asciiTheme="minorHAnsi" w:eastAsiaTheme="minorEastAsia" w:hAnsiTheme="minorHAnsi" w:cstheme="minorBidi"/>
          <w:szCs w:val="22"/>
        </w:rPr>
      </w:pPr>
      <w:r>
        <w:t>22A.</w:t>
      </w:r>
      <w:r>
        <w:tab/>
        <w:t>Minister may declare total fire ban</w:t>
      </w:r>
      <w:r>
        <w:tab/>
      </w:r>
      <w:r>
        <w:fldChar w:fldCharType="begin"/>
      </w:r>
      <w:r>
        <w:instrText xml:space="preserve"> PAGEREF _Toc392495357 \h </w:instrText>
      </w:r>
      <w:r>
        <w:fldChar w:fldCharType="separate"/>
      </w:r>
      <w:r>
        <w:t>21</w:t>
      </w:r>
      <w:r>
        <w:fldChar w:fldCharType="end"/>
      </w:r>
    </w:p>
    <w:p>
      <w:pPr>
        <w:pStyle w:val="TOC8"/>
        <w:rPr>
          <w:rFonts w:asciiTheme="minorHAnsi" w:eastAsiaTheme="minorEastAsia" w:hAnsiTheme="minorHAnsi" w:cstheme="minorBidi"/>
          <w:szCs w:val="22"/>
        </w:rPr>
      </w:pPr>
      <w:r>
        <w:t>22B.</w:t>
      </w:r>
      <w:r>
        <w:tab/>
        <w:t>Lighting of fires prohibited during total fire ban</w:t>
      </w:r>
      <w:r>
        <w:tab/>
      </w:r>
      <w:r>
        <w:fldChar w:fldCharType="begin"/>
      </w:r>
      <w:r>
        <w:instrText xml:space="preserve"> PAGEREF _Toc392495358 \h </w:instrText>
      </w:r>
      <w:r>
        <w:fldChar w:fldCharType="separate"/>
      </w:r>
      <w:r>
        <w:t>22</w:t>
      </w:r>
      <w:r>
        <w:fldChar w:fldCharType="end"/>
      </w:r>
    </w:p>
    <w:p>
      <w:pPr>
        <w:pStyle w:val="TOC8"/>
        <w:rPr>
          <w:rFonts w:asciiTheme="minorHAnsi" w:eastAsiaTheme="minorEastAsia" w:hAnsiTheme="minorHAnsi" w:cstheme="minorBidi"/>
          <w:szCs w:val="22"/>
        </w:rPr>
      </w:pPr>
      <w:r>
        <w:t>22C.</w:t>
      </w:r>
      <w:r>
        <w:tab/>
        <w:t>Power of Minister to exempt from provisions of section 22B</w:t>
      </w:r>
      <w:r>
        <w:tab/>
      </w:r>
      <w:r>
        <w:fldChar w:fldCharType="begin"/>
      </w:r>
      <w:r>
        <w:instrText xml:space="preserve"> PAGEREF _Toc392495359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Burning during prohibited times and restricted times</w:t>
      </w:r>
    </w:p>
    <w:p>
      <w:pPr>
        <w:pStyle w:val="TOC8"/>
        <w:rPr>
          <w:rFonts w:asciiTheme="minorHAnsi" w:eastAsiaTheme="minorEastAsia" w:hAnsiTheme="minorHAnsi" w:cstheme="minorBidi"/>
          <w:szCs w:val="22"/>
        </w:rPr>
      </w:pPr>
      <w:r>
        <w:t>22</w:t>
      </w:r>
      <w:r>
        <w:rPr>
          <w:snapToGrid w:val="0"/>
        </w:rPr>
        <w:t>.</w:t>
      </w:r>
      <w:r>
        <w:rPr>
          <w:snapToGrid w:val="0"/>
        </w:rPr>
        <w:tab/>
        <w:t>Burning on exempt land and land adjoining exempt land</w:t>
      </w:r>
      <w:r>
        <w:tab/>
      </w:r>
      <w:r>
        <w:fldChar w:fldCharType="begin"/>
      </w:r>
      <w:r>
        <w:instrText xml:space="preserve"> PAGEREF _Toc392495361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Burning during prohibited burning times</w:t>
      </w:r>
      <w:r>
        <w:tab/>
      </w:r>
      <w:r>
        <w:fldChar w:fldCharType="begin"/>
      </w:r>
      <w:r>
        <w:instrText xml:space="preserve"> PAGEREF _Toc392495362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Bush on land growing subterranean clover may be burnt during prohibited burning times</w:t>
      </w:r>
      <w:r>
        <w:tab/>
      </w:r>
      <w:r>
        <w:fldChar w:fldCharType="begin"/>
      </w:r>
      <w:r>
        <w:instrText xml:space="preserve"> PAGEREF _Toc392495363 \h </w:instrText>
      </w:r>
      <w:r>
        <w:fldChar w:fldCharType="separate"/>
      </w:r>
      <w:r>
        <w:t>28</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Bush on land in prescribed irrigation areas may be burnt during prohibited times for purpose of germinating clover</w:t>
      </w:r>
      <w:r>
        <w:tab/>
      </w:r>
      <w:r>
        <w:fldChar w:fldCharType="begin"/>
      </w:r>
      <w:r>
        <w:instrText xml:space="preserve"> PAGEREF _Toc392495364 \h </w:instrText>
      </w:r>
      <w:r>
        <w:fldChar w:fldCharType="separate"/>
      </w:r>
      <w:r>
        <w:t>29</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Production of permit to burn may be required</w:t>
      </w:r>
      <w:r>
        <w:tab/>
      </w:r>
      <w:r>
        <w:fldChar w:fldCharType="begin"/>
      </w:r>
      <w:r>
        <w:instrText xml:space="preserve"> PAGEREF _Toc392495365 \h </w:instrText>
      </w:r>
      <w:r>
        <w:fldChar w:fldCharType="separate"/>
      </w:r>
      <w:r>
        <w:t>30</w:t>
      </w:r>
      <w:r>
        <w:fldChar w:fldCharType="end"/>
      </w:r>
    </w:p>
    <w:p>
      <w:pPr>
        <w:pStyle w:val="TOC8"/>
        <w:rPr>
          <w:rFonts w:asciiTheme="minorHAnsi" w:eastAsiaTheme="minorEastAsia" w:hAnsiTheme="minorHAnsi" w:cstheme="minorBidi"/>
          <w:szCs w:val="22"/>
        </w:rPr>
      </w:pPr>
      <w:r>
        <w:t>24C.</w:t>
      </w:r>
      <w:r>
        <w:tab/>
        <w:t>Terms used</w:t>
      </w:r>
      <w:r>
        <w:tab/>
      </w:r>
      <w:r>
        <w:fldChar w:fldCharType="begin"/>
      </w:r>
      <w:r>
        <w:instrText xml:space="preserve"> PAGEREF _Toc392495366 \h </w:instrText>
      </w:r>
      <w:r>
        <w:fldChar w:fldCharType="separate"/>
      </w:r>
      <w:r>
        <w:t>30</w:t>
      </w:r>
      <w:r>
        <w:fldChar w:fldCharType="end"/>
      </w:r>
    </w:p>
    <w:p>
      <w:pPr>
        <w:pStyle w:val="TOC8"/>
        <w:rPr>
          <w:rFonts w:asciiTheme="minorHAnsi" w:eastAsiaTheme="minorEastAsia" w:hAnsiTheme="minorHAnsi" w:cstheme="minorBidi"/>
          <w:szCs w:val="22"/>
        </w:rPr>
      </w:pPr>
      <w:r>
        <w:t>24D.</w:t>
      </w:r>
      <w:r>
        <w:tab/>
        <w:t>Burning garden refuse prohibited if fire danger very high to catastrophic</w:t>
      </w:r>
      <w:r>
        <w:tab/>
      </w:r>
      <w:r>
        <w:fldChar w:fldCharType="begin"/>
      </w:r>
      <w:r>
        <w:instrText xml:space="preserve"> PAGEREF _Toc392495367 \h </w:instrText>
      </w:r>
      <w:r>
        <w:fldChar w:fldCharType="separate"/>
      </w:r>
      <w:r>
        <w:t>31</w:t>
      </w:r>
      <w:r>
        <w:fldChar w:fldCharType="end"/>
      </w:r>
    </w:p>
    <w:p>
      <w:pPr>
        <w:pStyle w:val="TOC8"/>
        <w:rPr>
          <w:rFonts w:asciiTheme="minorHAnsi" w:eastAsiaTheme="minorEastAsia" w:hAnsiTheme="minorHAnsi" w:cstheme="minorBidi"/>
          <w:szCs w:val="22"/>
        </w:rPr>
      </w:pPr>
      <w:r>
        <w:t>24E.</w:t>
      </w:r>
      <w:r>
        <w:tab/>
        <w:t>Burning of garden refuse at rubbish tips</w:t>
      </w:r>
      <w:r>
        <w:tab/>
      </w:r>
      <w:r>
        <w:fldChar w:fldCharType="begin"/>
      </w:r>
      <w:r>
        <w:instrText xml:space="preserve"> PAGEREF _Toc392495368 \h </w:instrText>
      </w:r>
      <w:r>
        <w:fldChar w:fldCharType="separate"/>
      </w:r>
      <w:r>
        <w:t>31</w:t>
      </w:r>
      <w:r>
        <w:fldChar w:fldCharType="end"/>
      </w:r>
    </w:p>
    <w:p>
      <w:pPr>
        <w:pStyle w:val="TOC8"/>
        <w:rPr>
          <w:rFonts w:asciiTheme="minorHAnsi" w:eastAsiaTheme="minorEastAsia" w:hAnsiTheme="minorHAnsi" w:cstheme="minorBidi"/>
          <w:szCs w:val="22"/>
        </w:rPr>
      </w:pPr>
      <w:r>
        <w:t>24F.</w:t>
      </w:r>
      <w:r>
        <w:tab/>
        <w:t>Burning garden refuse during limited burning times</w:t>
      </w:r>
      <w:r>
        <w:tab/>
      </w:r>
      <w:r>
        <w:fldChar w:fldCharType="begin"/>
      </w:r>
      <w:r>
        <w:instrText xml:space="preserve"> PAGEREF _Toc392495369 \h </w:instrText>
      </w:r>
      <w:r>
        <w:fldChar w:fldCharType="separate"/>
      </w:r>
      <w:r>
        <w:t>32</w:t>
      </w:r>
      <w:r>
        <w:fldChar w:fldCharType="end"/>
      </w:r>
    </w:p>
    <w:p>
      <w:pPr>
        <w:pStyle w:val="TOC8"/>
        <w:rPr>
          <w:rFonts w:asciiTheme="minorHAnsi" w:eastAsiaTheme="minorEastAsia" w:hAnsiTheme="minorHAnsi" w:cstheme="minorBidi"/>
          <w:szCs w:val="22"/>
        </w:rPr>
      </w:pPr>
      <w:r>
        <w:t>24G.</w:t>
      </w:r>
      <w:r>
        <w:tab/>
        <w:t>Minister or local government may further restrict burning of garden refuse</w:t>
      </w:r>
      <w:r>
        <w:tab/>
      </w:r>
      <w:r>
        <w:fldChar w:fldCharType="begin"/>
      </w:r>
      <w:r>
        <w:instrText xml:space="preserve"> PAGEREF _Toc392495370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 fire to be lit in open air unless certain precautions taken</w:t>
      </w:r>
      <w:r>
        <w:tab/>
      </w:r>
      <w:r>
        <w:fldChar w:fldCharType="begin"/>
      </w:r>
      <w:r>
        <w:instrText xml:space="preserve"> PAGEREF _Toc392495371 \h </w:instrText>
      </w:r>
      <w:r>
        <w:fldChar w:fldCharType="separate"/>
      </w:r>
      <w:r>
        <w:t>34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Power of Minister to exempt from provisions of section 25</w:t>
      </w:r>
      <w:r>
        <w:tab/>
      </w:r>
      <w:r>
        <w:fldChar w:fldCharType="begin"/>
      </w:r>
      <w:r>
        <w:instrText xml:space="preserve"> PAGEREF _Toc392495372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Burning of plants to eradicate disease during prohibited burning times</w:t>
      </w:r>
      <w:r>
        <w:tab/>
      </w:r>
      <w:r>
        <w:fldChar w:fldCharType="begin"/>
      </w:r>
      <w:r>
        <w:instrText xml:space="preserve"> PAGEREF _Toc392495373 \h </w:instrText>
      </w:r>
      <w:r>
        <w:fldChar w:fldCharType="separate"/>
      </w:r>
      <w:r>
        <w:t>40</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Burning of declared plants during prohibited burning times</w:t>
      </w:r>
      <w:r>
        <w:tab/>
      </w:r>
      <w:r>
        <w:fldChar w:fldCharType="begin"/>
      </w:r>
      <w:r>
        <w:instrText xml:space="preserve"> PAGEREF _Toc392495374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General restrictions, prohibitions and offences</w:t>
      </w:r>
    </w:p>
    <w:p>
      <w:pPr>
        <w:pStyle w:val="TOC8"/>
        <w:rPr>
          <w:rFonts w:asciiTheme="minorHAnsi" w:eastAsiaTheme="minorEastAsia" w:hAnsiTheme="minorHAnsi" w:cstheme="minorBidi"/>
          <w:szCs w:val="22"/>
        </w:rPr>
      </w:pPr>
      <w:r>
        <w:t>27</w:t>
      </w:r>
      <w:r>
        <w:rPr>
          <w:snapToGrid w:val="0"/>
        </w:rPr>
        <w:t>.</w:t>
      </w:r>
      <w:r>
        <w:rPr>
          <w:snapToGrid w:val="0"/>
        </w:rPr>
        <w:tab/>
        <w:t>Prohibition on use of tractors or engines except under certain conditions</w:t>
      </w:r>
      <w:r>
        <w:tab/>
      </w:r>
      <w:r>
        <w:fldChar w:fldCharType="begin"/>
      </w:r>
      <w:r>
        <w:instrText xml:space="preserve"> PAGEREF _Toc392495376 \h </w:instrText>
      </w:r>
      <w:r>
        <w:fldChar w:fldCharType="separate"/>
      </w:r>
      <w:r>
        <w:t>41</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Regulation of blasting and matters likely to create bush fire danger</w:t>
      </w:r>
      <w:r>
        <w:tab/>
      </w:r>
      <w:r>
        <w:fldChar w:fldCharType="begin"/>
      </w:r>
      <w:r>
        <w:instrText xml:space="preserve"> PAGEREF _Toc392495377 \h </w:instrText>
      </w:r>
      <w:r>
        <w:fldChar w:fldCharType="separate"/>
      </w:r>
      <w:r>
        <w:t>44</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False alarms</w:t>
      </w:r>
      <w:r>
        <w:tab/>
      </w:r>
      <w:r>
        <w:fldChar w:fldCharType="begin"/>
      </w:r>
      <w:r>
        <w:instrText xml:space="preserve"> PAGEREF _Toc392495378 \h </w:instrText>
      </w:r>
      <w:r>
        <w:fldChar w:fldCharType="separate"/>
      </w:r>
      <w:r>
        <w:t>45</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Vandalism</w:t>
      </w:r>
      <w:r>
        <w:tab/>
      </w:r>
      <w:r>
        <w:fldChar w:fldCharType="begin"/>
      </w:r>
      <w:r>
        <w:instrText xml:space="preserve"> PAGEREF _Toc392495379 \h </w:instrText>
      </w:r>
      <w:r>
        <w:fldChar w:fldCharType="separate"/>
      </w:r>
      <w:r>
        <w:t>45</w:t>
      </w:r>
      <w:r>
        <w:fldChar w:fldCharType="end"/>
      </w:r>
    </w:p>
    <w:p>
      <w:pPr>
        <w:pStyle w:val="TOC8"/>
        <w:rPr>
          <w:rFonts w:asciiTheme="minorHAnsi" w:eastAsiaTheme="minorEastAsia" w:hAnsiTheme="minorHAnsi" w:cstheme="minorBidi"/>
          <w:szCs w:val="22"/>
        </w:rPr>
      </w:pPr>
      <w:r>
        <w:t>27D</w:t>
      </w:r>
      <w:r>
        <w:rPr>
          <w:snapToGrid w:val="0"/>
        </w:rPr>
        <w:t>.</w:t>
      </w:r>
      <w:r>
        <w:rPr>
          <w:snapToGrid w:val="0"/>
        </w:rPr>
        <w:tab/>
        <w:t>Requirements for carriage and deposit of incendiary material</w:t>
      </w:r>
      <w:r>
        <w:tab/>
      </w:r>
      <w:r>
        <w:fldChar w:fldCharType="begin"/>
      </w:r>
      <w:r>
        <w:instrText xml:space="preserve"> PAGEREF _Toc392495380 \h </w:instrText>
      </w:r>
      <w:r>
        <w:fldChar w:fldCharType="separate"/>
      </w:r>
      <w:r>
        <w:t>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Occupier of land to extinguish bush fire occurring on own land</w:t>
      </w:r>
      <w:r>
        <w:tab/>
      </w:r>
      <w:r>
        <w:fldChar w:fldCharType="begin"/>
      </w:r>
      <w:r>
        <w:instrText xml:space="preserve"> PAGEREF _Toc392495381 \h </w:instrText>
      </w:r>
      <w:r>
        <w:fldChar w:fldCharType="separate"/>
      </w:r>
      <w:r>
        <w:t>47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Disposal of burning cigarettes etc.</w:t>
      </w:r>
      <w:r>
        <w:tab/>
      </w:r>
      <w:r>
        <w:fldChar w:fldCharType="begin"/>
      </w:r>
      <w:r>
        <w:instrText xml:space="preserve"> PAGEREF _Toc392495382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Offences of lighting or attempting to light fire likely to injure</w:t>
      </w:r>
      <w:r>
        <w:tab/>
      </w:r>
      <w:r>
        <w:fldChar w:fldCharType="begin"/>
      </w:r>
      <w:r>
        <w:instrText xml:space="preserve"> PAGEREF _Toc392495383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Local government may require occupier of land to plough or clear fire</w:t>
      </w:r>
      <w:r>
        <w:rPr>
          <w:snapToGrid w:val="0"/>
        </w:rPr>
        <w:noBreakHyphen/>
        <w:t>break</w:t>
      </w:r>
      <w:r>
        <w:tab/>
      </w:r>
      <w:r>
        <w:fldChar w:fldCharType="begin"/>
      </w:r>
      <w:r>
        <w:instrText xml:space="preserve"> PAGEREF _Toc392495384 \h </w:instrText>
      </w:r>
      <w:r>
        <w:fldChar w:fldCharType="separate"/>
      </w:r>
      <w:r>
        <w:t>50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Burning on Crown lands</w:t>
      </w:r>
      <w:r>
        <w:tab/>
      </w:r>
      <w:r>
        <w:fldChar w:fldCharType="begin"/>
      </w:r>
      <w:r>
        <w:instrText xml:space="preserve"> PAGEREF _Toc392495385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Powers of FES Commissioner on default by local government</w:t>
      </w:r>
      <w:r>
        <w:tab/>
      </w:r>
      <w:r>
        <w:fldChar w:fldCharType="begin"/>
      </w:r>
      <w:r>
        <w:instrText xml:space="preserve"> PAGEREF _Toc392495386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IV — Control and extinguishment of bush fires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Local governments</w:t>
      </w:r>
    </w:p>
    <w:p>
      <w:pPr>
        <w:pStyle w:val="TOC8"/>
        <w:rPr>
          <w:rFonts w:asciiTheme="minorHAnsi" w:eastAsiaTheme="minorEastAsia" w:hAnsiTheme="minorHAnsi" w:cstheme="minorBidi"/>
          <w:szCs w:val="22"/>
        </w:rPr>
      </w:pPr>
      <w:r>
        <w:t>35A</w:t>
      </w:r>
      <w:r>
        <w:rPr>
          <w:snapToGrid w:val="0"/>
        </w:rPr>
        <w:t>.</w:t>
      </w:r>
      <w:r>
        <w:rPr>
          <w:snapToGrid w:val="0"/>
        </w:rPr>
        <w:tab/>
        <w:t>Terms used</w:t>
      </w:r>
      <w:r>
        <w:tab/>
      </w:r>
      <w:r>
        <w:fldChar w:fldCharType="begin"/>
      </w:r>
      <w:r>
        <w:instrText xml:space="preserve"> PAGEREF _Toc392495389 \h </w:instrText>
      </w:r>
      <w:r>
        <w:fldChar w:fldCharType="separate"/>
      </w:r>
      <w:r>
        <w:t>58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Local government may expend moneys in connection with control and extinguishment of bush fires</w:t>
      </w:r>
      <w:r>
        <w:tab/>
      </w:r>
      <w:r>
        <w:fldChar w:fldCharType="begin"/>
      </w:r>
      <w:r>
        <w:instrText xml:space="preserve"> PAGEREF _Toc392495390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Local government to insure certain persons</w:t>
      </w:r>
      <w:r>
        <w:tab/>
      </w:r>
      <w:r>
        <w:fldChar w:fldCharType="begin"/>
      </w:r>
      <w:r>
        <w:instrText xml:space="preserve"> PAGEREF _Toc392495391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 may appoint bush fire control officer</w:t>
      </w:r>
      <w:r>
        <w:tab/>
      </w:r>
      <w:r>
        <w:fldChar w:fldCharType="begin"/>
      </w:r>
      <w:r>
        <w:instrText xml:space="preserve"> PAGEREF _Toc392495392 \h </w:instrText>
      </w:r>
      <w:r>
        <w:fldChar w:fldCharType="separate"/>
      </w:r>
      <w:r>
        <w:t>64</w:t>
      </w:r>
      <w:r>
        <w:fldChar w:fldCharType="end"/>
      </w:r>
    </w:p>
    <w:p>
      <w:pPr>
        <w:pStyle w:val="TOC8"/>
        <w:rPr>
          <w:rFonts w:asciiTheme="minorHAnsi" w:eastAsiaTheme="minorEastAsia" w:hAnsiTheme="minorHAnsi" w:cstheme="minorBidi"/>
          <w:szCs w:val="22"/>
        </w:rPr>
      </w:pPr>
      <w:r>
        <w:t>38A.</w:t>
      </w:r>
      <w:r>
        <w:tab/>
        <w:t>FES Commissioner may designate person employed in Department as Chief Bush Fire Control Officer</w:t>
      </w:r>
      <w:r>
        <w:tab/>
      </w:r>
      <w:r>
        <w:fldChar w:fldCharType="begin"/>
      </w:r>
      <w:r>
        <w:instrText xml:space="preserve"> PAGEREF _Toc392495393 \h </w:instrText>
      </w:r>
      <w:r>
        <w:fldChar w:fldCharType="separate"/>
      </w:r>
      <w:r>
        <w:t>68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Special powers of bush fire control officers</w:t>
      </w:r>
      <w:r>
        <w:tab/>
      </w:r>
      <w:r>
        <w:fldChar w:fldCharType="begin"/>
      </w:r>
      <w:r>
        <w:instrText xml:space="preserve"> PAGEREF _Toc392495394 \h </w:instrText>
      </w:r>
      <w:r>
        <w:fldChar w:fldCharType="separate"/>
      </w:r>
      <w:r>
        <w:t>69</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Duties of bush fire authorities on outbreak of fire</w:t>
      </w:r>
      <w:r>
        <w:tab/>
      </w:r>
      <w:r>
        <w:fldChar w:fldCharType="begin"/>
      </w:r>
      <w:r>
        <w:instrText xml:space="preserve"> PAGEREF _Toc392495395 \h </w:instrText>
      </w:r>
      <w:r>
        <w:fldChar w:fldCharType="separate"/>
      </w:r>
      <w:r>
        <w:t>70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Local governments may join in appointing and employing bush fire control officers</w:t>
      </w:r>
      <w:r>
        <w:tab/>
      </w:r>
      <w:r>
        <w:fldChar w:fldCharType="begin"/>
      </w:r>
      <w:r>
        <w:instrText xml:space="preserve"> PAGEREF _Toc392495396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Bush fire brigades</w:t>
      </w:r>
    </w:p>
    <w:p>
      <w:pPr>
        <w:pStyle w:val="TOC8"/>
        <w:rPr>
          <w:rFonts w:asciiTheme="minorHAnsi" w:eastAsiaTheme="minorEastAsia" w:hAnsiTheme="minorHAnsi" w:cstheme="minorBidi"/>
          <w:szCs w:val="22"/>
        </w:rPr>
      </w:pPr>
      <w:r>
        <w:t>41</w:t>
      </w:r>
      <w:r>
        <w:rPr>
          <w:snapToGrid w:val="0"/>
        </w:rPr>
        <w:t>.</w:t>
      </w:r>
      <w:r>
        <w:rPr>
          <w:snapToGrid w:val="0"/>
        </w:rPr>
        <w:tab/>
        <w:t>Bush fire brigades</w:t>
      </w:r>
      <w:r>
        <w:tab/>
      </w:r>
      <w:r>
        <w:fldChar w:fldCharType="begin"/>
      </w:r>
      <w:r>
        <w:instrText xml:space="preserve"> PAGEREF _Toc392495398 \h </w:instrText>
      </w:r>
      <w:r>
        <w:fldChar w:fldCharType="separate"/>
      </w:r>
      <w:r>
        <w:t>71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Local governments may join in establishing bush fire brigade</w:t>
      </w:r>
      <w:r>
        <w:tab/>
      </w:r>
      <w:r>
        <w:fldChar w:fldCharType="begin"/>
      </w:r>
      <w:r>
        <w:instrText xml:space="preserve"> PAGEREF _Toc392495399 \h </w:instrText>
      </w:r>
      <w:r>
        <w:fldChar w:fldCharType="separate"/>
      </w:r>
      <w:r>
        <w:t>72</w:t>
      </w:r>
      <w:r>
        <w:fldChar w:fldCharType="end"/>
      </w:r>
    </w:p>
    <w:p>
      <w:pPr>
        <w:pStyle w:val="TOC8"/>
        <w:rPr>
          <w:rFonts w:asciiTheme="minorHAnsi" w:eastAsiaTheme="minorEastAsia" w:hAnsiTheme="minorHAnsi" w:cstheme="minorBidi"/>
          <w:szCs w:val="22"/>
        </w:rPr>
      </w:pPr>
      <w:r>
        <w:t>42A.</w:t>
      </w:r>
      <w:r>
        <w:tab/>
        <w:t>Constitution of bush fire brigade</w:t>
      </w:r>
      <w:r>
        <w:tab/>
      </w:r>
      <w:r>
        <w:fldChar w:fldCharType="begin"/>
      </w:r>
      <w:r>
        <w:instrText xml:space="preserve"> PAGEREF _Toc392495400 \h </w:instrText>
      </w:r>
      <w:r>
        <w:fldChar w:fldCharType="separate"/>
      </w:r>
      <w:r>
        <w:t>72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Election and duties of officers of bush fire brigades</w:t>
      </w:r>
      <w:r>
        <w:tab/>
      </w:r>
      <w:r>
        <w:fldChar w:fldCharType="begin"/>
      </w:r>
      <w:r>
        <w:instrText xml:space="preserve"> PAGEREF _Toc392495401 \h </w:instrText>
      </w:r>
      <w:r>
        <w:fldChar w:fldCharType="separate"/>
      </w:r>
      <w:r>
        <w:t>73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Powers and authorities of officers of bush fire brigade</w:t>
      </w:r>
      <w:r>
        <w:tab/>
      </w:r>
      <w:r>
        <w:fldChar w:fldCharType="begin"/>
      </w:r>
      <w:r>
        <w:instrText xml:space="preserve"> PAGEREF _Toc392495402 \h </w:instrText>
      </w:r>
      <w:r>
        <w:fldChar w:fldCharType="separate"/>
      </w:r>
      <w:r>
        <w:t>73</w:t>
      </w:r>
      <w:r>
        <w:fldChar w:fldCharType="end"/>
      </w:r>
    </w:p>
    <w:p>
      <w:pPr>
        <w:pStyle w:val="TOC8"/>
        <w:rPr>
          <w:rFonts w:asciiTheme="minorHAnsi" w:eastAsiaTheme="minorEastAsia" w:hAnsiTheme="minorHAnsi" w:cstheme="minorBidi"/>
          <w:szCs w:val="22"/>
        </w:rPr>
      </w:pPr>
      <w:r>
        <w:t>45A.</w:t>
      </w:r>
      <w:r>
        <w:tab/>
        <w:t>Requests to authorised CALM Act officers to take control of bush fires</w:t>
      </w:r>
      <w:r>
        <w:tab/>
      </w:r>
      <w:r>
        <w:fldChar w:fldCharType="begin"/>
      </w:r>
      <w:r>
        <w:instrText xml:space="preserve"> PAGEREF _Toc392495403 \h </w:instrText>
      </w:r>
      <w:r>
        <w:fldChar w:fldCharType="separate"/>
      </w:r>
      <w:r>
        <w:t>75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Powers and authorities exercisable by authorised CALM Act officers</w:t>
      </w:r>
      <w:r>
        <w:tab/>
      </w:r>
      <w:r>
        <w:fldChar w:fldCharType="begin"/>
      </w:r>
      <w:r>
        <w:instrText xml:space="preserve"> PAGEREF _Toc392495404 \h </w:instrText>
      </w:r>
      <w:r>
        <w:fldChar w:fldCharType="separate"/>
      </w:r>
      <w:r>
        <w:t>76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Bush fire control officer or forest officer may postpone lighting fire</w:t>
      </w:r>
      <w:r>
        <w:tab/>
      </w:r>
      <w:r>
        <w:fldChar w:fldCharType="begin"/>
      </w:r>
      <w:r>
        <w:instrText xml:space="preserve"> PAGEREF _Toc392495405 \h </w:instrText>
      </w:r>
      <w:r>
        <w:fldChar w:fldCharType="separate"/>
      </w:r>
      <w:r>
        <w:t>78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Fire</w:t>
      </w:r>
      <w:r>
        <w:rPr>
          <w:snapToGrid w:val="0"/>
        </w:rPr>
        <w:noBreakHyphen/>
        <w:t>break not to be lit when bush fire burning</w:t>
      </w:r>
      <w:r>
        <w:tab/>
      </w:r>
      <w:r>
        <w:fldChar w:fldCharType="begin"/>
      </w:r>
      <w:r>
        <w:instrText xml:space="preserve"> PAGEREF _Toc392495406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48.</w:t>
      </w:r>
      <w:r>
        <w:tab/>
        <w:t>Delegation by local governments</w:t>
      </w:r>
      <w:r>
        <w:tab/>
      </w:r>
      <w:r>
        <w:fldChar w:fldCharType="begin"/>
      </w:r>
      <w:r>
        <w:instrText xml:space="preserve"> PAGEREF _Toc392495408 \h </w:instrText>
      </w:r>
      <w:r>
        <w:fldChar w:fldCharType="separate"/>
      </w:r>
      <w:r>
        <w:t>80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Records to be maintained by local governments</w:t>
      </w:r>
      <w:r>
        <w:tab/>
      </w:r>
      <w:r>
        <w:fldChar w:fldCharType="begin"/>
      </w:r>
      <w:r>
        <w:instrText xml:space="preserve"> PAGEREF _Toc392495409 \h </w:instrText>
      </w:r>
      <w:r>
        <w:fldChar w:fldCharType="separate"/>
      </w:r>
      <w:r>
        <w:t>80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Saving of remedies</w:t>
      </w:r>
      <w:r>
        <w:tab/>
      </w:r>
      <w:r>
        <w:fldChar w:fldCharType="begin"/>
      </w:r>
      <w:r>
        <w:instrText xml:space="preserve"> PAGEREF _Toc392495410 \h </w:instrText>
      </w:r>
      <w:r>
        <w:fldChar w:fldCharType="separate"/>
      </w:r>
      <w:r>
        <w:t>81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Approved area may be declared</w:t>
      </w:r>
      <w:r>
        <w:tab/>
      </w:r>
      <w:r>
        <w:fldChar w:fldCharType="begin"/>
      </w:r>
      <w:r>
        <w:instrText xml:space="preserve"> PAGEREF _Toc392495411 \h </w:instrText>
      </w:r>
      <w:r>
        <w:fldChar w:fldCharType="separate"/>
      </w:r>
      <w:r>
        <w:t>82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Reduction in insurance premium of crops in approved area</w:t>
      </w:r>
      <w:r>
        <w:tab/>
      </w:r>
      <w:r>
        <w:fldChar w:fldCharType="begin"/>
      </w:r>
      <w:r>
        <w:instrText xml:space="preserve"> PAGEREF _Toc392495412 \h </w:instrText>
      </w:r>
      <w:r>
        <w:fldChar w:fldCharType="separate"/>
      </w:r>
      <w:r>
        <w:t>82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Approved area may be cancelled</w:t>
      </w:r>
      <w:r>
        <w:tab/>
      </w:r>
      <w:r>
        <w:fldChar w:fldCharType="begin"/>
      </w:r>
      <w:r>
        <w:instrText xml:space="preserve"> PAGEREF _Toc392495413 \h </w:instrText>
      </w:r>
      <w:r>
        <w:fldChar w:fldCharType="separate"/>
      </w:r>
      <w:r>
        <w:t>83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police officers, bush fire control officers etc.</w:t>
      </w:r>
      <w:r>
        <w:tab/>
      </w:r>
      <w:r>
        <w:fldChar w:fldCharType="begin"/>
      </w:r>
      <w:r>
        <w:instrText xml:space="preserve"> PAGEREF _Toc392495414 \h </w:instrText>
      </w:r>
      <w:r>
        <w:fldChar w:fldCharType="separate"/>
      </w:r>
      <w:r>
        <w:t>83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officers</w:t>
      </w:r>
      <w:r>
        <w:tab/>
      </w:r>
      <w:r>
        <w:fldChar w:fldCharType="begin"/>
      </w:r>
      <w:r>
        <w:instrText xml:space="preserve"> PAGEREF _Toc392495415 \h </w:instrText>
      </w:r>
      <w:r>
        <w:fldChar w:fldCharType="separate"/>
      </w:r>
      <w:r>
        <w:t>84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General penalty and recovery of expenses incurred</w:t>
      </w:r>
      <w:r>
        <w:tab/>
      </w:r>
      <w:r>
        <w:fldChar w:fldCharType="begin"/>
      </w:r>
      <w:r>
        <w:instrText xml:space="preserve"> PAGEREF _Toc392495416 \h </w:instrText>
      </w:r>
      <w:r>
        <w:fldChar w:fldCharType="separate"/>
      </w:r>
      <w:r>
        <w:t>85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Prosecution of offences</w:t>
      </w:r>
      <w:r>
        <w:tab/>
      </w:r>
      <w:r>
        <w:fldChar w:fldCharType="begin"/>
      </w:r>
      <w:r>
        <w:instrText xml:space="preserve"> PAGEREF _Toc392495417 \h </w:instrText>
      </w:r>
      <w:r>
        <w:fldChar w:fldCharType="separate"/>
      </w:r>
      <w:r>
        <w:t>87</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Alternative procedure — infringement notices</w:t>
      </w:r>
      <w:r>
        <w:tab/>
      </w:r>
      <w:r>
        <w:fldChar w:fldCharType="begin"/>
      </w:r>
      <w:r>
        <w:instrText xml:space="preserve"> PAGEREF _Toc392495418 \h </w:instrText>
      </w:r>
      <w:r>
        <w:fldChar w:fldCharType="separate"/>
      </w:r>
      <w:r>
        <w:t>88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Assisting to commit an offence</w:t>
      </w:r>
      <w:r>
        <w:tab/>
      </w:r>
      <w:r>
        <w:fldChar w:fldCharType="begin"/>
      </w:r>
      <w:r>
        <w:instrText xml:space="preserve"> PAGEREF _Toc392495419 \h </w:instrText>
      </w:r>
      <w:r>
        <w:fldChar w:fldCharType="separate"/>
      </w:r>
      <w:r>
        <w:t>89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_Toc392495420 \h </w:instrText>
      </w:r>
      <w:r>
        <w:fldChar w:fldCharType="separate"/>
      </w:r>
      <w:r>
        <w:t>90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Local government may make local laws</w:t>
      </w:r>
      <w:r>
        <w:tab/>
      </w:r>
      <w:r>
        <w:fldChar w:fldCharType="begin"/>
      </w:r>
      <w:r>
        <w:instrText xml:space="preserve"> PAGEREF _Toc392495421 \h </w:instrText>
      </w:r>
      <w:r>
        <w:fldChar w:fldCharType="separate"/>
      </w:r>
      <w:r>
        <w:t>90</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Governor may amend or repeal local laws</w:t>
      </w:r>
      <w:r>
        <w:tab/>
      </w:r>
      <w:r>
        <w:fldChar w:fldCharType="begin"/>
      </w:r>
      <w:r>
        <w:instrText xml:space="preserve"> PAGEREF _Toc392495422 \h </w:instrText>
      </w:r>
      <w:r>
        <w:fldChar w:fldCharType="separate"/>
      </w:r>
      <w:r>
        <w:t>91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Prohibitions excluded by certain circumstances</w:t>
      </w:r>
      <w:r>
        <w:tab/>
      </w:r>
      <w:r>
        <w:fldChar w:fldCharType="begin"/>
      </w:r>
      <w:r>
        <w:instrText xml:space="preserve"> PAGEREF _Toc392495423 \h </w:instrText>
      </w:r>
      <w:r>
        <w:fldChar w:fldCharType="separate"/>
      </w:r>
      <w:r>
        <w:t>91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Proof of certain matters</w:t>
      </w:r>
      <w:r>
        <w:tab/>
      </w:r>
      <w:r>
        <w:fldChar w:fldCharType="begin"/>
      </w:r>
      <w:r>
        <w:instrText xml:space="preserve"> PAGEREF _Toc392495424 \h </w:instrText>
      </w:r>
      <w:r>
        <w:fldChar w:fldCharType="separate"/>
      </w:r>
      <w:r>
        <w:t>91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Proof of ownership or occupancy</w:t>
      </w:r>
      <w:r>
        <w:tab/>
      </w:r>
      <w:r>
        <w:fldChar w:fldCharType="begin"/>
      </w:r>
      <w:r>
        <w:instrText xml:space="preserve"> PAGEREF _Toc392495425 \h </w:instrText>
      </w:r>
      <w:r>
        <w:fldChar w:fldCharType="separate"/>
      </w:r>
      <w:r>
        <w:t>93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Advisory committees</w:t>
      </w:r>
      <w:r>
        <w:tab/>
      </w:r>
      <w:r>
        <w:fldChar w:fldCharType="begin"/>
      </w:r>
      <w:r>
        <w:instrText xml:space="preserve"> PAGEREF _Toc392495426 \h </w:instrText>
      </w:r>
      <w:r>
        <w:fldChar w:fldCharType="separate"/>
      </w:r>
      <w:r>
        <w:t>95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Regional advisory committees</w:t>
      </w:r>
      <w:r>
        <w:tab/>
      </w:r>
      <w:r>
        <w:fldChar w:fldCharType="begin"/>
      </w:r>
      <w:r>
        <w:instrText xml:space="preserve"> PAGEREF _Toc392495427 \h </w:instrText>
      </w:r>
      <w:r>
        <w:fldChar w:fldCharType="separate"/>
      </w:r>
      <w:r>
        <w:t>96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_Toc392495429 \h </w:instrText>
      </w:r>
      <w:r>
        <w:fldChar w:fldCharType="separate"/>
      </w:r>
      <w:r>
        <w:t>98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_Toc392495430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October 2013</w:t>
            </w:r>
          </w:p>
        </w:tc>
      </w:tr>
    </w:tbl>
    <w:p>
      <w:pPr>
        <w:pStyle w:val="WA"/>
        <w:spacing w:before="120"/>
      </w:pPr>
      <w:r>
        <w:t>Western Australia</w:t>
      </w:r>
    </w:p>
    <w:p>
      <w:pPr>
        <w:pStyle w:val="NameofActReg"/>
        <w:spacing w:before="840" w:after="960"/>
      </w:pPr>
      <w:r>
        <w:t>Bush Fires Act 1954</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1" w:name="_Toc381872683"/>
      <w:bookmarkStart w:id="2" w:name="_Toc381873751"/>
      <w:bookmarkStart w:id="3" w:name="_Toc392495335"/>
      <w:r>
        <w:rPr>
          <w:rStyle w:val="CharPartNo"/>
        </w:rPr>
        <w:t>Part I</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by No. 19 of 2010 s. 43(3)(a).]</w:t>
      </w:r>
    </w:p>
    <w:p>
      <w:pPr>
        <w:pStyle w:val="Heading5"/>
        <w:rPr>
          <w:snapToGrid w:val="0"/>
        </w:rPr>
      </w:pPr>
      <w:bookmarkStart w:id="4" w:name="_Toc392495336"/>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r>
        <w:t>[Heading deleted by No. 19 of 2010 s. 43(3)(b).]</w:t>
      </w:r>
    </w:p>
    <w:p>
      <w:pPr>
        <w:pStyle w:val="Heading5"/>
        <w:spacing w:before="180"/>
        <w:rPr>
          <w:snapToGrid w:val="0"/>
        </w:rPr>
      </w:pPr>
      <w:bookmarkStart w:id="5" w:name="_Toc392495337"/>
      <w:r>
        <w:rPr>
          <w:rStyle w:val="CharSectno"/>
        </w:rPr>
        <w:t>3</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6" w:name="_Toc392495338"/>
      <w:r>
        <w:rPr>
          <w:rStyle w:val="CharSectno"/>
        </w:rPr>
        <w:t>4</w:t>
      </w:r>
      <w:r>
        <w:rPr>
          <w:snapToGrid w:val="0"/>
        </w:rPr>
        <w:t>.</w:t>
      </w:r>
      <w:r>
        <w:rPr>
          <w:snapToGrid w:val="0"/>
        </w:rPr>
        <w:tab/>
        <w:t>Saving provisions</w:t>
      </w:r>
      <w:bookmarkEnd w:id="6"/>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7" w:name="_Toc392495339"/>
      <w:r>
        <w:rPr>
          <w:rStyle w:val="CharSectno"/>
        </w:rPr>
        <w:t>7</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keepLines/>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 No. 22 of 2012 s. 46 and 69.]</w:t>
      </w:r>
    </w:p>
    <w:p>
      <w:pPr>
        <w:pStyle w:val="Heading2"/>
      </w:pPr>
      <w:bookmarkStart w:id="8" w:name="_Toc381872688"/>
      <w:bookmarkStart w:id="9" w:name="_Toc381873756"/>
      <w:bookmarkStart w:id="10" w:name="_Toc392495340"/>
      <w:r>
        <w:rPr>
          <w:rStyle w:val="CharPartNo"/>
        </w:rPr>
        <w:t>Part II</w:t>
      </w:r>
      <w:r>
        <w:rPr>
          <w:rStyle w:val="CharDivNo"/>
        </w:rPr>
        <w:t> </w:t>
      </w:r>
      <w:r>
        <w:t>—</w:t>
      </w:r>
      <w:r>
        <w:rPr>
          <w:rStyle w:val="CharDivText"/>
        </w:rPr>
        <w:t> </w:t>
      </w:r>
      <w:r>
        <w:rPr>
          <w:rStyle w:val="CharPartText"/>
        </w:rPr>
        <w:t>Administration</w:t>
      </w:r>
      <w:bookmarkEnd w:id="8"/>
      <w:bookmarkEnd w:id="9"/>
      <w:bookmarkEnd w:id="10"/>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11" w:name="_Toc392495341"/>
      <w:r>
        <w:rPr>
          <w:rStyle w:val="CharSectno"/>
        </w:rPr>
        <w:t>9</w:t>
      </w:r>
      <w:r>
        <w:t>.</w:t>
      </w:r>
      <w:r>
        <w:tab/>
        <w:t>Terms used</w:t>
      </w:r>
      <w:bookmarkEnd w:id="11"/>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12" w:name="_Toc392495342"/>
      <w:r>
        <w:rPr>
          <w:rStyle w:val="CharSectno"/>
        </w:rPr>
        <w:t>10</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w:t>
      </w:r>
      <w:bookmarkEnd w:id="12"/>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 No. 22 of 2012 s. 47 and 69.]</w:t>
      </w:r>
    </w:p>
    <w:p>
      <w:pPr>
        <w:pStyle w:val="Ednotesection"/>
        <w:spacing w:before="180"/>
      </w:pPr>
      <w:r>
        <w:t>[</w:t>
      </w:r>
      <w:r>
        <w:rPr>
          <w:b/>
        </w:rPr>
        <w:t>11, 11A.</w:t>
      </w:r>
      <w:r>
        <w:rPr>
          <w:b/>
        </w:rPr>
        <w:tab/>
      </w:r>
      <w:r>
        <w:t>Deleted by No. 42 of 1998 s. 9.]</w:t>
      </w:r>
    </w:p>
    <w:p>
      <w:pPr>
        <w:pStyle w:val="Heading5"/>
      </w:pPr>
      <w:bookmarkStart w:id="13" w:name="_Toc392495343"/>
      <w:r>
        <w:rPr>
          <w:rStyle w:val="CharSectno"/>
        </w:rPr>
        <w:t>12</w:t>
      </w:r>
      <w:r>
        <w:t>.</w:t>
      </w:r>
      <w:r>
        <w:tab/>
        <w:t>Bush fire liaison officers</w:t>
      </w:r>
      <w:bookmarkEnd w:id="13"/>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spacing w:before="100"/>
        <w:ind w:left="890" w:hanging="890"/>
      </w:pPr>
      <w:r>
        <w:tab/>
        <w:t>[Section 12 inserted by No. 22 of 2012 s. 48.]</w:t>
      </w:r>
    </w:p>
    <w:p>
      <w:pPr>
        <w:pStyle w:val="Heading5"/>
        <w:spacing w:before="180"/>
        <w:rPr>
          <w:snapToGrid w:val="0"/>
        </w:rPr>
      </w:pPr>
      <w:bookmarkStart w:id="14" w:name="_Toc392495344"/>
      <w:r>
        <w:rPr>
          <w:rStyle w:val="CharSectno"/>
        </w:rPr>
        <w:t>13</w:t>
      </w:r>
      <w:r>
        <w:rPr>
          <w:snapToGrid w:val="0"/>
        </w:rPr>
        <w:t>.</w:t>
      </w:r>
      <w:r>
        <w:rPr>
          <w:snapToGrid w:val="0"/>
        </w:rPr>
        <w:tab/>
        <w:t>Duties and powers of bush fire liaison officers</w:t>
      </w:r>
      <w:bookmarkEnd w:id="14"/>
    </w:p>
    <w:p>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spacing w:before="120"/>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keepLines/>
        <w:spacing w:before="120"/>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 No. 22 of 2012 s. 69.]</w:t>
      </w:r>
    </w:p>
    <w:p>
      <w:pPr>
        <w:pStyle w:val="Heading5"/>
      </w:pPr>
      <w:bookmarkStart w:id="15" w:name="_Toc392495345"/>
      <w:r>
        <w:rPr>
          <w:rStyle w:val="CharSectno"/>
        </w:rPr>
        <w:t>14A</w:t>
      </w:r>
      <w:r>
        <w:t>.</w:t>
      </w:r>
      <w:r>
        <w:tab/>
        <w:t xml:space="preserve">Powers and duties under section 13 not affected by certain powers under </w:t>
      </w:r>
      <w:r>
        <w:rPr>
          <w:i/>
          <w:iCs/>
        </w:rPr>
        <w:t>Emergency Management Act 2005</w:t>
      </w:r>
      <w:bookmarkEnd w:id="15"/>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16" w:name="_Toc392495346"/>
      <w:r>
        <w:rPr>
          <w:rStyle w:val="CharSectno"/>
        </w:rPr>
        <w:t>14B</w:t>
      </w:r>
      <w:r>
        <w:t>.</w:t>
      </w:r>
      <w:r>
        <w:tab/>
        <w:t>Powers of authorised persons and police officers during authorised periods</w:t>
      </w:r>
      <w:bookmarkEnd w:id="16"/>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by No. 25 of 2009 s. 6; amended by No. 22 of 2012 s. 49 and 69.]</w:t>
      </w:r>
    </w:p>
    <w:p>
      <w:pPr>
        <w:pStyle w:val="Heading5"/>
      </w:pPr>
      <w:bookmarkStart w:id="17" w:name="_Toc392495347"/>
      <w:r>
        <w:rPr>
          <w:rStyle w:val="CharSectno"/>
        </w:rPr>
        <w:t>14C</w:t>
      </w:r>
      <w:r>
        <w:t>.</w:t>
      </w:r>
      <w:r>
        <w:tab/>
        <w:t>Failure to comply with directions</w:t>
      </w:r>
      <w:bookmarkEnd w:id="17"/>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by No. 25 of 2009 s. 6; amended by No. 22 of 2012 s. 69.]</w:t>
      </w:r>
    </w:p>
    <w:p>
      <w:pPr>
        <w:pStyle w:val="Heading5"/>
        <w:rPr>
          <w:snapToGrid w:val="0"/>
        </w:rPr>
      </w:pPr>
      <w:bookmarkStart w:id="18" w:name="_Toc392495348"/>
      <w:r>
        <w:rPr>
          <w:rStyle w:val="CharSectno"/>
        </w:rPr>
        <w:t>14</w:t>
      </w:r>
      <w:r>
        <w:rPr>
          <w:snapToGrid w:val="0"/>
        </w:rPr>
        <w:t>.</w:t>
      </w:r>
      <w:r>
        <w:rPr>
          <w:snapToGrid w:val="0"/>
        </w:rPr>
        <w:tab/>
        <w:t>Certain persons may enter land or building for purposes of Act</w:t>
      </w:r>
      <w:bookmarkEnd w:id="18"/>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 No. 22 of 2012 s. 50.]</w:t>
      </w:r>
    </w:p>
    <w:p>
      <w:pPr>
        <w:pStyle w:val="Ednotedivision"/>
      </w:pPr>
      <w:r>
        <w:t>[Divisions 3 and 4 (s. 15</w:t>
      </w:r>
      <w:r>
        <w:noBreakHyphen/>
        <w:t>16E) deleted by No. 42 of 1998 s. 11(1).]</w:t>
      </w:r>
    </w:p>
    <w:p>
      <w:pPr>
        <w:pStyle w:val="Heading2"/>
      </w:pPr>
      <w:bookmarkStart w:id="19" w:name="_Toc381872697"/>
      <w:bookmarkStart w:id="20" w:name="_Toc381873765"/>
      <w:bookmarkStart w:id="21" w:name="_Toc392495349"/>
      <w:r>
        <w:rPr>
          <w:rStyle w:val="CharPartNo"/>
        </w:rPr>
        <w:t>Part III</w:t>
      </w:r>
      <w:r>
        <w:t> — </w:t>
      </w:r>
      <w:r>
        <w:rPr>
          <w:rStyle w:val="CharPartText"/>
        </w:rPr>
        <w:t>Prevention of bush fires</w:t>
      </w:r>
      <w:bookmarkEnd w:id="19"/>
      <w:bookmarkEnd w:id="20"/>
      <w:bookmarkEnd w:id="21"/>
    </w:p>
    <w:p>
      <w:pPr>
        <w:pStyle w:val="Ednotedivision"/>
        <w:rPr>
          <w:highlight w:val="cyan"/>
        </w:rPr>
      </w:pPr>
      <w:r>
        <w:t>[Division 1 deleted by No. 65 of 1977 s. 12.]</w:t>
      </w:r>
    </w:p>
    <w:p>
      <w:pPr>
        <w:pStyle w:val="Heading3"/>
      </w:pPr>
      <w:bookmarkStart w:id="22" w:name="_Toc381872698"/>
      <w:bookmarkStart w:id="23" w:name="_Toc381873766"/>
      <w:bookmarkStart w:id="24" w:name="_Toc392495350"/>
      <w:r>
        <w:rPr>
          <w:rStyle w:val="CharDivNo"/>
        </w:rPr>
        <w:t>Division 2</w:t>
      </w:r>
      <w:r>
        <w:rPr>
          <w:snapToGrid w:val="0"/>
        </w:rPr>
        <w:t> — </w:t>
      </w:r>
      <w:r>
        <w:rPr>
          <w:rStyle w:val="CharDivText"/>
        </w:rPr>
        <w:t>Prohibited burning times</w:t>
      </w:r>
      <w:bookmarkEnd w:id="22"/>
      <w:bookmarkEnd w:id="23"/>
      <w:bookmarkEnd w:id="24"/>
    </w:p>
    <w:p>
      <w:pPr>
        <w:pStyle w:val="Heading5"/>
        <w:rPr>
          <w:snapToGrid w:val="0"/>
        </w:rPr>
      </w:pPr>
      <w:bookmarkStart w:id="25" w:name="_Toc392495351"/>
      <w:r>
        <w:rPr>
          <w:rStyle w:val="CharSectno"/>
        </w:rPr>
        <w:t>17</w:t>
      </w:r>
      <w:r>
        <w:rPr>
          <w:snapToGrid w:val="0"/>
        </w:rPr>
        <w:t>.</w:t>
      </w:r>
      <w:r>
        <w:rPr>
          <w:snapToGrid w:val="0"/>
        </w:rPr>
        <w:tab/>
        <w:t>Prohibited burning times may be declared by Minister</w:t>
      </w:r>
      <w:bookmarkEnd w:id="25"/>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 No. 22 of 2012 s. 51 and 69.]</w:t>
      </w:r>
    </w:p>
    <w:p>
      <w:pPr>
        <w:pStyle w:val="Heading3"/>
      </w:pPr>
      <w:bookmarkStart w:id="26" w:name="_Toc381872700"/>
      <w:bookmarkStart w:id="27" w:name="_Toc381873768"/>
      <w:bookmarkStart w:id="28" w:name="_Toc392495352"/>
      <w:r>
        <w:rPr>
          <w:rStyle w:val="CharDivNo"/>
        </w:rPr>
        <w:t>Division 3</w:t>
      </w:r>
      <w:r>
        <w:rPr>
          <w:snapToGrid w:val="0"/>
        </w:rPr>
        <w:t> — </w:t>
      </w:r>
      <w:r>
        <w:rPr>
          <w:rStyle w:val="CharDivText"/>
        </w:rPr>
        <w:t>Restricted burning times</w:t>
      </w:r>
      <w:bookmarkEnd w:id="26"/>
      <w:bookmarkEnd w:id="27"/>
      <w:bookmarkEnd w:id="28"/>
    </w:p>
    <w:p>
      <w:pPr>
        <w:pStyle w:val="Heading5"/>
        <w:rPr>
          <w:snapToGrid w:val="0"/>
        </w:rPr>
      </w:pPr>
      <w:bookmarkStart w:id="29" w:name="_Toc392495353"/>
      <w:r>
        <w:rPr>
          <w:rStyle w:val="CharSectno"/>
        </w:rPr>
        <w:t>18</w:t>
      </w:r>
      <w:r>
        <w:rPr>
          <w:snapToGrid w:val="0"/>
        </w:rPr>
        <w:t>.</w:t>
      </w:r>
      <w:r>
        <w:rPr>
          <w:snapToGrid w:val="0"/>
        </w:rPr>
        <w:tab/>
        <w:t xml:space="preserve">Restricted burning times may be declared by </w:t>
      </w:r>
      <w:smartTag w:uri="urn:schemas-microsoft-com:office:smarttags" w:element="place">
        <w:r>
          <w:rPr>
            <w:snapToGrid w:val="0"/>
          </w:rPr>
          <w:t>FES</w:t>
        </w:r>
      </w:smartTag>
      <w:r>
        <w:rPr>
          <w:snapToGrid w:val="0"/>
        </w:rPr>
        <w:t xml:space="preserve"> Commissioner</w:t>
      </w:r>
      <w:bookmarkEnd w:id="29"/>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pPr>
      <w:r>
        <w:tab/>
      </w:r>
      <w:r>
        <w:tab/>
        <w:t>more than 14 successive days during a period that would, in the absence of the variation under subsection (5), be part of the restricted burning times for that zone in that year.</w:t>
      </w:r>
    </w:p>
    <w:p>
      <w:pPr>
        <w:pStyle w:val="Subsection"/>
        <w:keepLines/>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2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 No. 22 of 2012 s. 69.]</w:t>
      </w:r>
    </w:p>
    <w:p>
      <w:pPr>
        <w:pStyle w:val="Ednotesection"/>
        <w:spacing w:before="180"/>
      </w:pPr>
      <w:r>
        <w:t>[</w:t>
      </w:r>
      <w:r>
        <w:rPr>
          <w:b/>
        </w:rPr>
        <w:t>19.</w:t>
      </w:r>
      <w:r>
        <w:tab/>
        <w:t>Deleted by No. 65 of 1977 s. 15.]</w:t>
      </w:r>
    </w:p>
    <w:p>
      <w:pPr>
        <w:pStyle w:val="Heading5"/>
        <w:spacing w:before="180"/>
        <w:rPr>
          <w:snapToGrid w:val="0"/>
        </w:rPr>
      </w:pPr>
      <w:bookmarkStart w:id="30" w:name="_Toc392495354"/>
      <w:r>
        <w:rPr>
          <w:rStyle w:val="CharSectno"/>
        </w:rPr>
        <w:t>20</w:t>
      </w:r>
      <w:r>
        <w:rPr>
          <w:snapToGrid w:val="0"/>
        </w:rPr>
        <w:t>.</w:t>
      </w:r>
      <w:r>
        <w:rPr>
          <w:snapToGrid w:val="0"/>
        </w:rPr>
        <w:tab/>
        <w:t>Regulations as to restricted burning times</w:t>
      </w:r>
      <w:bookmarkEnd w:id="30"/>
    </w:p>
    <w:p>
      <w:pPr>
        <w:pStyle w:val="Subsection"/>
        <w:spacing w:before="12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2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2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31" w:name="_Toc381872703"/>
      <w:bookmarkStart w:id="32" w:name="_Toc381873771"/>
      <w:bookmarkStart w:id="33" w:name="_Toc392495355"/>
      <w:r>
        <w:rPr>
          <w:rStyle w:val="CharDivNo"/>
        </w:rPr>
        <w:t>Division 4</w:t>
      </w:r>
      <w:r>
        <w:t> — </w:t>
      </w:r>
      <w:r>
        <w:rPr>
          <w:rStyle w:val="CharDivText"/>
        </w:rPr>
        <w:t>Total fire ban</w:t>
      </w:r>
      <w:bookmarkEnd w:id="31"/>
      <w:bookmarkEnd w:id="32"/>
      <w:bookmarkEnd w:id="33"/>
    </w:p>
    <w:p>
      <w:pPr>
        <w:pStyle w:val="Footnoteheading"/>
        <w:spacing w:before="100"/>
      </w:pPr>
      <w:r>
        <w:tab/>
        <w:t>[Heading inserted by No. 25 of 2009 s. 7.]</w:t>
      </w:r>
    </w:p>
    <w:p>
      <w:pPr>
        <w:pStyle w:val="Heading5"/>
      </w:pPr>
      <w:bookmarkStart w:id="34" w:name="_Toc392495356"/>
      <w:r>
        <w:rPr>
          <w:rStyle w:val="CharSectno"/>
        </w:rPr>
        <w:t>21</w:t>
      </w:r>
      <w:r>
        <w:t>.</w:t>
      </w:r>
      <w:r>
        <w:tab/>
        <w:t>Terms used</w:t>
      </w:r>
      <w:bookmarkEnd w:id="34"/>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35" w:name="_Toc392495357"/>
      <w:r>
        <w:rPr>
          <w:rStyle w:val="CharSectno"/>
        </w:rPr>
        <w:t>22A</w:t>
      </w:r>
      <w:r>
        <w:t>.</w:t>
      </w:r>
      <w:r>
        <w:tab/>
        <w:t>Minister may declare total fire ban</w:t>
      </w:r>
      <w:bookmarkEnd w:id="35"/>
    </w:p>
    <w:p>
      <w:pPr>
        <w:pStyle w:val="Subsection"/>
      </w:pPr>
      <w:r>
        <w:tab/>
        <w:t>(1)</w:t>
      </w:r>
      <w:r>
        <w:tab/>
        <w:t>If the Minister is of the opinion that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pPr>
      <w:r>
        <w:tab/>
        <w:t>(a)</w:t>
      </w:r>
      <w:r>
        <w:tab/>
        <w:t>the period during which; and</w:t>
      </w:r>
    </w:p>
    <w:p>
      <w:pPr>
        <w:pStyle w:val="Indenta"/>
        <w:keepNext/>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36" w:name="_Toc392495358"/>
      <w:r>
        <w:rPr>
          <w:rStyle w:val="CharSectno"/>
        </w:rPr>
        <w:t>22B</w:t>
      </w:r>
      <w:r>
        <w:t>.</w:t>
      </w:r>
      <w:r>
        <w:tab/>
        <w:t>Lighting of fires prohibited during total fire ban</w:t>
      </w:r>
      <w:bookmarkEnd w:id="36"/>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keepLines/>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37" w:name="_Toc392495359"/>
      <w:r>
        <w:rPr>
          <w:rStyle w:val="CharSectno"/>
        </w:rPr>
        <w:t>22C</w:t>
      </w:r>
      <w:r>
        <w:t>.</w:t>
      </w:r>
      <w:r>
        <w:tab/>
        <w:t>Power of Minister to exempt from provisions of section 22B</w:t>
      </w:r>
      <w:bookmarkEnd w:id="37"/>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 amended by No. 22 of 2012 s. 52.]</w:t>
      </w:r>
    </w:p>
    <w:p>
      <w:pPr>
        <w:pStyle w:val="Heading3"/>
        <w:keepLines/>
        <w:spacing w:before="220"/>
      </w:pPr>
      <w:bookmarkStart w:id="38" w:name="_Toc381872708"/>
      <w:bookmarkStart w:id="39" w:name="_Toc381873776"/>
      <w:bookmarkStart w:id="40" w:name="_Toc392495360"/>
      <w:r>
        <w:rPr>
          <w:rStyle w:val="CharDivNo"/>
        </w:rPr>
        <w:t>Division 5</w:t>
      </w:r>
      <w:r>
        <w:rPr>
          <w:snapToGrid w:val="0"/>
        </w:rPr>
        <w:t> — </w:t>
      </w:r>
      <w:r>
        <w:rPr>
          <w:rStyle w:val="CharDivText"/>
        </w:rPr>
        <w:t>Burning during prohibited times and restricted times</w:t>
      </w:r>
      <w:bookmarkEnd w:id="38"/>
      <w:bookmarkEnd w:id="39"/>
      <w:bookmarkEnd w:id="40"/>
    </w:p>
    <w:p>
      <w:pPr>
        <w:pStyle w:val="Heading5"/>
        <w:spacing w:before="160"/>
        <w:rPr>
          <w:snapToGrid w:val="0"/>
        </w:rPr>
      </w:pPr>
      <w:bookmarkStart w:id="41" w:name="_Toc392495361"/>
      <w:r>
        <w:rPr>
          <w:rStyle w:val="CharSectno"/>
        </w:rPr>
        <w:t>22</w:t>
      </w:r>
      <w:r>
        <w:rPr>
          <w:snapToGrid w:val="0"/>
        </w:rPr>
        <w:t>.</w:t>
      </w:r>
      <w:r>
        <w:rPr>
          <w:snapToGrid w:val="0"/>
        </w:rPr>
        <w:tab/>
        <w:t>Burning on exempt land and land adjoining exempt land</w:t>
      </w:r>
      <w:bookmarkEnd w:id="41"/>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 and the boundary of which nearer to and parallel or approximately parallel with the boundary of the exempt land is not at any point, of a greater distance than 60 m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spacing w:before="120"/>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spacing w:before="120"/>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 and as specified by the local government.</w:t>
      </w:r>
    </w:p>
    <w:p>
      <w:pPr>
        <w:pStyle w:val="Subsection"/>
        <w:keepNext/>
        <w:spacing w:before="120"/>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spacing w:before="180"/>
        <w:rPr>
          <w:snapToGrid w:val="0"/>
        </w:rPr>
      </w:pPr>
      <w:bookmarkStart w:id="42" w:name="_Toc392495362"/>
      <w:r>
        <w:rPr>
          <w:rStyle w:val="CharSectno"/>
        </w:rPr>
        <w:t>23</w:t>
      </w:r>
      <w:r>
        <w:rPr>
          <w:snapToGrid w:val="0"/>
        </w:rPr>
        <w:t>.</w:t>
      </w:r>
      <w:r>
        <w:rPr>
          <w:snapToGrid w:val="0"/>
        </w:rPr>
        <w:tab/>
        <w:t>Burning during prohibited burning times</w:t>
      </w:r>
      <w:bookmarkEnd w:id="42"/>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 and</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 and</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 from the property to be protected; and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 apart and each of which is not less than 2 m in width;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43" w:name="_Toc392495363"/>
      <w:r>
        <w:rPr>
          <w:rStyle w:val="CharSectno"/>
        </w:rPr>
        <w:t>24</w:t>
      </w:r>
      <w:r>
        <w:rPr>
          <w:snapToGrid w:val="0"/>
        </w:rPr>
        <w:t>.</w:t>
      </w:r>
      <w:r>
        <w:rPr>
          <w:snapToGrid w:val="0"/>
        </w:rPr>
        <w:tab/>
        <w:t>Bush on land growing subterranean clover may be burnt during prohibited burning times</w:t>
      </w:r>
      <w:bookmarkEnd w:id="43"/>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44" w:name="_Toc392495364"/>
      <w:r>
        <w:rPr>
          <w:rStyle w:val="CharSectno"/>
        </w:rPr>
        <w:t>24A</w:t>
      </w:r>
      <w:r>
        <w:rPr>
          <w:snapToGrid w:val="0"/>
        </w:rPr>
        <w:t>.</w:t>
      </w:r>
      <w:r>
        <w:rPr>
          <w:snapToGrid w:val="0"/>
        </w:rPr>
        <w:tab/>
        <w:t>Bush on land in prescribed irrigation areas may be burnt during prohibited times for purpose of germinating clover</w:t>
      </w:r>
      <w:bookmarkEnd w:id="44"/>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45" w:name="_Toc392495365"/>
      <w:r>
        <w:rPr>
          <w:rStyle w:val="CharSectno"/>
        </w:rPr>
        <w:t>24B</w:t>
      </w:r>
      <w:r>
        <w:rPr>
          <w:snapToGrid w:val="0"/>
        </w:rPr>
        <w:t>.</w:t>
      </w:r>
      <w:r>
        <w:rPr>
          <w:snapToGrid w:val="0"/>
        </w:rPr>
        <w:tab/>
        <w:t>Production of permit to burn may be required</w:t>
      </w:r>
      <w:bookmarkEnd w:id="45"/>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spacing w:before="120"/>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 No. 22 of 2012 s. 53.]</w:t>
      </w:r>
    </w:p>
    <w:p>
      <w:pPr>
        <w:pStyle w:val="Heading5"/>
        <w:spacing w:before="180"/>
      </w:pPr>
      <w:bookmarkStart w:id="46" w:name="_Toc392495366"/>
      <w:r>
        <w:rPr>
          <w:rStyle w:val="CharSectno"/>
        </w:rPr>
        <w:t>24C</w:t>
      </w:r>
      <w:r>
        <w:t>.</w:t>
      </w:r>
      <w:r>
        <w:tab/>
        <w:t>Terms used</w:t>
      </w:r>
      <w:bookmarkEnd w:id="46"/>
    </w:p>
    <w:p>
      <w:pPr>
        <w:pStyle w:val="Subsection"/>
        <w:spacing w:before="120"/>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47" w:name="_Toc392495367"/>
      <w:r>
        <w:rPr>
          <w:rStyle w:val="CharSectno"/>
        </w:rPr>
        <w:t>24D</w:t>
      </w:r>
      <w:r>
        <w:t>.</w:t>
      </w:r>
      <w:r>
        <w:tab/>
        <w:t>Burning garden refuse prohibited if fire danger very high to catastrophic</w:t>
      </w:r>
      <w:bookmarkEnd w:id="47"/>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48" w:name="_Toc392495368"/>
      <w:r>
        <w:rPr>
          <w:rStyle w:val="CharSectno"/>
        </w:rPr>
        <w:t>24E</w:t>
      </w:r>
      <w:r>
        <w:t>.</w:t>
      </w:r>
      <w:r>
        <w:tab/>
        <w:t>Burning of garden refuse at rubbish tips</w:t>
      </w:r>
      <w:bookmarkEnd w:id="48"/>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keepLines/>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 and</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 amended by No. 22 of 2012 s. 54.]</w:t>
      </w:r>
    </w:p>
    <w:p>
      <w:pPr>
        <w:pStyle w:val="Heading5"/>
      </w:pPr>
      <w:bookmarkStart w:id="49" w:name="_Toc392495369"/>
      <w:r>
        <w:rPr>
          <w:rStyle w:val="CharSectno"/>
        </w:rPr>
        <w:t>24F</w:t>
      </w:r>
      <w:r>
        <w:t>.</w:t>
      </w:r>
      <w:r>
        <w:tab/>
        <w:t>Burning garden refuse during limited burning times</w:t>
      </w:r>
      <w:bookmarkEnd w:id="49"/>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 and</w:t>
      </w:r>
    </w:p>
    <w:p>
      <w:pPr>
        <w:pStyle w:val="Indenta"/>
        <w:keepNext/>
        <w:keepLines/>
      </w:pPr>
      <w:r>
        <w:tab/>
        <w:t>(b)</w:t>
      </w:r>
      <w:r>
        <w:tab/>
        <w:t>either —</w:t>
      </w:r>
    </w:p>
    <w:p>
      <w:pPr>
        <w:pStyle w:val="Indenti"/>
        <w:keepNext/>
        <w:keepLines/>
      </w:pPr>
      <w:r>
        <w:tab/>
        <w:t>(i)</w:t>
      </w:r>
      <w:r>
        <w:tab/>
        <w:t>the incinerator is situated 2 m or more away from any building or fence; or</w:t>
      </w:r>
    </w:p>
    <w:p>
      <w:pPr>
        <w:pStyle w:val="Indenti"/>
      </w:pPr>
      <w:r>
        <w:tab/>
        <w:t>(ii)</w:t>
      </w:r>
      <w:r>
        <w:tab/>
        <w:t>if the incinerator is within 2 m of a building or fence, the local government has given written permission for the incinerator to be used;</w:t>
      </w:r>
    </w:p>
    <w:p>
      <w:pPr>
        <w:pStyle w:val="Indenta"/>
      </w:pPr>
      <w:r>
        <w:tab/>
      </w:r>
      <w:r>
        <w:tab/>
        <w:t>and</w:t>
      </w:r>
    </w:p>
    <w:p>
      <w:pPr>
        <w:pStyle w:val="Indenta"/>
      </w:pPr>
      <w:r>
        <w:tab/>
        <w:t>(c)</w:t>
      </w:r>
      <w:r>
        <w:tab/>
        <w:t>there is no inflammable material within 2 m of the incinerator while it is in use; and</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 of the fire at any time while the fire is burning; and</w:t>
      </w:r>
    </w:p>
    <w:p>
      <w:pPr>
        <w:pStyle w:val="Indenta"/>
      </w:pPr>
      <w:r>
        <w:tab/>
        <w:t>(b)</w:t>
      </w:r>
      <w:r>
        <w:tab/>
        <w:t>the fire is lit between 6 p.m. and 11 p.m. and is completely extinguished before midnight on the same day; and</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50" w:name="_Toc392495370"/>
      <w:r>
        <w:rPr>
          <w:rStyle w:val="CharSectno"/>
        </w:rPr>
        <w:t>24G</w:t>
      </w:r>
      <w:r>
        <w:t>.</w:t>
      </w:r>
      <w:r>
        <w:tab/>
        <w:t>Minister or local government may further restrict burning of garden refuse</w:t>
      </w:r>
      <w:bookmarkEnd w:id="50"/>
    </w:p>
    <w:p>
      <w:pPr>
        <w:pStyle w:val="Subsection"/>
        <w:spacing w:before="180"/>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spacing w:before="180"/>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spacing w:before="180"/>
      </w:pPr>
      <w:r>
        <w:tab/>
        <w:t>(3)</w:t>
      </w:r>
      <w:r>
        <w:tab/>
        <w:t>A person must not burn garden refuse contrary to a prohibition or restriction imposed under this section.</w:t>
      </w:r>
    </w:p>
    <w:p>
      <w:pPr>
        <w:pStyle w:val="Penstart"/>
      </w:pPr>
      <w:r>
        <w:tab/>
        <w:t>Penalty: $3 000.</w:t>
      </w:r>
    </w:p>
    <w:p>
      <w:pPr>
        <w:pStyle w:val="Subsection"/>
        <w:spacing w:before="180"/>
      </w:pPr>
      <w:r>
        <w:tab/>
        <w:t>(4)</w:t>
      </w:r>
      <w:r>
        <w:tab/>
        <w:t>In a notice under this section the Minister or a local government must specify —</w:t>
      </w:r>
    </w:p>
    <w:p>
      <w:pPr>
        <w:pStyle w:val="Indenta"/>
      </w:pPr>
      <w:r>
        <w:tab/>
        <w:t>(a)</w:t>
      </w:r>
      <w:r>
        <w:tab/>
        <w:t>the person or class of persons to whom; and</w:t>
      </w:r>
    </w:p>
    <w:p>
      <w:pPr>
        <w:pStyle w:val="Indenta"/>
      </w:pPr>
      <w:r>
        <w:tab/>
        <w:t>(b)</w:t>
      </w:r>
      <w:r>
        <w:tab/>
        <w:t>the area in which; and</w:t>
      </w:r>
    </w:p>
    <w:p>
      <w:pPr>
        <w:pStyle w:val="Indenta"/>
      </w:pPr>
      <w:r>
        <w:tab/>
        <w:t>(c)</w:t>
      </w:r>
      <w:r>
        <w:tab/>
        <w:t>the period during which,</w:t>
      </w:r>
    </w:p>
    <w:p>
      <w:pPr>
        <w:pStyle w:val="Subsection"/>
        <w:spacing w:before="180"/>
      </w:pPr>
      <w:r>
        <w:tab/>
      </w:r>
      <w:r>
        <w:tab/>
        <w:t>the notice applies.</w:t>
      </w:r>
    </w:p>
    <w:p>
      <w:pPr>
        <w:pStyle w:val="Subsection"/>
        <w:spacing w:before="180"/>
      </w:pPr>
      <w:r>
        <w:tab/>
        <w:t>(5)</w:t>
      </w:r>
      <w:r>
        <w:tab/>
        <w:t>The Minister or a local government may vary or cancel a notice under subsection (1) or (2) by publishing a further notice under the relevant subsection.</w:t>
      </w:r>
    </w:p>
    <w:p>
      <w:pPr>
        <w:pStyle w:val="Footnotesection"/>
        <w:ind w:left="890" w:hanging="890"/>
      </w:pPr>
      <w:r>
        <w:tab/>
        <w:t>[Section 24G inserted by No. 38 of 2002 s. 24; amended by No. 22 of 2012 s. 55.]</w:t>
      </w:r>
    </w:p>
    <w:p>
      <w:pPr>
        <w:pStyle w:val="Heading5"/>
        <w:spacing w:before="240"/>
        <w:rPr>
          <w:snapToGrid w:val="0"/>
        </w:rPr>
      </w:pPr>
      <w:bookmarkStart w:id="51" w:name="_Toc392495371"/>
      <w:r>
        <w:rPr>
          <w:rStyle w:val="CharSectno"/>
        </w:rPr>
        <w:t>25</w:t>
      </w:r>
      <w:r>
        <w:rPr>
          <w:snapToGrid w:val="0"/>
        </w:rPr>
        <w:t>.</w:t>
      </w:r>
      <w:r>
        <w:rPr>
          <w:snapToGrid w:val="0"/>
        </w:rPr>
        <w:tab/>
        <w:t>No fire to be lit in open air unless certain precautions taken</w:t>
      </w:r>
      <w:bookmarkEnd w:id="51"/>
    </w:p>
    <w:p>
      <w:pPr>
        <w:pStyle w:val="Subsection"/>
        <w:spacing w:before="18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 of a log or stump and unless and until a space of ground around the site of the fire having a radius of at least 3 m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w:t>
      </w:r>
    </w:p>
    <w:p>
      <w:pPr>
        <w:pStyle w:val="Indenti"/>
        <w:rPr>
          <w:snapToGrid w:val="0"/>
        </w:rPr>
      </w:pPr>
      <w:r>
        <w:rPr>
          <w:snapToGrid w:val="0"/>
        </w:rPr>
        <w:tab/>
        <w:t>(ii)</w:t>
      </w:r>
      <w:r>
        <w:rPr>
          <w:snapToGrid w:val="0"/>
        </w:rPr>
        <w:tab/>
      </w:r>
      <w:r>
        <w:t>within</w:t>
      </w:r>
      <w:r>
        <w:rPr>
          <w:snapToGrid w:val="0"/>
        </w:rPr>
        <w:t xml:space="preserve"> a distance of 6 m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rPr>
          <w:snapToGrid w:val="0"/>
        </w:rPr>
      </w:pPr>
      <w:bookmarkStart w:id="52" w:name="_Toc392495372"/>
      <w:r>
        <w:rPr>
          <w:rStyle w:val="CharSectno"/>
        </w:rPr>
        <w:t>25A</w:t>
      </w:r>
      <w:r>
        <w:rPr>
          <w:snapToGrid w:val="0"/>
        </w:rPr>
        <w:t>.</w:t>
      </w:r>
      <w:r>
        <w:rPr>
          <w:snapToGrid w:val="0"/>
        </w:rPr>
        <w:tab/>
        <w:t>Power of Minister to exempt from provisions of section 25</w:t>
      </w:r>
      <w:bookmarkEnd w:id="52"/>
    </w:p>
    <w:p>
      <w:pPr>
        <w:pStyle w:val="Subsection"/>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 and</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rPr>
          <w:snapToGrid w:val="0"/>
        </w:rPr>
      </w:pPr>
      <w:r>
        <w:rPr>
          <w:snapToGrid w:val="0"/>
        </w:rPr>
        <w:tab/>
        <w:t>(2)</w:t>
      </w:r>
      <w:r>
        <w:rPr>
          <w:snapToGrid w:val="0"/>
        </w:rPr>
        <w:tab/>
        <w:t>An exemption granted by the Minister under this section —</w:t>
      </w:r>
    </w:p>
    <w:p>
      <w:pPr>
        <w:pStyle w:val="Indenta"/>
        <w:rPr>
          <w:snapToGrid w:val="0"/>
        </w:rPr>
      </w:pPr>
      <w:r>
        <w:rPr>
          <w:snapToGrid w:val="0"/>
        </w:rPr>
        <w:tab/>
        <w:t>(a)</w:t>
      </w:r>
      <w:r>
        <w:rPr>
          <w:snapToGrid w:val="0"/>
        </w:rPr>
        <w:tab/>
        <w:t>shall be in writing signed by the Minister; and</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 and</w:t>
      </w:r>
    </w:p>
    <w:p>
      <w:pPr>
        <w:pStyle w:val="Indenta"/>
        <w:rPr>
          <w:snapToGrid w:val="0"/>
        </w:rPr>
      </w:pPr>
      <w:r>
        <w:rPr>
          <w:snapToGrid w:val="0"/>
        </w:rPr>
        <w:tab/>
        <w:t>(c)</w:t>
      </w:r>
      <w:r>
        <w:rPr>
          <w:snapToGrid w:val="0"/>
        </w:rPr>
        <w:tab/>
        <w:t>is subject to such conditions as the Minister thinks fit to impose and specifies in the exemption; and</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keepNext/>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 No. 22 of 2012 s. 56.]</w:t>
      </w:r>
    </w:p>
    <w:p>
      <w:pPr>
        <w:pStyle w:val="Ednotesection"/>
        <w:ind w:left="890" w:hanging="890"/>
      </w:pPr>
      <w:r>
        <w:t>[</w:t>
      </w:r>
      <w:r>
        <w:rPr>
          <w:b/>
        </w:rPr>
        <w:t>25B.</w:t>
      </w:r>
      <w:r>
        <w:tab/>
        <w:t>Deleted by No. 38 of 2002 s. 27(1).]</w:t>
      </w:r>
    </w:p>
    <w:p>
      <w:pPr>
        <w:pStyle w:val="Heading5"/>
        <w:rPr>
          <w:snapToGrid w:val="0"/>
        </w:rPr>
      </w:pPr>
      <w:bookmarkStart w:id="53" w:name="_Toc392495373"/>
      <w:r>
        <w:rPr>
          <w:rStyle w:val="CharSectno"/>
        </w:rPr>
        <w:t>26</w:t>
      </w:r>
      <w:r>
        <w:rPr>
          <w:snapToGrid w:val="0"/>
        </w:rPr>
        <w:t>.</w:t>
      </w:r>
      <w:r>
        <w:rPr>
          <w:snapToGrid w:val="0"/>
        </w:rPr>
        <w:tab/>
        <w:t>Burning of plants to eradicate disease during prohibited burning times</w:t>
      </w:r>
      <w:bookmarkEnd w:id="53"/>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pPr>
      <w:r>
        <w:tab/>
        <w:t>(5)</w:t>
      </w:r>
      <w:r>
        <w:tab/>
        <w:t xml:space="preserve">In this section </w:t>
      </w:r>
      <w:r>
        <w:rPr>
          <w:b/>
          <w:i/>
        </w:rPr>
        <w:t>plant</w:t>
      </w:r>
      <w:r>
        <w:t xml:space="preserve"> does not include a plant that is a declared pest as that term is defined by the </w:t>
      </w:r>
      <w:r>
        <w:rPr>
          <w:i/>
          <w:iCs/>
        </w:rPr>
        <w:t>Biosecurity and Agriculture Management Act 2007</w:t>
      </w:r>
      <w:r>
        <w:t>.</w:t>
      </w:r>
    </w:p>
    <w:p>
      <w:pPr>
        <w:pStyle w:val="Footnotesection"/>
        <w:ind w:left="890" w:hanging="890"/>
      </w:pPr>
      <w:r>
        <w:tab/>
        <w:t>[Section 26 amended by No. 35 of 1957 s. 5; No. 113 of 1965 s. 8(1); No. 65 of 1977 s. 23 and 48;  No. 24 of 2007 s. 28(2); No. 38 of 2002 s. 39.]</w:t>
      </w:r>
    </w:p>
    <w:p>
      <w:pPr>
        <w:pStyle w:val="Heading5"/>
        <w:spacing w:before="180"/>
        <w:rPr>
          <w:snapToGrid w:val="0"/>
        </w:rPr>
      </w:pPr>
      <w:bookmarkStart w:id="54" w:name="_Toc392495374"/>
      <w:r>
        <w:rPr>
          <w:rStyle w:val="CharSectno"/>
        </w:rPr>
        <w:t>26A</w:t>
      </w:r>
      <w:r>
        <w:rPr>
          <w:snapToGrid w:val="0"/>
        </w:rPr>
        <w:t>.</w:t>
      </w:r>
      <w:r>
        <w:rPr>
          <w:snapToGrid w:val="0"/>
        </w:rPr>
        <w:tab/>
        <w:t>Burning of declared plants during prohibited burning times</w:t>
      </w:r>
      <w:bookmarkEnd w:id="54"/>
    </w:p>
    <w:p>
      <w:pPr>
        <w:pStyle w:val="Subsection"/>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[Section 26A inserted by No. 65 of 1977 s. 24; amended by No. 38 of 2002 s. 39; No. 24 of 2007 s. 28(3).]</w:t>
      </w:r>
    </w:p>
    <w:p>
      <w:pPr>
        <w:pStyle w:val="Heading3"/>
        <w:spacing w:before="200"/>
      </w:pPr>
      <w:bookmarkStart w:id="55" w:name="_Toc381872723"/>
      <w:bookmarkStart w:id="56" w:name="_Toc381873791"/>
      <w:bookmarkStart w:id="57" w:name="_Toc392495375"/>
      <w:r>
        <w:rPr>
          <w:rStyle w:val="CharDivNo"/>
        </w:rPr>
        <w:t>Division 6</w:t>
      </w:r>
      <w:r>
        <w:rPr>
          <w:snapToGrid w:val="0"/>
        </w:rPr>
        <w:t> — </w:t>
      </w:r>
      <w:r>
        <w:rPr>
          <w:rStyle w:val="CharDivText"/>
        </w:rPr>
        <w:t>General restrictions, prohibitions and offences</w:t>
      </w:r>
      <w:bookmarkEnd w:id="55"/>
      <w:bookmarkEnd w:id="56"/>
      <w:bookmarkEnd w:id="57"/>
    </w:p>
    <w:p>
      <w:pPr>
        <w:pStyle w:val="Heading5"/>
        <w:spacing w:before="180"/>
        <w:rPr>
          <w:snapToGrid w:val="0"/>
        </w:rPr>
      </w:pPr>
      <w:bookmarkStart w:id="58" w:name="_Toc392495376"/>
      <w:r>
        <w:rPr>
          <w:rStyle w:val="CharSectno"/>
        </w:rPr>
        <w:t>27</w:t>
      </w:r>
      <w:r>
        <w:rPr>
          <w:snapToGrid w:val="0"/>
        </w:rPr>
        <w:t>.</w:t>
      </w:r>
      <w:r>
        <w:rPr>
          <w:snapToGrid w:val="0"/>
        </w:rPr>
        <w:tab/>
        <w:t>Prohibition on use of tractors or engines except under certain conditions</w:t>
      </w:r>
      <w:bookmarkEnd w:id="58"/>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rPr>
          <w:snapToGrid w:val="0"/>
        </w:rPr>
      </w:pPr>
      <w:r>
        <w:rPr>
          <w:snapToGrid w:val="0"/>
        </w:rPr>
        <w:tab/>
        <w:t>(a)</w:t>
      </w:r>
      <w:r>
        <w:rPr>
          <w:snapToGrid w:val="0"/>
        </w:rPr>
        <w:tab/>
        <w:t>a tractor or self</w:t>
      </w:r>
      <w:r>
        <w:rPr>
          <w:snapToGrid w:val="0"/>
        </w:rPr>
        <w:noBreakHyphen/>
        <w:t>propelled harvester unless —</w:t>
      </w:r>
    </w:p>
    <w:p>
      <w:pPr>
        <w:pStyle w:val="Indenti"/>
        <w:rPr>
          <w:snapToGrid w:val="0"/>
        </w:rPr>
      </w:pPr>
      <w:r>
        <w:rPr>
          <w:snapToGrid w:val="0"/>
        </w:rPr>
        <w:tab/>
        <w:t>(i)</w:t>
      </w:r>
      <w:r>
        <w:rPr>
          <w:snapToGrid w:val="0"/>
        </w:rPr>
        <w:tab/>
        <w:t>its exhaust system, including pipes, is maintained in sound and efficient condition; and</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 and</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keepLines/>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59" w:name="_Toc392495377"/>
      <w:r>
        <w:rPr>
          <w:rStyle w:val="CharSectno"/>
        </w:rPr>
        <w:t>27A</w:t>
      </w:r>
      <w:r>
        <w:rPr>
          <w:snapToGrid w:val="0"/>
        </w:rPr>
        <w:t>.</w:t>
      </w:r>
      <w:r>
        <w:rPr>
          <w:snapToGrid w:val="0"/>
        </w:rPr>
        <w:tab/>
        <w:t>Regulation of blasting and matters likely to create bush fire danger</w:t>
      </w:r>
      <w:bookmarkEnd w:id="5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60" w:name="_Toc392495378"/>
      <w:r>
        <w:rPr>
          <w:rStyle w:val="CharSectno"/>
        </w:rPr>
        <w:t>27B</w:t>
      </w:r>
      <w:r>
        <w:rPr>
          <w:snapToGrid w:val="0"/>
        </w:rPr>
        <w:t>.</w:t>
      </w:r>
      <w:r>
        <w:rPr>
          <w:snapToGrid w:val="0"/>
        </w:rPr>
        <w:tab/>
        <w:t>False alarms</w:t>
      </w:r>
      <w:bookmarkEnd w:id="60"/>
    </w:p>
    <w:p>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 No. 22 of 2012 s. 57 and 69.]</w:t>
      </w:r>
    </w:p>
    <w:p>
      <w:pPr>
        <w:pStyle w:val="Heading5"/>
        <w:rPr>
          <w:snapToGrid w:val="0"/>
        </w:rPr>
      </w:pPr>
      <w:bookmarkStart w:id="61" w:name="_Toc392495379"/>
      <w:r>
        <w:rPr>
          <w:rStyle w:val="CharSectno"/>
        </w:rPr>
        <w:t>27C</w:t>
      </w:r>
      <w:r>
        <w:rPr>
          <w:snapToGrid w:val="0"/>
        </w:rPr>
        <w:t>.</w:t>
      </w:r>
      <w:r>
        <w:rPr>
          <w:snapToGrid w:val="0"/>
        </w:rPr>
        <w:tab/>
        <w:t>Vandalism</w:t>
      </w:r>
      <w:bookmarkEnd w:id="61"/>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 No. 22 of 2012 s. 69.]</w:t>
      </w:r>
    </w:p>
    <w:p>
      <w:pPr>
        <w:pStyle w:val="Heading5"/>
        <w:rPr>
          <w:snapToGrid w:val="0"/>
        </w:rPr>
      </w:pPr>
      <w:bookmarkStart w:id="62" w:name="_Toc392495380"/>
      <w:r>
        <w:rPr>
          <w:rStyle w:val="CharSectno"/>
        </w:rPr>
        <w:t>27D</w:t>
      </w:r>
      <w:r>
        <w:rPr>
          <w:snapToGrid w:val="0"/>
        </w:rPr>
        <w:t>.</w:t>
      </w:r>
      <w:r>
        <w:rPr>
          <w:snapToGrid w:val="0"/>
        </w:rPr>
        <w:tab/>
        <w:t>Requirements for carriage and deposit of incendiary material</w:t>
      </w:r>
      <w:bookmarkEnd w:id="62"/>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 and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63" w:name="_Toc392495381"/>
      <w:r>
        <w:rPr>
          <w:rStyle w:val="CharSectno"/>
        </w:rPr>
        <w:t>28</w:t>
      </w:r>
      <w:r>
        <w:rPr>
          <w:snapToGrid w:val="0"/>
        </w:rPr>
        <w:t>.</w:t>
      </w:r>
      <w:r>
        <w:rPr>
          <w:snapToGrid w:val="0"/>
        </w:rPr>
        <w:tab/>
        <w:t>Occupier of land to extinguish bush fire occurring on own land</w:t>
      </w:r>
      <w:bookmarkEnd w:id="63"/>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km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by No. 65 of 1977 s. 28.]</w:t>
      </w:r>
    </w:p>
    <w:p>
      <w:pPr>
        <w:pStyle w:val="Heading5"/>
        <w:spacing w:before="240"/>
        <w:rPr>
          <w:snapToGrid w:val="0"/>
        </w:rPr>
      </w:pPr>
      <w:bookmarkStart w:id="64" w:name="_Toc392495382"/>
      <w:r>
        <w:rPr>
          <w:rStyle w:val="CharSectno"/>
        </w:rPr>
        <w:t>30</w:t>
      </w:r>
      <w:r>
        <w:rPr>
          <w:snapToGrid w:val="0"/>
        </w:rPr>
        <w:t>.</w:t>
      </w:r>
      <w:r>
        <w:rPr>
          <w:snapToGrid w:val="0"/>
        </w:rPr>
        <w:tab/>
        <w:t>Disposal of burning cigarettes etc.</w:t>
      </w:r>
      <w:bookmarkEnd w:id="64"/>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65" w:name="_Toc392495383"/>
      <w:r>
        <w:rPr>
          <w:rStyle w:val="CharSectno"/>
        </w:rPr>
        <w:t>32</w:t>
      </w:r>
      <w:r>
        <w:rPr>
          <w:snapToGrid w:val="0"/>
        </w:rPr>
        <w:t>.</w:t>
      </w:r>
      <w:r>
        <w:rPr>
          <w:snapToGrid w:val="0"/>
        </w:rPr>
        <w:tab/>
        <w:t>Offences of lighting or attempting to light fire likely to injure</w:t>
      </w:r>
      <w:bookmarkEnd w:id="65"/>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66" w:name="_Toc392495384"/>
      <w:r>
        <w:rPr>
          <w:rStyle w:val="CharSectno"/>
        </w:rPr>
        <w:t>33</w:t>
      </w:r>
      <w:r>
        <w:rPr>
          <w:snapToGrid w:val="0"/>
        </w:rPr>
        <w:t>.</w:t>
      </w:r>
      <w:r>
        <w:rPr>
          <w:snapToGrid w:val="0"/>
        </w:rPr>
        <w:tab/>
        <w:t>Local government may require occupier of land to plough or clear fire</w:t>
      </w:r>
      <w:r>
        <w:rPr>
          <w:snapToGrid w:val="0"/>
        </w:rPr>
        <w:noBreakHyphen/>
        <w:t>break</w:t>
      </w:r>
      <w:bookmarkEnd w:id="66"/>
    </w:p>
    <w:p>
      <w:pPr>
        <w:pStyle w:val="Subsection"/>
        <w:spacing w:before="120"/>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spacing w:before="120"/>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spacing w:before="180"/>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keepNext/>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 and</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67" w:name="_Toc392495385"/>
      <w:r>
        <w:rPr>
          <w:rStyle w:val="CharSectno"/>
        </w:rPr>
        <w:t>34</w:t>
      </w:r>
      <w:r>
        <w:rPr>
          <w:snapToGrid w:val="0"/>
        </w:rPr>
        <w:t>.</w:t>
      </w:r>
      <w:r>
        <w:rPr>
          <w:snapToGrid w:val="0"/>
        </w:rPr>
        <w:tab/>
        <w:t>Burning on Crown lands</w:t>
      </w:r>
      <w:bookmarkEnd w:id="67"/>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 in width situated not more than 200 m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 No. 22 of 2012 s. 69.]</w:t>
      </w:r>
    </w:p>
    <w:p>
      <w:pPr>
        <w:pStyle w:val="Heading5"/>
        <w:rPr>
          <w:snapToGrid w:val="0"/>
        </w:rPr>
      </w:pPr>
      <w:bookmarkStart w:id="68" w:name="_Toc392495386"/>
      <w:r>
        <w:rPr>
          <w:rStyle w:val="CharSectno"/>
        </w:rPr>
        <w:t>35</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 on default by local government</w:t>
      </w:r>
      <w:bookmarkEnd w:id="68"/>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by No. 65 of 1977 s. 34 and 47; No. 60 of 1992 s. 11; No. 14 of 1996 s. 4; No. 42 of 1998 s. 16; No. 19 of 2010 s. 52(4); No. 22 of 2012 s. 59 and 69.]</w:t>
      </w:r>
    </w:p>
    <w:p>
      <w:pPr>
        <w:pStyle w:val="Heading2"/>
      </w:pPr>
      <w:bookmarkStart w:id="69" w:name="_Toc381872735"/>
      <w:bookmarkStart w:id="70" w:name="_Toc381873803"/>
      <w:bookmarkStart w:id="71" w:name="_Toc392495387"/>
      <w:r>
        <w:rPr>
          <w:rStyle w:val="CharPartNo"/>
        </w:rPr>
        <w:t>Part IV</w:t>
      </w:r>
      <w:r>
        <w:t> — </w:t>
      </w:r>
      <w:r>
        <w:rPr>
          <w:rStyle w:val="CharPartText"/>
        </w:rPr>
        <w:t>Control and extinguishment of bush fires</w:t>
      </w:r>
      <w:bookmarkEnd w:id="69"/>
      <w:bookmarkEnd w:id="70"/>
      <w:bookmarkEnd w:id="71"/>
    </w:p>
    <w:p>
      <w:pPr>
        <w:pStyle w:val="Heading3"/>
      </w:pPr>
      <w:bookmarkStart w:id="72" w:name="_Toc381872736"/>
      <w:bookmarkStart w:id="73" w:name="_Toc381873804"/>
      <w:bookmarkStart w:id="74" w:name="_Toc392495388"/>
      <w:r>
        <w:rPr>
          <w:rStyle w:val="CharDivNo"/>
        </w:rPr>
        <w:t>Division 1</w:t>
      </w:r>
      <w:r>
        <w:rPr>
          <w:snapToGrid w:val="0"/>
        </w:rPr>
        <w:t> — </w:t>
      </w:r>
      <w:r>
        <w:rPr>
          <w:rStyle w:val="CharDivText"/>
        </w:rPr>
        <w:t>Local governments</w:t>
      </w:r>
      <w:bookmarkEnd w:id="72"/>
      <w:bookmarkEnd w:id="73"/>
      <w:bookmarkEnd w:id="74"/>
    </w:p>
    <w:p>
      <w:pPr>
        <w:pStyle w:val="Footnoteheading"/>
        <w:ind w:left="890"/>
        <w:rPr>
          <w:snapToGrid w:val="0"/>
        </w:rPr>
      </w:pPr>
      <w:r>
        <w:rPr>
          <w:snapToGrid w:val="0"/>
        </w:rPr>
        <w:tab/>
        <w:t>[Heading amended by No. 14 of 1996 s. 4.]</w:t>
      </w:r>
    </w:p>
    <w:p>
      <w:pPr>
        <w:pStyle w:val="Heading5"/>
        <w:rPr>
          <w:snapToGrid w:val="0"/>
        </w:rPr>
      </w:pPr>
      <w:bookmarkStart w:id="75" w:name="_Toc392495389"/>
      <w:r>
        <w:rPr>
          <w:rStyle w:val="CharSectno"/>
        </w:rPr>
        <w:t>35A</w:t>
      </w:r>
      <w:r>
        <w:rPr>
          <w:snapToGrid w:val="0"/>
        </w:rPr>
        <w:t>.</w:t>
      </w:r>
      <w:r>
        <w:rPr>
          <w:snapToGrid w:val="0"/>
        </w:rPr>
        <w:tab/>
        <w:t>Terms used</w:t>
      </w:r>
      <w:bookmarkEnd w:id="75"/>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76" w:name="_Toc392495390"/>
      <w:r>
        <w:rPr>
          <w:rStyle w:val="CharSectno"/>
        </w:rPr>
        <w:t>36</w:t>
      </w:r>
      <w:r>
        <w:rPr>
          <w:snapToGrid w:val="0"/>
        </w:rPr>
        <w:t>.</w:t>
      </w:r>
      <w:r>
        <w:rPr>
          <w:snapToGrid w:val="0"/>
        </w:rPr>
        <w:tab/>
        <w:t>Local government may expend moneys in connection with control and extinguishment of bush fires</w:t>
      </w:r>
      <w:bookmarkEnd w:id="76"/>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ind w:left="890" w:hanging="890"/>
      </w:pPr>
      <w:r>
        <w:tab/>
        <w:t>[Section 36 amended by No. 11 of 1963 s. 17; No. 51 of 1979 s. 5; No. 60 of 1992 s. 19; No. 14 of 1996 s. 4; No. 57 of 1997 s. 26(2).]</w:t>
      </w:r>
    </w:p>
    <w:p>
      <w:pPr>
        <w:pStyle w:val="Heading5"/>
        <w:rPr>
          <w:snapToGrid w:val="0"/>
        </w:rPr>
      </w:pPr>
      <w:bookmarkStart w:id="77" w:name="_Toc392495391"/>
      <w:r>
        <w:rPr>
          <w:rStyle w:val="CharSectno"/>
        </w:rPr>
        <w:t>37</w:t>
      </w:r>
      <w:r>
        <w:rPr>
          <w:snapToGrid w:val="0"/>
        </w:rPr>
        <w:t>.</w:t>
      </w:r>
      <w:r>
        <w:rPr>
          <w:snapToGrid w:val="0"/>
        </w:rPr>
        <w:tab/>
        <w:t>Local government to insure certain persons</w:t>
      </w:r>
      <w:bookmarkEnd w:id="77"/>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 or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spacing w:before="180"/>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spacing w:before="180"/>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spacing w:before="240"/>
        <w:rPr>
          <w:snapToGrid w:val="0"/>
        </w:rPr>
      </w:pPr>
      <w:bookmarkStart w:id="78" w:name="_Toc392495392"/>
      <w:r>
        <w:rPr>
          <w:rStyle w:val="CharSectno"/>
        </w:rPr>
        <w:t>38</w:t>
      </w:r>
      <w:r>
        <w:rPr>
          <w:snapToGrid w:val="0"/>
        </w:rPr>
        <w:t>.</w:t>
      </w:r>
      <w:r>
        <w:rPr>
          <w:snapToGrid w:val="0"/>
        </w:rPr>
        <w:tab/>
        <w:t>Local government may appoint bush fire control officer</w:t>
      </w:r>
      <w:bookmarkEnd w:id="78"/>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smartTag w:uri="urn:schemas-microsoft-com:office:smarttags" w:element="place">
        <w:r>
          <w:t>FES</w:t>
        </w:r>
      </w:smartTag>
      <w:r>
        <w:t xml:space="preserve"> Commissioner</w:t>
      </w:r>
      <w:r>
        <w:rPr>
          <w:snapToGrid w:val="0"/>
        </w:rPr>
        <w:t xml:space="preserve">, by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An approved local government may appoint a committee for the purpose of advising and assisting a fire weather officer or any deputy of a fire weather officer acting in the place of that officer under this</w:t>
      </w:r>
      <w:r>
        <w:t xml:space="preserve"> 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 No. 22 of 2012 s. 60 and 69.]</w:t>
      </w:r>
    </w:p>
    <w:p>
      <w:pPr>
        <w:pStyle w:val="Heading5"/>
        <w:spacing w:before="180"/>
      </w:pPr>
      <w:bookmarkStart w:id="79" w:name="_Toc392495393"/>
      <w:r>
        <w:rPr>
          <w:rStyle w:val="CharSectno"/>
        </w:rPr>
        <w:t>38A</w:t>
      </w:r>
      <w:r>
        <w:t>.</w:t>
      </w:r>
      <w:r>
        <w:tab/>
      </w:r>
      <w:smartTag w:uri="urn:schemas-microsoft-com:office:smarttags" w:element="place">
        <w:r>
          <w:t>FES</w:t>
        </w:r>
      </w:smartTag>
      <w:r>
        <w:t xml:space="preserve"> Commissioner may designate person employed in Department as Chief Bush Fire Control Officer</w:t>
      </w:r>
      <w:bookmarkEnd w:id="79"/>
    </w:p>
    <w:p>
      <w:pPr>
        <w:pStyle w:val="Subsection"/>
      </w:pPr>
      <w:r>
        <w:tab/>
        <w:t>(1)</w:t>
      </w:r>
      <w:r>
        <w:tab/>
        <w:t>At the request of a local government the FES Commissioner may designate a person employed in the Department as the Chief Bush Fire Control Officer for the district of that local government.</w:t>
      </w:r>
    </w:p>
    <w:p>
      <w:pPr>
        <w:pStyle w:val="Subsection"/>
      </w:pPr>
      <w:r>
        <w:tab/>
        <w:t>(2)</w:t>
      </w:r>
      <w:r>
        <w:tab/>
        <w:t>Where a Chief Bush Fire Control Officer has been designated under subsection (1) for a district the local government is not to appoint a Chief Bush Fire Control Officer under section 38(1).</w:t>
      </w:r>
    </w:p>
    <w:p>
      <w:pPr>
        <w:pStyle w:val="Subsection"/>
        <w:spacing w:before="140"/>
      </w:pPr>
      <w:r>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keepNext/>
        <w:spacing w:before="14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FES Commissioner.</w:t>
      </w:r>
    </w:p>
    <w:p>
      <w:pPr>
        <w:pStyle w:val="Footnotesection"/>
        <w:keepLines w:val="0"/>
        <w:spacing w:before="80"/>
        <w:ind w:left="890" w:hanging="890"/>
      </w:pPr>
      <w:r>
        <w:tab/>
        <w:t>[Section 38A inserted by No. 38 of 2002 s. 30; amended by No. 19 of 2010 s. 52(4); No. 22 of 2012 s. 61 and 69.]</w:t>
      </w:r>
    </w:p>
    <w:p>
      <w:pPr>
        <w:pStyle w:val="Heading5"/>
        <w:rPr>
          <w:snapToGrid w:val="0"/>
        </w:rPr>
      </w:pPr>
      <w:bookmarkStart w:id="80" w:name="_Toc392495394"/>
      <w:r>
        <w:rPr>
          <w:rStyle w:val="CharSectno"/>
        </w:rPr>
        <w:t>39</w:t>
      </w:r>
      <w:r>
        <w:rPr>
          <w:snapToGrid w:val="0"/>
        </w:rPr>
        <w:t>.</w:t>
      </w:r>
      <w:r>
        <w:rPr>
          <w:snapToGrid w:val="0"/>
        </w:rPr>
        <w:tab/>
        <w:t>Special powers of bush fire control officers</w:t>
      </w:r>
      <w:bookmarkEnd w:id="80"/>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 and</w:t>
      </w:r>
    </w:p>
    <w:p>
      <w:pPr>
        <w:pStyle w:val="Indenta"/>
        <w:rPr>
          <w:snapToGrid w:val="0"/>
        </w:rPr>
      </w:pPr>
      <w:r>
        <w:rPr>
          <w:snapToGrid w:val="0"/>
        </w:rPr>
        <w:tab/>
        <w:t>(b)</w:t>
      </w:r>
      <w:r>
        <w:rPr>
          <w:snapToGrid w:val="0"/>
        </w:rPr>
        <w:tab/>
        <w:t>enter any land or building, whether private property or not; and</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 and</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 and</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 and</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 and</w:t>
      </w:r>
    </w:p>
    <w:p>
      <w:pPr>
        <w:pStyle w:val="Indenta"/>
        <w:rPr>
          <w:snapToGrid w:val="0"/>
        </w:rPr>
      </w:pPr>
      <w:r>
        <w:rPr>
          <w:snapToGrid w:val="0"/>
        </w:rPr>
        <w:tab/>
        <w:t>(g)</w:t>
      </w:r>
      <w:r>
        <w:rPr>
          <w:snapToGrid w:val="0"/>
        </w:rPr>
        <w:tab/>
        <w:t>any other thing which in his opinion is incidental to the exercise of any of the foregoing powers; and</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20"/>
      </w:pPr>
      <w:r>
        <w:tab/>
        <w:t>[(2)</w:t>
      </w:r>
      <w:r>
        <w:tab/>
        <w:t>deleted]</w:t>
      </w:r>
    </w:p>
    <w:p>
      <w:pPr>
        <w:pStyle w:val="Footnotesection"/>
        <w:ind w:left="890" w:hanging="890"/>
      </w:pPr>
      <w:r>
        <w:tab/>
        <w:t>[Section 39 amended by No. 11 of 1963 s. 19; No. 51 of 1979 s. 5; No. 8 of 1987 s. 4; No. 14 of 1996 s. 4; No. 38 of 2002 s. 31 and 40; No. 25 of 2009 s. 13; No. 22 of 2012 s. 62.]</w:t>
      </w:r>
    </w:p>
    <w:p>
      <w:pPr>
        <w:pStyle w:val="Heading5"/>
        <w:rPr>
          <w:snapToGrid w:val="0"/>
        </w:rPr>
      </w:pPr>
      <w:bookmarkStart w:id="81" w:name="_Toc392495395"/>
      <w:r>
        <w:rPr>
          <w:rStyle w:val="CharSectno"/>
        </w:rPr>
        <w:t>39A</w:t>
      </w:r>
      <w:r>
        <w:rPr>
          <w:snapToGrid w:val="0"/>
        </w:rPr>
        <w:t>.</w:t>
      </w:r>
      <w:r>
        <w:rPr>
          <w:snapToGrid w:val="0"/>
        </w:rPr>
        <w:tab/>
        <w:t>Duties of bush fire authorities on outbreak of fire</w:t>
      </w:r>
      <w:bookmarkEnd w:id="81"/>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w:t>
      </w:r>
    </w:p>
    <w:p>
      <w:pPr>
        <w:pStyle w:val="Indenta"/>
        <w:rPr>
          <w:snapToGrid w:val="0"/>
        </w:rPr>
      </w:pPr>
      <w:r>
        <w:rPr>
          <w:snapToGrid w:val="0"/>
        </w:rPr>
        <w:tab/>
        <w:t>(a)</w:t>
      </w:r>
      <w:r>
        <w:rPr>
          <w:snapToGrid w:val="0"/>
        </w:rPr>
        <w:tab/>
        <w:t>have been lit or are maintained unlawfully; or</w:t>
      </w:r>
    </w:p>
    <w:p>
      <w:pPr>
        <w:pStyle w:val="Indenta"/>
        <w:rPr>
          <w:snapToGrid w:val="0"/>
        </w:rPr>
      </w:pPr>
      <w:r>
        <w:rPr>
          <w:snapToGrid w:val="0"/>
        </w:rPr>
        <w:tab/>
        <w:t>(b)</w:t>
      </w:r>
      <w:r>
        <w:rPr>
          <w:snapToGrid w:val="0"/>
        </w:rPr>
        <w:tab/>
        <w:t>have occurred accidentally; or</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82" w:name="_Toc392495396"/>
      <w:r>
        <w:rPr>
          <w:rStyle w:val="CharSectno"/>
        </w:rPr>
        <w:t>40</w:t>
      </w:r>
      <w:r>
        <w:rPr>
          <w:snapToGrid w:val="0"/>
        </w:rPr>
        <w:t>.</w:t>
      </w:r>
      <w:r>
        <w:rPr>
          <w:snapToGrid w:val="0"/>
        </w:rPr>
        <w:tab/>
        <w:t>Local governments may join in appointing and employing bush fire control officers</w:t>
      </w:r>
      <w:bookmarkEnd w:id="82"/>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keepNext w:val="0"/>
      </w:pPr>
      <w:bookmarkStart w:id="83" w:name="_Toc381872745"/>
      <w:bookmarkStart w:id="84" w:name="_Toc381873813"/>
      <w:bookmarkStart w:id="85" w:name="_Toc392495397"/>
      <w:r>
        <w:rPr>
          <w:rStyle w:val="CharDivNo"/>
        </w:rPr>
        <w:t>Division 2</w:t>
      </w:r>
      <w:r>
        <w:rPr>
          <w:snapToGrid w:val="0"/>
        </w:rPr>
        <w:t> — </w:t>
      </w:r>
      <w:r>
        <w:rPr>
          <w:rStyle w:val="CharDivText"/>
        </w:rPr>
        <w:t>Bush fire brigades</w:t>
      </w:r>
      <w:bookmarkEnd w:id="83"/>
      <w:bookmarkEnd w:id="84"/>
      <w:bookmarkEnd w:id="85"/>
    </w:p>
    <w:p>
      <w:pPr>
        <w:pStyle w:val="Heading5"/>
        <w:spacing w:before="280"/>
        <w:rPr>
          <w:snapToGrid w:val="0"/>
        </w:rPr>
      </w:pPr>
      <w:bookmarkStart w:id="86" w:name="_Toc392495398"/>
      <w:r>
        <w:rPr>
          <w:rStyle w:val="CharSectno"/>
        </w:rPr>
        <w:t>41</w:t>
      </w:r>
      <w:r>
        <w:rPr>
          <w:snapToGrid w:val="0"/>
        </w:rPr>
        <w:t>.</w:t>
      </w:r>
      <w:r>
        <w:rPr>
          <w:snapToGrid w:val="0"/>
        </w:rPr>
        <w:tab/>
        <w:t>Bush fire brigades</w:t>
      </w:r>
      <w:bookmarkEnd w:id="86"/>
    </w:p>
    <w:p>
      <w:pPr>
        <w:pStyle w:val="Subsection"/>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 No. 22 of 2012 s. 69.]</w:t>
      </w:r>
    </w:p>
    <w:p>
      <w:pPr>
        <w:pStyle w:val="Heading5"/>
        <w:spacing w:before="200"/>
        <w:rPr>
          <w:snapToGrid w:val="0"/>
        </w:rPr>
      </w:pPr>
      <w:bookmarkStart w:id="87" w:name="_Toc392495399"/>
      <w:r>
        <w:rPr>
          <w:rStyle w:val="CharSectno"/>
        </w:rPr>
        <w:t>42</w:t>
      </w:r>
      <w:r>
        <w:rPr>
          <w:snapToGrid w:val="0"/>
        </w:rPr>
        <w:t>.</w:t>
      </w:r>
      <w:r>
        <w:rPr>
          <w:snapToGrid w:val="0"/>
        </w:rPr>
        <w:tab/>
        <w:t>Local governments may join in establishing bush fire brigade</w:t>
      </w:r>
      <w:bookmarkEnd w:id="87"/>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88" w:name="_Toc392495400"/>
      <w:r>
        <w:rPr>
          <w:rStyle w:val="CharSectno"/>
        </w:rPr>
        <w:t>42A</w:t>
      </w:r>
      <w:r>
        <w:t>.</w:t>
      </w:r>
      <w:r>
        <w:tab/>
        <w:t>Constitution of bush fire brigade</w:t>
      </w:r>
      <w:bookmarkEnd w:id="88"/>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89" w:name="_Toc392495401"/>
      <w:r>
        <w:rPr>
          <w:rStyle w:val="CharSectno"/>
        </w:rPr>
        <w:t>43</w:t>
      </w:r>
      <w:r>
        <w:rPr>
          <w:snapToGrid w:val="0"/>
        </w:rPr>
        <w:t>.</w:t>
      </w:r>
      <w:r>
        <w:rPr>
          <w:snapToGrid w:val="0"/>
        </w:rPr>
        <w:tab/>
        <w:t>Election and duties of officers of bush fire brigades</w:t>
      </w:r>
      <w:bookmarkEnd w:id="89"/>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90" w:name="_Toc392495402"/>
      <w:r>
        <w:rPr>
          <w:rStyle w:val="CharSectno"/>
        </w:rPr>
        <w:t>44</w:t>
      </w:r>
      <w:r>
        <w:rPr>
          <w:snapToGrid w:val="0"/>
        </w:rPr>
        <w:t>.</w:t>
      </w:r>
      <w:r>
        <w:rPr>
          <w:snapToGrid w:val="0"/>
        </w:rPr>
        <w:tab/>
        <w:t>Powers and authorities of officers of bush fire brigade</w:t>
      </w:r>
      <w:bookmarkEnd w:id="90"/>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w:t>
      </w:r>
    </w:p>
    <w:p>
      <w:pPr>
        <w:pStyle w:val="Heading5"/>
      </w:pPr>
      <w:bookmarkStart w:id="91" w:name="_Toc392495403"/>
      <w:r>
        <w:rPr>
          <w:rStyle w:val="CharSectno"/>
        </w:rPr>
        <w:t>45A</w:t>
      </w:r>
      <w:r>
        <w:t>.</w:t>
      </w:r>
      <w:r>
        <w:tab/>
        <w:t>Requests to authorised CALM Act officers to take control of bush fires</w:t>
      </w:r>
      <w:bookmarkEnd w:id="91"/>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FES Commissioner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keepNext/>
      </w:pPr>
      <w:r>
        <w:tab/>
        <w:t>(b)</w:t>
      </w:r>
      <w:r>
        <w:tab/>
        <w:t>subject to section 45(5) and (6), the officer has in relation to the fire the powers, authorities and control referred to in section 45(2) and (3).</w:t>
      </w:r>
    </w:p>
    <w:p>
      <w:pPr>
        <w:pStyle w:val="Footnotesection"/>
      </w:pPr>
      <w:r>
        <w:tab/>
        <w:t>[Section 45A inserted by No. 25 of 2009 s. 15; amended by No. 22 of 2012 s. 69.]</w:t>
      </w:r>
    </w:p>
    <w:p>
      <w:pPr>
        <w:pStyle w:val="Heading5"/>
        <w:spacing w:before="200"/>
        <w:rPr>
          <w:snapToGrid w:val="0"/>
        </w:rPr>
      </w:pPr>
      <w:bookmarkStart w:id="92" w:name="_Toc392495404"/>
      <w:r>
        <w:rPr>
          <w:rStyle w:val="CharSectno"/>
        </w:rPr>
        <w:t>45</w:t>
      </w:r>
      <w:r>
        <w:rPr>
          <w:snapToGrid w:val="0"/>
        </w:rPr>
        <w:t>.</w:t>
      </w:r>
      <w:r>
        <w:rPr>
          <w:snapToGrid w:val="0"/>
        </w:rPr>
        <w:tab/>
        <w:t>Powers and authorities exercisable by authorised CALM Act officers</w:t>
      </w:r>
      <w:bookmarkEnd w:id="92"/>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ind w:left="890" w:hanging="890"/>
      </w:pPr>
      <w:r>
        <w:tab/>
        <w:t>[Section 45 amended by No. 11 of 1963 s. 20; No. 8 of 1987 s. 5; No. 38 of 2002 s. 40(1); No. 25 of 2009 s. 16; No. 22 of 2012 s. 69.]</w:t>
      </w:r>
    </w:p>
    <w:p>
      <w:pPr>
        <w:pStyle w:val="Heading5"/>
        <w:rPr>
          <w:snapToGrid w:val="0"/>
        </w:rPr>
      </w:pPr>
      <w:bookmarkStart w:id="93" w:name="_Toc392495405"/>
      <w:r>
        <w:rPr>
          <w:rStyle w:val="CharSectno"/>
        </w:rPr>
        <w:t>46</w:t>
      </w:r>
      <w:r>
        <w:rPr>
          <w:snapToGrid w:val="0"/>
        </w:rPr>
        <w:t>.</w:t>
      </w:r>
      <w:r>
        <w:rPr>
          <w:snapToGrid w:val="0"/>
        </w:rPr>
        <w:tab/>
        <w:t>Bush fire control officer or forest officer may postpone lighting fire</w:t>
      </w:r>
      <w:bookmarkEnd w:id="93"/>
    </w:p>
    <w:p>
      <w:pPr>
        <w:pStyle w:val="Subsection"/>
        <w:keepNext/>
        <w:rPr>
          <w:snapToGrid w:val="0"/>
        </w:rPr>
      </w:pPr>
      <w:r>
        <w:rPr>
          <w:snapToGrid w:val="0"/>
        </w:rPr>
        <w:tab/>
        <w:t>(1A)</w:t>
      </w:r>
      <w:r>
        <w:rPr>
          <w:snapToGrid w:val="0"/>
        </w:rPr>
        <w:tab/>
        <w:t>Notwithstanding any other provision of this Act —</w:t>
      </w:r>
    </w:p>
    <w:p>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km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94" w:name="_Toc392495406"/>
      <w:r>
        <w:rPr>
          <w:rStyle w:val="CharSectno"/>
        </w:rPr>
        <w:t>47</w:t>
      </w:r>
      <w:r>
        <w:rPr>
          <w:snapToGrid w:val="0"/>
        </w:rPr>
        <w:t>.</w:t>
      </w:r>
      <w:r>
        <w:rPr>
          <w:snapToGrid w:val="0"/>
        </w:rPr>
        <w:tab/>
        <w:t>Fire</w:t>
      </w:r>
      <w:r>
        <w:rPr>
          <w:snapToGrid w:val="0"/>
        </w:rPr>
        <w:noBreakHyphen/>
        <w:t>break not to be lit when bush fire burning</w:t>
      </w:r>
      <w:bookmarkEnd w:id="94"/>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95" w:name="_Toc381872755"/>
      <w:bookmarkStart w:id="96" w:name="_Toc381873823"/>
      <w:bookmarkStart w:id="97" w:name="_Toc392495407"/>
      <w:r>
        <w:rPr>
          <w:rStyle w:val="CharPartNo"/>
        </w:rPr>
        <w:t>Part V</w:t>
      </w:r>
      <w:r>
        <w:rPr>
          <w:rStyle w:val="CharDivNo"/>
        </w:rPr>
        <w:t> </w:t>
      </w:r>
      <w:r>
        <w:t>—</w:t>
      </w:r>
      <w:r>
        <w:rPr>
          <w:rStyle w:val="CharDivText"/>
        </w:rPr>
        <w:t> </w:t>
      </w:r>
      <w:r>
        <w:rPr>
          <w:rStyle w:val="CharPartText"/>
        </w:rPr>
        <w:t>Miscellaneous</w:t>
      </w:r>
      <w:bookmarkEnd w:id="95"/>
      <w:bookmarkEnd w:id="96"/>
      <w:bookmarkEnd w:id="97"/>
    </w:p>
    <w:p>
      <w:pPr>
        <w:pStyle w:val="Heading5"/>
      </w:pPr>
      <w:bookmarkStart w:id="98" w:name="_Toc392495408"/>
      <w:r>
        <w:rPr>
          <w:rStyle w:val="CharSectno"/>
        </w:rPr>
        <w:t>48</w:t>
      </w:r>
      <w:r>
        <w:t>.</w:t>
      </w:r>
      <w:r>
        <w:tab/>
        <w:t>Delegation by local governments</w:t>
      </w:r>
      <w:bookmarkEnd w:id="98"/>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99" w:name="_Toc392495409"/>
      <w:r>
        <w:rPr>
          <w:rStyle w:val="CharSectno"/>
        </w:rPr>
        <w:t>50</w:t>
      </w:r>
      <w:r>
        <w:rPr>
          <w:snapToGrid w:val="0"/>
        </w:rPr>
        <w:t>.</w:t>
      </w:r>
      <w:r>
        <w:rPr>
          <w:snapToGrid w:val="0"/>
        </w:rPr>
        <w:tab/>
        <w:t>Records to be maintained by local governments</w:t>
      </w:r>
      <w:bookmarkEnd w:id="99"/>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 No. 22 of 2012 s. 69.]</w:t>
      </w:r>
    </w:p>
    <w:p>
      <w:pPr>
        <w:pStyle w:val="Heading5"/>
        <w:rPr>
          <w:snapToGrid w:val="0"/>
        </w:rPr>
      </w:pPr>
      <w:bookmarkStart w:id="100" w:name="_Toc392495410"/>
      <w:r>
        <w:rPr>
          <w:rStyle w:val="CharSectno"/>
        </w:rPr>
        <w:t>51</w:t>
      </w:r>
      <w:r>
        <w:rPr>
          <w:snapToGrid w:val="0"/>
        </w:rPr>
        <w:t>.</w:t>
      </w:r>
      <w:r>
        <w:rPr>
          <w:snapToGrid w:val="0"/>
        </w:rPr>
        <w:tab/>
        <w:t>Saving of remedies</w:t>
      </w:r>
      <w:bookmarkEnd w:id="100"/>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keepNext/>
        <w:rPr>
          <w:snapToGrid w:val="0"/>
        </w:rPr>
      </w:pPr>
      <w:r>
        <w:rPr>
          <w:snapToGrid w:val="0"/>
        </w:rPr>
        <w:tab/>
        <w:t>(3)</w:t>
      </w:r>
      <w:r>
        <w:rPr>
          <w:snapToGrid w:val="0"/>
        </w:rPr>
        <w:tab/>
        <w:t>The provisions of the last preceding subsection do not prejudice or affect those of section 37 of the</w:t>
      </w:r>
      <w:r>
        <w:t xml:space="preserve"> FES Act.</w:t>
      </w:r>
    </w:p>
    <w:p>
      <w:pPr>
        <w:pStyle w:val="Footnotesection"/>
        <w:ind w:left="890" w:hanging="890"/>
      </w:pPr>
      <w:r>
        <w:tab/>
        <w:t>[Section 51 amended by No. 42 of 1998 s. 12; No. 22 of 2012 s. 63.]</w:t>
      </w:r>
    </w:p>
    <w:p>
      <w:pPr>
        <w:pStyle w:val="Heading5"/>
        <w:spacing w:before="240"/>
        <w:rPr>
          <w:snapToGrid w:val="0"/>
        </w:rPr>
      </w:pPr>
      <w:bookmarkStart w:id="101" w:name="_Toc392495411"/>
      <w:r>
        <w:rPr>
          <w:rStyle w:val="CharSectno"/>
        </w:rPr>
        <w:t>52</w:t>
      </w:r>
      <w:r>
        <w:rPr>
          <w:snapToGrid w:val="0"/>
        </w:rPr>
        <w:t>.</w:t>
      </w:r>
      <w:r>
        <w:rPr>
          <w:snapToGrid w:val="0"/>
        </w:rPr>
        <w:tab/>
        <w:t>Approved area may be declared</w:t>
      </w:r>
      <w:bookmarkEnd w:id="101"/>
    </w:p>
    <w:p>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18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spacing w:before="240"/>
        <w:rPr>
          <w:snapToGrid w:val="0"/>
        </w:rPr>
      </w:pPr>
      <w:bookmarkStart w:id="102" w:name="_Toc392495412"/>
      <w:r>
        <w:rPr>
          <w:rStyle w:val="CharSectno"/>
        </w:rPr>
        <w:t>53</w:t>
      </w:r>
      <w:r>
        <w:rPr>
          <w:snapToGrid w:val="0"/>
        </w:rPr>
        <w:t>.</w:t>
      </w:r>
      <w:r>
        <w:rPr>
          <w:snapToGrid w:val="0"/>
        </w:rPr>
        <w:tab/>
        <w:t>Reduction in insurance premium of crops in approved area</w:t>
      </w:r>
      <w:bookmarkEnd w:id="102"/>
    </w:p>
    <w:p>
      <w:pPr>
        <w:pStyle w:val="Subsection"/>
        <w:spacing w:before="180"/>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keepLines/>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103" w:name="_Toc392495413"/>
      <w:r>
        <w:rPr>
          <w:rStyle w:val="CharSectno"/>
        </w:rPr>
        <w:t>54</w:t>
      </w:r>
      <w:r>
        <w:rPr>
          <w:snapToGrid w:val="0"/>
        </w:rPr>
        <w:t>.</w:t>
      </w:r>
      <w:r>
        <w:rPr>
          <w:snapToGrid w:val="0"/>
        </w:rPr>
        <w:tab/>
        <w:t>Approved area may be cancelled</w:t>
      </w:r>
      <w:bookmarkEnd w:id="103"/>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 No. 22 of 2012 s. 69.]</w:t>
      </w:r>
    </w:p>
    <w:p>
      <w:pPr>
        <w:pStyle w:val="Ednotesection"/>
        <w:ind w:left="890" w:hanging="890"/>
      </w:pPr>
      <w:r>
        <w:t>[</w:t>
      </w:r>
      <w:r>
        <w:rPr>
          <w:b/>
        </w:rPr>
        <w:t>55.</w:t>
      </w:r>
      <w:r>
        <w:tab/>
        <w:t>Deleted by No. 22 of 2012 s. 64.]</w:t>
      </w:r>
    </w:p>
    <w:p>
      <w:pPr>
        <w:pStyle w:val="Heading5"/>
        <w:spacing w:before="240"/>
        <w:rPr>
          <w:snapToGrid w:val="0"/>
        </w:rPr>
      </w:pPr>
      <w:bookmarkStart w:id="104" w:name="_Toc392495414"/>
      <w:r>
        <w:rPr>
          <w:rStyle w:val="CharSectno"/>
        </w:rPr>
        <w:t>56</w:t>
      </w:r>
      <w:r>
        <w:rPr>
          <w:snapToGrid w:val="0"/>
        </w:rPr>
        <w:t>.</w:t>
      </w:r>
      <w:r>
        <w:rPr>
          <w:snapToGrid w:val="0"/>
        </w:rPr>
        <w:tab/>
        <w:t>Duties of police officers, bush fire control officers etc.</w:t>
      </w:r>
      <w:bookmarkEnd w:id="104"/>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105" w:name="_Toc392495415"/>
      <w:r>
        <w:rPr>
          <w:rStyle w:val="CharSectno"/>
        </w:rPr>
        <w:t>57</w:t>
      </w:r>
      <w:r>
        <w:rPr>
          <w:snapToGrid w:val="0"/>
        </w:rPr>
        <w:t>.</w:t>
      </w:r>
      <w:r>
        <w:rPr>
          <w:snapToGrid w:val="0"/>
        </w:rPr>
        <w:tab/>
        <w:t>Obstructing officers</w:t>
      </w:r>
      <w:bookmarkEnd w:id="105"/>
    </w:p>
    <w:p>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ind w:left="890" w:hanging="890"/>
      </w:pPr>
      <w:r>
        <w:tab/>
        <w:t>[Section 57 amended by No. 11 of 1963 s. 24; No. 113 of 1965 s. 8(1); No. 65 of 1977 s. 48; No. 8 of 1987 s. 8; No. 60 of 1992 s. 13; No. 78 of 1995 s. 147; No. 42 of 1998 s. 16; No. 38 of 2002 s. 39 and 40(1); No. 22 of 2012 s. 66.]</w:t>
      </w:r>
    </w:p>
    <w:p>
      <w:pPr>
        <w:pStyle w:val="Heading5"/>
        <w:rPr>
          <w:snapToGrid w:val="0"/>
        </w:rPr>
      </w:pPr>
      <w:bookmarkStart w:id="106" w:name="_Toc392495416"/>
      <w:r>
        <w:rPr>
          <w:rStyle w:val="CharSectno"/>
        </w:rPr>
        <w:t>58</w:t>
      </w:r>
      <w:r>
        <w:rPr>
          <w:snapToGrid w:val="0"/>
        </w:rPr>
        <w:t>.</w:t>
      </w:r>
      <w:r>
        <w:rPr>
          <w:snapToGrid w:val="0"/>
        </w:rPr>
        <w:tab/>
        <w:t>General penalty and recovery of expenses incurred</w:t>
      </w:r>
      <w:bookmarkEnd w:id="106"/>
    </w:p>
    <w:p>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pPr>
      <w:r>
        <w:tab/>
        <w:t>[(2)</w:t>
      </w:r>
      <w:r>
        <w:tab/>
        <w:t>deleted]</w:t>
      </w:r>
    </w:p>
    <w:p>
      <w:pPr>
        <w:pStyle w:val="Subsection"/>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keepNext/>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 xml:space="preserve">if the expense is incurred by any other person acting pursuant to this Act, the </w:t>
      </w:r>
      <w:smartTag w:uri="urn:schemas-microsoft-com:office:smarttags" w:element="place">
        <w:r>
          <w:t>FES</w:t>
        </w:r>
      </w:smartTag>
      <w:r>
        <w:t xml:space="preserve">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107" w:name="_Toc392495417"/>
      <w:r>
        <w:rPr>
          <w:rStyle w:val="CharSectno"/>
        </w:rPr>
        <w:t>59</w:t>
      </w:r>
      <w:r>
        <w:rPr>
          <w:snapToGrid w:val="0"/>
        </w:rPr>
        <w:t>.</w:t>
      </w:r>
      <w:r>
        <w:rPr>
          <w:snapToGrid w:val="0"/>
        </w:rPr>
        <w:tab/>
        <w:t>Prosecution of offences</w:t>
      </w:r>
      <w:bookmarkEnd w:id="107"/>
    </w:p>
    <w:p>
      <w:pPr>
        <w:pStyle w:val="Subsection"/>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ind w:left="890" w:hanging="890"/>
      </w:pPr>
      <w:r>
        <w:tab/>
        <w:t>[Section 59 amended by No. 35 of 1957 s. 10; No. 11 of 1963 s. 25; No. 65 of 1977 s. 41; No. 14 of 1996 s. 4; No. 42 of 1998 s. 16; No. 38 of 2002 s. 36 and 40(1); No. 59 of 2004 s. 141; No. 19 of 2010 s. 52(4); No. 22 of 2012 s. 67.]</w:t>
      </w:r>
    </w:p>
    <w:p>
      <w:pPr>
        <w:pStyle w:val="Heading5"/>
        <w:rPr>
          <w:snapToGrid w:val="0"/>
        </w:rPr>
      </w:pPr>
      <w:bookmarkStart w:id="108" w:name="_Toc392495418"/>
      <w:r>
        <w:rPr>
          <w:rStyle w:val="CharSectno"/>
        </w:rPr>
        <w:t>59A</w:t>
      </w:r>
      <w:r>
        <w:rPr>
          <w:snapToGrid w:val="0"/>
        </w:rPr>
        <w:t>.</w:t>
      </w:r>
      <w:r>
        <w:rPr>
          <w:snapToGrid w:val="0"/>
        </w:rPr>
        <w:tab/>
        <w:t>Alternative procedure — infringement notices</w:t>
      </w:r>
      <w:bookmarkEnd w:id="108"/>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109" w:name="_Toc392495419"/>
      <w:r>
        <w:rPr>
          <w:rStyle w:val="CharSectno"/>
        </w:rPr>
        <w:t>60</w:t>
      </w:r>
      <w:r>
        <w:rPr>
          <w:snapToGrid w:val="0"/>
        </w:rPr>
        <w:t>.</w:t>
      </w:r>
      <w:r>
        <w:rPr>
          <w:snapToGrid w:val="0"/>
        </w:rPr>
        <w:tab/>
        <w:t>Assisting to commit an offence</w:t>
      </w:r>
      <w:bookmarkEnd w:id="109"/>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110" w:name="_Toc392495420"/>
      <w:r>
        <w:rPr>
          <w:rStyle w:val="CharSectno"/>
        </w:rPr>
        <w:t>61</w:t>
      </w:r>
      <w:r>
        <w:rPr>
          <w:snapToGrid w:val="0"/>
        </w:rPr>
        <w:t>.</w:t>
      </w:r>
      <w:r>
        <w:rPr>
          <w:snapToGrid w:val="0"/>
        </w:rPr>
        <w:tab/>
        <w:t>Regulations</w:t>
      </w:r>
      <w:bookmarkEnd w:id="110"/>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111" w:name="_Toc392495421"/>
      <w:r>
        <w:rPr>
          <w:rStyle w:val="CharSectno"/>
        </w:rPr>
        <w:t>62</w:t>
      </w:r>
      <w:r>
        <w:rPr>
          <w:snapToGrid w:val="0"/>
        </w:rPr>
        <w:t>.</w:t>
      </w:r>
      <w:r>
        <w:rPr>
          <w:snapToGrid w:val="0"/>
        </w:rPr>
        <w:tab/>
        <w:t>Local government may make local laws</w:t>
      </w:r>
      <w:bookmarkEnd w:id="111"/>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 and</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ind w:left="890" w:hanging="890"/>
      </w:pPr>
      <w:r>
        <w:tab/>
        <w:t>[Section 62 amended by No. 14 of 1996 s. 4.]</w:t>
      </w:r>
    </w:p>
    <w:p>
      <w:pPr>
        <w:pStyle w:val="Heading5"/>
        <w:rPr>
          <w:snapToGrid w:val="0"/>
        </w:rPr>
      </w:pPr>
      <w:bookmarkStart w:id="112" w:name="_Toc392495422"/>
      <w:r>
        <w:rPr>
          <w:rStyle w:val="CharSectno"/>
        </w:rPr>
        <w:t>62A</w:t>
      </w:r>
      <w:r>
        <w:rPr>
          <w:snapToGrid w:val="0"/>
        </w:rPr>
        <w:t>.</w:t>
      </w:r>
      <w:r>
        <w:rPr>
          <w:snapToGrid w:val="0"/>
        </w:rPr>
        <w:tab/>
        <w:t>Governor may amend or repeal local laws</w:t>
      </w:r>
      <w:bookmarkEnd w:id="112"/>
    </w:p>
    <w:p>
      <w:pPr>
        <w:pStyle w:val="Subsection"/>
        <w:spacing w:before="140"/>
        <w:rPr>
          <w:snapToGrid w:val="0"/>
        </w:rPr>
      </w:pPr>
      <w:r>
        <w:rPr>
          <w:snapToGrid w:val="0"/>
        </w:rPr>
        <w:tab/>
        <w:t>(1)</w:t>
      </w:r>
      <w:r>
        <w:rPr>
          <w:snapToGrid w:val="0"/>
        </w:rPr>
        <w:tab/>
        <w:t>The Governor may make a local law to amend the text of, or repeal, a local law.</w:t>
      </w:r>
    </w:p>
    <w:p>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4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spacing w:before="100"/>
        <w:ind w:left="890" w:hanging="890"/>
      </w:pPr>
      <w:r>
        <w:tab/>
        <w:t>[Section 62A inserted by No. 14 of 1996 s. 4.]</w:t>
      </w:r>
    </w:p>
    <w:p>
      <w:pPr>
        <w:pStyle w:val="Ednotesection"/>
        <w:spacing w:before="160"/>
        <w:ind w:left="890" w:hanging="890"/>
      </w:pPr>
      <w:r>
        <w:t>[</w:t>
      </w:r>
      <w:r>
        <w:rPr>
          <w:b/>
        </w:rPr>
        <w:t>63.</w:t>
      </w:r>
      <w:r>
        <w:tab/>
        <w:t>Deleted by No. 42 of 1998 s. 13.]</w:t>
      </w:r>
    </w:p>
    <w:p>
      <w:pPr>
        <w:pStyle w:val="Heading5"/>
        <w:spacing w:before="180"/>
        <w:rPr>
          <w:snapToGrid w:val="0"/>
        </w:rPr>
      </w:pPr>
      <w:bookmarkStart w:id="113" w:name="_Toc392495423"/>
      <w:r>
        <w:rPr>
          <w:rStyle w:val="CharSectno"/>
        </w:rPr>
        <w:t>64</w:t>
      </w:r>
      <w:r>
        <w:rPr>
          <w:snapToGrid w:val="0"/>
        </w:rPr>
        <w:t>.</w:t>
      </w:r>
      <w:r>
        <w:rPr>
          <w:snapToGrid w:val="0"/>
        </w:rPr>
        <w:tab/>
        <w:t>Prohibitions excluded by certain circumstances</w:t>
      </w:r>
      <w:bookmarkEnd w:id="113"/>
    </w:p>
    <w:p>
      <w:pPr>
        <w:pStyle w:val="Subsection"/>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spacing w:before="100"/>
        <w:ind w:left="890" w:hanging="890"/>
      </w:pPr>
      <w:r>
        <w:tab/>
        <w:t>[Section 64 amended by No. 65 of 1977 s. 43; No. 51 of 1979 s. 5; No. 38 of 2002 s. 38; No. 25 of 2009 s. 18; No. 19 of 2010 s. 52(4).]</w:t>
      </w:r>
    </w:p>
    <w:p>
      <w:pPr>
        <w:pStyle w:val="Heading5"/>
        <w:spacing w:before="180"/>
        <w:rPr>
          <w:snapToGrid w:val="0"/>
        </w:rPr>
      </w:pPr>
      <w:bookmarkStart w:id="114" w:name="_Toc392495424"/>
      <w:r>
        <w:rPr>
          <w:rStyle w:val="CharSectno"/>
        </w:rPr>
        <w:t>65</w:t>
      </w:r>
      <w:r>
        <w:rPr>
          <w:snapToGrid w:val="0"/>
        </w:rPr>
        <w:t>.</w:t>
      </w:r>
      <w:r>
        <w:rPr>
          <w:snapToGrid w:val="0"/>
        </w:rPr>
        <w:tab/>
        <w:t>Proof of certain matters</w:t>
      </w:r>
      <w:bookmarkEnd w:id="114"/>
    </w:p>
    <w:p>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order or notice,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 No. 22 of 2012 s. 68.]</w:t>
      </w:r>
    </w:p>
    <w:p>
      <w:pPr>
        <w:pStyle w:val="Heading5"/>
        <w:rPr>
          <w:snapToGrid w:val="0"/>
        </w:rPr>
      </w:pPr>
      <w:bookmarkStart w:id="115" w:name="_Toc392495425"/>
      <w:r>
        <w:rPr>
          <w:rStyle w:val="CharSectno"/>
        </w:rPr>
        <w:t>66</w:t>
      </w:r>
      <w:r>
        <w:rPr>
          <w:snapToGrid w:val="0"/>
        </w:rPr>
        <w:t>.</w:t>
      </w:r>
      <w:r>
        <w:rPr>
          <w:snapToGrid w:val="0"/>
        </w:rPr>
        <w:tab/>
        <w:t>Proof of ownership or occupancy</w:t>
      </w:r>
      <w:bookmarkEnd w:id="115"/>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116" w:name="_Toc392495426"/>
      <w:r>
        <w:rPr>
          <w:rStyle w:val="CharSectno"/>
        </w:rPr>
        <w:t>67</w:t>
      </w:r>
      <w:r>
        <w:rPr>
          <w:snapToGrid w:val="0"/>
        </w:rPr>
        <w:t>.</w:t>
      </w:r>
      <w:r>
        <w:rPr>
          <w:snapToGrid w:val="0"/>
        </w:rPr>
        <w:tab/>
        <w:t>Advisory committees</w:t>
      </w:r>
      <w:bookmarkEnd w:id="116"/>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 and</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117" w:name="_Toc392495427"/>
      <w:r>
        <w:rPr>
          <w:rStyle w:val="CharSectno"/>
        </w:rPr>
        <w:t>68</w:t>
      </w:r>
      <w:r>
        <w:rPr>
          <w:snapToGrid w:val="0"/>
        </w:rPr>
        <w:t>.</w:t>
      </w:r>
      <w:r>
        <w:rPr>
          <w:snapToGrid w:val="0"/>
        </w:rPr>
        <w:tab/>
        <w:t>Regional advisory committees</w:t>
      </w:r>
      <w:bookmarkEnd w:id="117"/>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 xml:space="preserve">may, where for any reason a vacancy occurs in the office of a member of the committee appointed by it, appoint a person to fill that vacancy;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nHeading2"/>
      </w:pPr>
      <w:bookmarkStart w:id="118" w:name="_Toc381872776"/>
      <w:bookmarkStart w:id="119" w:name="_Toc381873844"/>
      <w:bookmarkStart w:id="120" w:name="_Toc392495428"/>
      <w:r>
        <w:t>Notes</w:t>
      </w:r>
      <w:bookmarkEnd w:id="118"/>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1" w:name="_Toc392495429"/>
      <w:r>
        <w:rPr>
          <w:snapToGrid w:val="0"/>
        </w:rPr>
        <w:t>Compilation table</w:t>
      </w:r>
      <w:bookmarkEnd w:id="12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1" w:type="dxa"/>
          <w:cantSplit/>
        </w:trPr>
        <w:tc>
          <w:tcPr>
            <w:tcW w:w="2273" w:type="dxa"/>
          </w:tcPr>
          <w:p>
            <w:pPr>
              <w:pStyle w:val="nTable"/>
              <w:spacing w:after="40"/>
              <w:rPr>
                <w:sz w:val="19"/>
              </w:rPr>
            </w:pPr>
            <w:r>
              <w:rPr>
                <w:i/>
                <w:sz w:val="19"/>
              </w:rPr>
              <w:t>Bush Fires Act 1954</w:t>
            </w:r>
          </w:p>
        </w:tc>
        <w:tc>
          <w:tcPr>
            <w:tcW w:w="1138" w:type="dxa"/>
          </w:tcPr>
          <w:p>
            <w:pPr>
              <w:pStyle w:val="nTable"/>
              <w:spacing w:after="40"/>
              <w:rPr>
                <w:sz w:val="19"/>
              </w:rPr>
            </w:pPr>
            <w:r>
              <w:rPr>
                <w:sz w:val="19"/>
              </w:rPr>
              <w:t>53 of 1954</w:t>
            </w:r>
            <w:r>
              <w:rPr>
                <w:sz w:val="19"/>
              </w:rPr>
              <w:br/>
              <w:t>(3 Eliz. II No. 53)</w:t>
            </w:r>
          </w:p>
        </w:tc>
        <w:tc>
          <w:tcPr>
            <w:tcW w:w="1135" w:type="dxa"/>
          </w:tcPr>
          <w:p>
            <w:pPr>
              <w:pStyle w:val="nTable"/>
              <w:spacing w:after="40"/>
              <w:rPr>
                <w:sz w:val="19"/>
              </w:rPr>
            </w:pPr>
            <w:r>
              <w:rPr>
                <w:sz w:val="19"/>
              </w:rPr>
              <w:t>23 Dec 1954</w:t>
            </w:r>
          </w:p>
        </w:tc>
        <w:tc>
          <w:tcPr>
            <w:tcW w:w="2551"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gridAfter w:val="1"/>
          <w:wAfter w:w="11" w:type="dxa"/>
          <w:cantSplit/>
        </w:trPr>
        <w:tc>
          <w:tcPr>
            <w:tcW w:w="2273" w:type="dxa"/>
          </w:tcPr>
          <w:p>
            <w:pPr>
              <w:pStyle w:val="nTable"/>
              <w:spacing w:after="40"/>
              <w:rPr>
                <w:sz w:val="19"/>
              </w:rPr>
            </w:pPr>
            <w:r>
              <w:rPr>
                <w:i/>
                <w:sz w:val="19"/>
              </w:rPr>
              <w:t>Bush Fires Act Amendment Act 1957</w:t>
            </w:r>
          </w:p>
        </w:tc>
        <w:tc>
          <w:tcPr>
            <w:tcW w:w="1138" w:type="dxa"/>
          </w:tcPr>
          <w:p>
            <w:pPr>
              <w:pStyle w:val="nTable"/>
              <w:spacing w:after="40"/>
              <w:rPr>
                <w:sz w:val="19"/>
              </w:rPr>
            </w:pPr>
            <w:r>
              <w:rPr>
                <w:sz w:val="19"/>
              </w:rPr>
              <w:t>35 of 1957</w:t>
            </w:r>
            <w:r>
              <w:rPr>
                <w:sz w:val="19"/>
              </w:rPr>
              <w:br/>
              <w:t>(6 Eliz. II No. 35)</w:t>
            </w:r>
          </w:p>
        </w:tc>
        <w:tc>
          <w:tcPr>
            <w:tcW w:w="1135" w:type="dxa"/>
          </w:tcPr>
          <w:p>
            <w:pPr>
              <w:pStyle w:val="nTable"/>
              <w:spacing w:after="40"/>
              <w:rPr>
                <w:sz w:val="19"/>
              </w:rPr>
            </w:pPr>
            <w:r>
              <w:rPr>
                <w:sz w:val="19"/>
              </w:rPr>
              <w:t>5 Nov 1957</w:t>
            </w:r>
          </w:p>
        </w:tc>
        <w:tc>
          <w:tcPr>
            <w:tcW w:w="2551" w:type="dxa"/>
          </w:tcPr>
          <w:p>
            <w:pPr>
              <w:pStyle w:val="nTable"/>
              <w:spacing w:after="40"/>
              <w:rPr>
                <w:sz w:val="19"/>
              </w:rPr>
            </w:pPr>
            <w:r>
              <w:rPr>
                <w:sz w:val="19"/>
              </w:rPr>
              <w:t>5 Nov 1957</w:t>
            </w:r>
          </w:p>
        </w:tc>
      </w:tr>
      <w:tr>
        <w:trPr>
          <w:gridAfter w:val="1"/>
          <w:wAfter w:w="11" w:type="dxa"/>
          <w:cantSplit/>
        </w:trPr>
        <w:tc>
          <w:tcPr>
            <w:tcW w:w="2273" w:type="dxa"/>
          </w:tcPr>
          <w:p>
            <w:pPr>
              <w:pStyle w:val="nTable"/>
              <w:spacing w:after="40"/>
              <w:rPr>
                <w:sz w:val="19"/>
              </w:rPr>
            </w:pPr>
            <w:r>
              <w:rPr>
                <w:i/>
                <w:sz w:val="19"/>
              </w:rPr>
              <w:t>Bush Fires Act Amendment Act 1958</w:t>
            </w:r>
          </w:p>
        </w:tc>
        <w:tc>
          <w:tcPr>
            <w:tcW w:w="1138" w:type="dxa"/>
          </w:tcPr>
          <w:p>
            <w:pPr>
              <w:pStyle w:val="nTable"/>
              <w:spacing w:after="40"/>
              <w:rPr>
                <w:sz w:val="19"/>
              </w:rPr>
            </w:pPr>
            <w:r>
              <w:rPr>
                <w:sz w:val="19"/>
              </w:rPr>
              <w:t>20 of 1958</w:t>
            </w:r>
            <w:r>
              <w:rPr>
                <w:sz w:val="19"/>
              </w:rPr>
              <w:br/>
              <w:t>(7 Eliz. II No. 20)</w:t>
            </w:r>
          </w:p>
        </w:tc>
        <w:tc>
          <w:tcPr>
            <w:tcW w:w="1135" w:type="dxa"/>
          </w:tcPr>
          <w:p>
            <w:pPr>
              <w:pStyle w:val="nTable"/>
              <w:spacing w:after="40"/>
              <w:rPr>
                <w:sz w:val="19"/>
              </w:rPr>
            </w:pPr>
            <w:r>
              <w:rPr>
                <w:sz w:val="19"/>
              </w:rPr>
              <w:t>22 Oct 1958</w:t>
            </w:r>
          </w:p>
        </w:tc>
        <w:tc>
          <w:tcPr>
            <w:tcW w:w="2551" w:type="dxa"/>
          </w:tcPr>
          <w:p>
            <w:pPr>
              <w:pStyle w:val="nTable"/>
              <w:spacing w:after="40"/>
              <w:rPr>
                <w:sz w:val="19"/>
              </w:rPr>
            </w:pPr>
            <w:r>
              <w:rPr>
                <w:sz w:val="19"/>
              </w:rPr>
              <w:t>22 Oct 1958</w:t>
            </w:r>
          </w:p>
        </w:tc>
      </w:tr>
      <w:tr>
        <w:trPr>
          <w:gridAfter w:val="1"/>
          <w:wAfter w:w="11" w:type="dxa"/>
          <w:cantSplit/>
        </w:trPr>
        <w:tc>
          <w:tcPr>
            <w:tcW w:w="7097"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gridAfter w:val="1"/>
          <w:wAfter w:w="11" w:type="dxa"/>
          <w:cantSplit/>
        </w:trPr>
        <w:tc>
          <w:tcPr>
            <w:tcW w:w="2273" w:type="dxa"/>
          </w:tcPr>
          <w:p>
            <w:pPr>
              <w:pStyle w:val="nTable"/>
              <w:spacing w:after="40"/>
              <w:rPr>
                <w:sz w:val="19"/>
              </w:rPr>
            </w:pPr>
            <w:r>
              <w:rPr>
                <w:i/>
                <w:sz w:val="19"/>
              </w:rPr>
              <w:t>Bush Fires Act Amendment Act 1963</w:t>
            </w:r>
          </w:p>
        </w:tc>
        <w:tc>
          <w:tcPr>
            <w:tcW w:w="1138" w:type="dxa"/>
          </w:tcPr>
          <w:p>
            <w:pPr>
              <w:pStyle w:val="nTable"/>
              <w:spacing w:after="40"/>
              <w:rPr>
                <w:sz w:val="19"/>
              </w:rPr>
            </w:pPr>
            <w:r>
              <w:rPr>
                <w:sz w:val="19"/>
              </w:rPr>
              <w:t>11 of 1963</w:t>
            </w:r>
            <w:r>
              <w:rPr>
                <w:sz w:val="19"/>
              </w:rPr>
              <w:br/>
              <w:t>(12 Eliz. II No. 11)</w:t>
            </w:r>
          </w:p>
        </w:tc>
        <w:tc>
          <w:tcPr>
            <w:tcW w:w="1135" w:type="dxa"/>
          </w:tcPr>
          <w:p>
            <w:pPr>
              <w:pStyle w:val="nTable"/>
              <w:spacing w:after="40"/>
              <w:rPr>
                <w:sz w:val="19"/>
              </w:rPr>
            </w:pPr>
            <w:r>
              <w:rPr>
                <w:sz w:val="19"/>
              </w:rPr>
              <w:t>22 Oct 1963</w:t>
            </w:r>
          </w:p>
        </w:tc>
        <w:tc>
          <w:tcPr>
            <w:tcW w:w="2551"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gridAfter w:val="1"/>
          <w:wAfter w:w="11" w:type="dxa"/>
          <w:cantSplit/>
        </w:trPr>
        <w:tc>
          <w:tcPr>
            <w:tcW w:w="2273" w:type="dxa"/>
          </w:tcPr>
          <w:p>
            <w:pPr>
              <w:pStyle w:val="nTable"/>
              <w:spacing w:after="40"/>
              <w:rPr>
                <w:sz w:val="19"/>
              </w:rPr>
            </w:pPr>
            <w:r>
              <w:rPr>
                <w:i/>
                <w:sz w:val="19"/>
              </w:rPr>
              <w:t>Bush Fires Act Amendment Act 1964</w:t>
            </w:r>
          </w:p>
        </w:tc>
        <w:tc>
          <w:tcPr>
            <w:tcW w:w="1138" w:type="dxa"/>
          </w:tcPr>
          <w:p>
            <w:pPr>
              <w:pStyle w:val="nTable"/>
              <w:spacing w:after="40"/>
              <w:rPr>
                <w:sz w:val="19"/>
              </w:rPr>
            </w:pPr>
            <w:r>
              <w:rPr>
                <w:sz w:val="19"/>
              </w:rPr>
              <w:t>23 of 1964</w:t>
            </w:r>
            <w:r>
              <w:rPr>
                <w:sz w:val="19"/>
              </w:rPr>
              <w:br/>
              <w:t>(13 Eliz. II No. 23)</w:t>
            </w:r>
          </w:p>
        </w:tc>
        <w:tc>
          <w:tcPr>
            <w:tcW w:w="1135" w:type="dxa"/>
          </w:tcPr>
          <w:p>
            <w:pPr>
              <w:pStyle w:val="nTable"/>
              <w:spacing w:after="40"/>
              <w:rPr>
                <w:sz w:val="19"/>
              </w:rPr>
            </w:pPr>
            <w:r>
              <w:rPr>
                <w:sz w:val="19"/>
              </w:rPr>
              <w:t>28 Oct 1964</w:t>
            </w:r>
          </w:p>
        </w:tc>
        <w:tc>
          <w:tcPr>
            <w:tcW w:w="2551" w:type="dxa"/>
          </w:tcPr>
          <w:p>
            <w:pPr>
              <w:pStyle w:val="nTable"/>
              <w:spacing w:after="40"/>
              <w:rPr>
                <w:sz w:val="19"/>
              </w:rPr>
            </w:pPr>
            <w:r>
              <w:rPr>
                <w:sz w:val="19"/>
              </w:rPr>
              <w:t>28 Oct 1964</w:t>
            </w:r>
          </w:p>
        </w:tc>
      </w:tr>
      <w:tr>
        <w:trPr>
          <w:gridAfter w:val="1"/>
          <w:wAfter w:w="11" w:type="dxa"/>
          <w:cantSplit/>
        </w:trPr>
        <w:tc>
          <w:tcPr>
            <w:tcW w:w="2273" w:type="dxa"/>
          </w:tcPr>
          <w:p>
            <w:pPr>
              <w:pStyle w:val="nTable"/>
              <w:spacing w:after="40"/>
              <w:rPr>
                <w:sz w:val="19"/>
              </w:rPr>
            </w:pPr>
            <w:r>
              <w:rPr>
                <w:i/>
                <w:sz w:val="19"/>
              </w:rPr>
              <w:t>Bush Fires Act Amendment Act 1965</w:t>
            </w:r>
          </w:p>
        </w:tc>
        <w:tc>
          <w:tcPr>
            <w:tcW w:w="1138" w:type="dxa"/>
          </w:tcPr>
          <w:p>
            <w:pPr>
              <w:pStyle w:val="nTable"/>
              <w:spacing w:after="40"/>
              <w:rPr>
                <w:sz w:val="19"/>
              </w:rPr>
            </w:pPr>
            <w:r>
              <w:rPr>
                <w:sz w:val="19"/>
              </w:rPr>
              <w:t>15 of 1965</w:t>
            </w:r>
          </w:p>
        </w:tc>
        <w:tc>
          <w:tcPr>
            <w:tcW w:w="1135"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gridAfter w:val="1"/>
          <w:wAfter w:w="11" w:type="dxa"/>
          <w:cantSplit/>
        </w:trPr>
        <w:tc>
          <w:tcPr>
            <w:tcW w:w="2273" w:type="dxa"/>
          </w:tcPr>
          <w:p>
            <w:pPr>
              <w:pStyle w:val="nTable"/>
              <w:spacing w:after="4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gridAfter w:val="1"/>
          <w:wAfter w:w="11" w:type="dxa"/>
          <w:cantSplit/>
        </w:trPr>
        <w:tc>
          <w:tcPr>
            <w:tcW w:w="2273" w:type="dxa"/>
          </w:tcPr>
          <w:p>
            <w:pPr>
              <w:pStyle w:val="nTable"/>
              <w:spacing w:after="40"/>
              <w:rPr>
                <w:sz w:val="19"/>
              </w:rPr>
            </w:pPr>
            <w:r>
              <w:rPr>
                <w:i/>
                <w:sz w:val="19"/>
              </w:rPr>
              <w:t>Bush Fires Act Amendment Act 1969</w:t>
            </w:r>
          </w:p>
        </w:tc>
        <w:tc>
          <w:tcPr>
            <w:tcW w:w="1138" w:type="dxa"/>
          </w:tcPr>
          <w:p>
            <w:pPr>
              <w:pStyle w:val="nTable"/>
              <w:spacing w:after="40"/>
              <w:rPr>
                <w:sz w:val="19"/>
              </w:rPr>
            </w:pPr>
            <w:r>
              <w:rPr>
                <w:sz w:val="19"/>
              </w:rPr>
              <w:t>101 of 1969</w:t>
            </w:r>
          </w:p>
        </w:tc>
        <w:tc>
          <w:tcPr>
            <w:tcW w:w="1135" w:type="dxa"/>
          </w:tcPr>
          <w:p>
            <w:pPr>
              <w:pStyle w:val="nTable"/>
              <w:spacing w:after="40"/>
              <w:rPr>
                <w:sz w:val="19"/>
              </w:rPr>
            </w:pPr>
            <w:r>
              <w:rPr>
                <w:sz w:val="19"/>
              </w:rPr>
              <w:t>25 Nov 1969</w:t>
            </w:r>
          </w:p>
        </w:tc>
        <w:tc>
          <w:tcPr>
            <w:tcW w:w="2551" w:type="dxa"/>
          </w:tcPr>
          <w:p>
            <w:pPr>
              <w:pStyle w:val="nTable"/>
              <w:spacing w:after="40"/>
              <w:rPr>
                <w:sz w:val="19"/>
              </w:rPr>
            </w:pPr>
            <w:r>
              <w:rPr>
                <w:sz w:val="19"/>
              </w:rPr>
              <w:t>25 Nov 1969</w:t>
            </w:r>
          </w:p>
        </w:tc>
      </w:tr>
      <w:tr>
        <w:trPr>
          <w:gridAfter w:val="1"/>
          <w:wAfter w:w="11" w:type="dxa"/>
          <w:cantSplit/>
        </w:trPr>
        <w:tc>
          <w:tcPr>
            <w:tcW w:w="2273" w:type="dxa"/>
          </w:tcPr>
          <w:p>
            <w:pPr>
              <w:pStyle w:val="nTable"/>
              <w:spacing w:after="40"/>
              <w:rPr>
                <w:sz w:val="19"/>
              </w:rPr>
            </w:pPr>
            <w:r>
              <w:rPr>
                <w:i/>
                <w:sz w:val="19"/>
              </w:rPr>
              <w:t>Bush Fires Act Amendment Act 1970</w:t>
            </w:r>
          </w:p>
        </w:tc>
        <w:tc>
          <w:tcPr>
            <w:tcW w:w="1138" w:type="dxa"/>
          </w:tcPr>
          <w:p>
            <w:pPr>
              <w:pStyle w:val="nTable"/>
              <w:spacing w:after="40"/>
              <w:rPr>
                <w:sz w:val="19"/>
              </w:rPr>
            </w:pPr>
            <w:r>
              <w:rPr>
                <w:sz w:val="19"/>
              </w:rPr>
              <w:t>67 of 1970</w:t>
            </w:r>
          </w:p>
        </w:tc>
        <w:tc>
          <w:tcPr>
            <w:tcW w:w="1135" w:type="dxa"/>
          </w:tcPr>
          <w:p>
            <w:pPr>
              <w:pStyle w:val="nTable"/>
              <w:spacing w:after="40"/>
              <w:rPr>
                <w:sz w:val="19"/>
              </w:rPr>
            </w:pPr>
            <w:r>
              <w:rPr>
                <w:sz w:val="19"/>
              </w:rPr>
              <w:t>17 Nov 1970</w:t>
            </w:r>
          </w:p>
        </w:tc>
        <w:tc>
          <w:tcPr>
            <w:tcW w:w="2551" w:type="dxa"/>
          </w:tcPr>
          <w:p>
            <w:pPr>
              <w:pStyle w:val="nTable"/>
              <w:spacing w:after="40"/>
              <w:rPr>
                <w:sz w:val="19"/>
              </w:rPr>
            </w:pPr>
            <w:r>
              <w:rPr>
                <w:sz w:val="19"/>
              </w:rPr>
              <w:t>17 Nov 1970</w:t>
            </w:r>
          </w:p>
        </w:tc>
      </w:tr>
      <w:tr>
        <w:trPr>
          <w:gridAfter w:val="1"/>
          <w:wAfter w:w="11" w:type="dxa"/>
          <w:cantSplit/>
        </w:trPr>
        <w:tc>
          <w:tcPr>
            <w:tcW w:w="7097"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gridAfter w:val="1"/>
          <w:wAfter w:w="11" w:type="dxa"/>
          <w:cantSplit/>
        </w:trPr>
        <w:tc>
          <w:tcPr>
            <w:tcW w:w="2273" w:type="dxa"/>
          </w:tcPr>
          <w:p>
            <w:pPr>
              <w:pStyle w:val="nTable"/>
              <w:spacing w:after="40"/>
              <w:rPr>
                <w:sz w:val="19"/>
              </w:rPr>
            </w:pPr>
            <w:r>
              <w:rPr>
                <w:i/>
                <w:sz w:val="19"/>
              </w:rPr>
              <w:t>Metric Conversion Act 1972</w:t>
            </w:r>
          </w:p>
        </w:tc>
        <w:tc>
          <w:tcPr>
            <w:tcW w:w="1138" w:type="dxa"/>
          </w:tcPr>
          <w:p>
            <w:pPr>
              <w:pStyle w:val="nTable"/>
              <w:keepNext/>
              <w:keepLines/>
              <w:spacing w:after="40"/>
              <w:rPr>
                <w:sz w:val="19"/>
              </w:rPr>
            </w:pPr>
            <w:r>
              <w:rPr>
                <w:sz w:val="19"/>
              </w:rPr>
              <w:t>94 of 1972</w:t>
            </w:r>
            <w:r>
              <w:rPr>
                <w:sz w:val="19"/>
              </w:rPr>
              <w:br/>
              <w:t>(as amended by No. 83 of 1973 s. 3)</w:t>
            </w:r>
          </w:p>
        </w:tc>
        <w:tc>
          <w:tcPr>
            <w:tcW w:w="1135" w:type="dxa"/>
          </w:tcPr>
          <w:p>
            <w:pPr>
              <w:pStyle w:val="nTable"/>
              <w:keepNext/>
              <w:keepLines/>
              <w:spacing w:after="40"/>
              <w:rPr>
                <w:sz w:val="19"/>
              </w:rPr>
            </w:pPr>
            <w:r>
              <w:rPr>
                <w:sz w:val="19"/>
              </w:rPr>
              <w:t>4 Dec 1972</w:t>
            </w:r>
          </w:p>
        </w:tc>
        <w:tc>
          <w:tcPr>
            <w:tcW w:w="2551" w:type="dxa"/>
          </w:tcPr>
          <w:p>
            <w:pPr>
              <w:pStyle w:val="nTable"/>
              <w:keepNext/>
              <w:keepLines/>
              <w:spacing w:after="40"/>
              <w:rPr>
                <w:sz w:val="19"/>
              </w:rPr>
            </w:pPr>
            <w:r>
              <w:rPr>
                <w:sz w:val="19"/>
              </w:rPr>
              <w:t>Relevant amendments (see Third Sch. </w:t>
            </w:r>
            <w:r>
              <w:rPr>
                <w:sz w:val="19"/>
                <w:vertAlign w:val="superscript"/>
              </w:rPr>
              <w:t>4</w:t>
            </w:r>
            <w:r>
              <w:rPr>
                <w:sz w:val="19"/>
              </w:rPr>
              <w:t xml:space="preserve">) took effect on 1 Jun 1974 (see s. 4(2) and </w:t>
            </w:r>
            <w:r>
              <w:rPr>
                <w:i/>
                <w:sz w:val="19"/>
              </w:rPr>
              <w:t>Gazette</w:t>
            </w:r>
            <w:r>
              <w:rPr>
                <w:sz w:val="19"/>
              </w:rPr>
              <w:t xml:space="preserve"> 24 May 1974 p. 1626)</w:t>
            </w:r>
          </w:p>
        </w:tc>
      </w:tr>
      <w:tr>
        <w:trPr>
          <w:gridAfter w:val="1"/>
          <w:wAfter w:w="11" w:type="dxa"/>
          <w:cantSplit/>
        </w:trPr>
        <w:tc>
          <w:tcPr>
            <w:tcW w:w="2273" w:type="dxa"/>
          </w:tcPr>
          <w:p>
            <w:pPr>
              <w:pStyle w:val="nTable"/>
              <w:spacing w:after="40"/>
              <w:rPr>
                <w:sz w:val="19"/>
              </w:rPr>
            </w:pPr>
            <w:r>
              <w:rPr>
                <w:i/>
                <w:sz w:val="19"/>
              </w:rPr>
              <w:t>Bush Fires Act Amendment Act 1977</w:t>
            </w:r>
          </w:p>
        </w:tc>
        <w:tc>
          <w:tcPr>
            <w:tcW w:w="1138" w:type="dxa"/>
          </w:tcPr>
          <w:p>
            <w:pPr>
              <w:pStyle w:val="nTable"/>
              <w:spacing w:after="40"/>
              <w:rPr>
                <w:sz w:val="19"/>
              </w:rPr>
            </w:pPr>
            <w:r>
              <w:rPr>
                <w:sz w:val="19"/>
              </w:rPr>
              <w:t>65 of 1977</w:t>
            </w:r>
          </w:p>
        </w:tc>
        <w:tc>
          <w:tcPr>
            <w:tcW w:w="1135" w:type="dxa"/>
          </w:tcPr>
          <w:p>
            <w:pPr>
              <w:pStyle w:val="nTable"/>
              <w:spacing w:after="40"/>
              <w:rPr>
                <w:sz w:val="19"/>
              </w:rPr>
            </w:pPr>
            <w:r>
              <w:rPr>
                <w:sz w:val="19"/>
              </w:rPr>
              <w:t>28 Nov 1977</w:t>
            </w:r>
          </w:p>
        </w:tc>
        <w:tc>
          <w:tcPr>
            <w:tcW w:w="2551" w:type="dxa"/>
          </w:tcPr>
          <w:p>
            <w:pPr>
              <w:pStyle w:val="nTable"/>
              <w:spacing w:after="40"/>
              <w:rPr>
                <w:sz w:val="19"/>
              </w:rPr>
            </w:pPr>
            <w:r>
              <w:rPr>
                <w:sz w:val="19"/>
              </w:rPr>
              <w:t xml:space="preserve">1 Jun 1978 (see s. 2 and </w:t>
            </w:r>
            <w:r>
              <w:rPr>
                <w:i/>
                <w:sz w:val="19"/>
              </w:rPr>
              <w:t xml:space="preserve">Gazette </w:t>
            </w:r>
            <w:r>
              <w:rPr>
                <w:sz w:val="19"/>
              </w:rPr>
              <w:t>10 Mar 1978 p. 667)</w:t>
            </w:r>
          </w:p>
        </w:tc>
      </w:tr>
      <w:tr>
        <w:trPr>
          <w:gridAfter w:val="1"/>
          <w:wAfter w:w="11" w:type="dxa"/>
          <w:cantSplit/>
        </w:trPr>
        <w:tc>
          <w:tcPr>
            <w:tcW w:w="7097"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gridAfter w:val="1"/>
          <w:wAfter w:w="11" w:type="dxa"/>
          <w:cantSplit/>
        </w:trPr>
        <w:tc>
          <w:tcPr>
            <w:tcW w:w="2273" w:type="dxa"/>
          </w:tcPr>
          <w:p>
            <w:pPr>
              <w:pStyle w:val="nTable"/>
              <w:spacing w:after="40"/>
              <w:rPr>
                <w:sz w:val="19"/>
              </w:rPr>
            </w:pPr>
            <w:r>
              <w:rPr>
                <w:i/>
                <w:sz w:val="19"/>
              </w:rPr>
              <w:t>Bush Fires Act Amendment Act 1979</w:t>
            </w:r>
          </w:p>
        </w:tc>
        <w:tc>
          <w:tcPr>
            <w:tcW w:w="1138" w:type="dxa"/>
          </w:tcPr>
          <w:p>
            <w:pPr>
              <w:pStyle w:val="nTable"/>
              <w:spacing w:after="40"/>
              <w:rPr>
                <w:sz w:val="19"/>
              </w:rPr>
            </w:pPr>
            <w:r>
              <w:rPr>
                <w:sz w:val="19"/>
              </w:rPr>
              <w:t>51 of 1979</w:t>
            </w:r>
          </w:p>
        </w:tc>
        <w:tc>
          <w:tcPr>
            <w:tcW w:w="1135" w:type="dxa"/>
          </w:tcPr>
          <w:p>
            <w:pPr>
              <w:pStyle w:val="nTable"/>
              <w:spacing w:after="40"/>
              <w:rPr>
                <w:sz w:val="19"/>
              </w:rPr>
            </w:pPr>
            <w:r>
              <w:rPr>
                <w:sz w:val="19"/>
              </w:rPr>
              <w:t>7 Nov 1979</w:t>
            </w:r>
          </w:p>
        </w:tc>
        <w:tc>
          <w:tcPr>
            <w:tcW w:w="2551" w:type="dxa"/>
          </w:tcPr>
          <w:p>
            <w:pPr>
              <w:pStyle w:val="nTable"/>
              <w:spacing w:after="40"/>
              <w:rPr>
                <w:sz w:val="19"/>
              </w:rPr>
            </w:pPr>
            <w:r>
              <w:rPr>
                <w:sz w:val="19"/>
              </w:rPr>
              <w:t>7 Nov 1979</w:t>
            </w:r>
          </w:p>
        </w:tc>
      </w:tr>
      <w:tr>
        <w:trPr>
          <w:gridAfter w:val="1"/>
          <w:wAfter w:w="11" w:type="dxa"/>
          <w:cantSplit/>
        </w:trPr>
        <w:tc>
          <w:tcPr>
            <w:tcW w:w="2273" w:type="dxa"/>
          </w:tcPr>
          <w:p>
            <w:pPr>
              <w:pStyle w:val="nTable"/>
              <w:spacing w:after="40"/>
              <w:rPr>
                <w:sz w:val="19"/>
              </w:rPr>
            </w:pPr>
            <w:r>
              <w:rPr>
                <w:i/>
                <w:sz w:val="19"/>
              </w:rPr>
              <w:t>Bush Fires Amendment Act 1981</w:t>
            </w:r>
          </w:p>
        </w:tc>
        <w:tc>
          <w:tcPr>
            <w:tcW w:w="1138" w:type="dxa"/>
          </w:tcPr>
          <w:p>
            <w:pPr>
              <w:pStyle w:val="nTable"/>
              <w:spacing w:after="40"/>
              <w:rPr>
                <w:sz w:val="19"/>
              </w:rPr>
            </w:pPr>
            <w:r>
              <w:rPr>
                <w:sz w:val="19"/>
              </w:rPr>
              <w:t>95 of 1981</w:t>
            </w:r>
          </w:p>
        </w:tc>
        <w:tc>
          <w:tcPr>
            <w:tcW w:w="1135"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gridAfter w:val="1"/>
          <w:wAfter w:w="11" w:type="dxa"/>
          <w:cantSplit/>
        </w:trPr>
        <w:tc>
          <w:tcPr>
            <w:tcW w:w="2273" w:type="dxa"/>
          </w:tcPr>
          <w:p>
            <w:pPr>
              <w:pStyle w:val="nTable"/>
              <w:spacing w:after="40"/>
              <w:rPr>
                <w:sz w:val="19"/>
              </w:rPr>
            </w:pPr>
            <w:r>
              <w:rPr>
                <w:i/>
                <w:sz w:val="19"/>
              </w:rPr>
              <w:t>Acts Amendment (Conservation and Land Management) Act 1984</w:t>
            </w:r>
            <w:r>
              <w:rPr>
                <w:sz w:val="19"/>
              </w:rPr>
              <w:t xml:space="preserve"> Pt. IV</w:t>
            </w:r>
          </w:p>
        </w:tc>
        <w:tc>
          <w:tcPr>
            <w:tcW w:w="1138" w:type="dxa"/>
          </w:tcPr>
          <w:p>
            <w:pPr>
              <w:pStyle w:val="nTable"/>
              <w:spacing w:after="40"/>
              <w:rPr>
                <w:sz w:val="19"/>
              </w:rPr>
            </w:pPr>
            <w:r>
              <w:rPr>
                <w:sz w:val="19"/>
              </w:rPr>
              <w:t>112 of 1984</w:t>
            </w:r>
          </w:p>
        </w:tc>
        <w:tc>
          <w:tcPr>
            <w:tcW w:w="1135"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11" w:type="dxa"/>
          <w:cantSplit/>
        </w:trPr>
        <w:tc>
          <w:tcPr>
            <w:tcW w:w="2273" w:type="dxa"/>
          </w:tcPr>
          <w:p>
            <w:pPr>
              <w:pStyle w:val="nTable"/>
              <w:spacing w:after="40"/>
              <w:rPr>
                <w:sz w:val="19"/>
              </w:rPr>
            </w:pPr>
            <w:r>
              <w:rPr>
                <w:i/>
                <w:sz w:val="19"/>
              </w:rPr>
              <w:t>Bush Fires Amendment Act 1987</w:t>
            </w:r>
          </w:p>
        </w:tc>
        <w:tc>
          <w:tcPr>
            <w:tcW w:w="1138" w:type="dxa"/>
          </w:tcPr>
          <w:p>
            <w:pPr>
              <w:pStyle w:val="nTable"/>
              <w:spacing w:after="40"/>
              <w:rPr>
                <w:sz w:val="19"/>
              </w:rPr>
            </w:pPr>
            <w:r>
              <w:rPr>
                <w:sz w:val="19"/>
              </w:rPr>
              <w:t>8 of 1987</w:t>
            </w:r>
          </w:p>
        </w:tc>
        <w:tc>
          <w:tcPr>
            <w:tcW w:w="1135" w:type="dxa"/>
          </w:tcPr>
          <w:p>
            <w:pPr>
              <w:pStyle w:val="nTable"/>
              <w:spacing w:after="40"/>
              <w:rPr>
                <w:sz w:val="19"/>
              </w:rPr>
            </w:pPr>
            <w:r>
              <w:rPr>
                <w:sz w:val="19"/>
              </w:rPr>
              <w:t>5 Jun 1987</w:t>
            </w:r>
          </w:p>
        </w:tc>
        <w:tc>
          <w:tcPr>
            <w:tcW w:w="2551" w:type="dxa"/>
          </w:tcPr>
          <w:p>
            <w:pPr>
              <w:pStyle w:val="nTable"/>
              <w:spacing w:after="40"/>
              <w:rPr>
                <w:sz w:val="19"/>
              </w:rPr>
            </w:pPr>
            <w:r>
              <w:rPr>
                <w:sz w:val="19"/>
              </w:rPr>
              <w:t>3 Jul 1987</w:t>
            </w:r>
          </w:p>
        </w:tc>
      </w:tr>
      <w:tr>
        <w:trPr>
          <w:gridAfter w:val="1"/>
          <w:wAfter w:w="11" w:type="dxa"/>
          <w:cantSplit/>
        </w:trPr>
        <w:tc>
          <w:tcPr>
            <w:tcW w:w="2273" w:type="dxa"/>
          </w:tcPr>
          <w:p>
            <w:pPr>
              <w:pStyle w:val="nTable"/>
              <w:spacing w:after="40"/>
              <w:rPr>
                <w:sz w:val="19"/>
              </w:rPr>
            </w:pPr>
            <w:r>
              <w:rPr>
                <w:i/>
                <w:sz w:val="19"/>
              </w:rPr>
              <w:t>Criminal Law Amendment Act 1990</w:t>
            </w:r>
            <w:r>
              <w:rPr>
                <w:sz w:val="19"/>
              </w:rPr>
              <w:t xml:space="preserve"> Pt. 3</w:t>
            </w:r>
          </w:p>
        </w:tc>
        <w:tc>
          <w:tcPr>
            <w:tcW w:w="1138" w:type="dxa"/>
          </w:tcPr>
          <w:p>
            <w:pPr>
              <w:pStyle w:val="nTable"/>
              <w:spacing w:after="40"/>
              <w:rPr>
                <w:sz w:val="19"/>
              </w:rPr>
            </w:pPr>
            <w:r>
              <w:rPr>
                <w:sz w:val="19"/>
              </w:rPr>
              <w:t>101 of 1990</w:t>
            </w:r>
          </w:p>
        </w:tc>
        <w:tc>
          <w:tcPr>
            <w:tcW w:w="1135" w:type="dxa"/>
          </w:tcPr>
          <w:p>
            <w:pPr>
              <w:pStyle w:val="nTable"/>
              <w:spacing w:after="40"/>
              <w:rPr>
                <w:sz w:val="19"/>
              </w:rPr>
            </w:pPr>
            <w:r>
              <w:rPr>
                <w:sz w:val="19"/>
              </w:rPr>
              <w:t>20 Dec 1990</w:t>
            </w:r>
          </w:p>
        </w:tc>
        <w:tc>
          <w:tcPr>
            <w:tcW w:w="2551" w:type="dxa"/>
          </w:tcPr>
          <w:p>
            <w:pPr>
              <w:pStyle w:val="nTable"/>
              <w:spacing w:after="40"/>
              <w:rPr>
                <w:sz w:val="19"/>
              </w:rPr>
            </w:pPr>
            <w:r>
              <w:rPr>
                <w:sz w:val="19"/>
              </w:rPr>
              <w:t>14 Feb 1991 (see s. 2(1))</w:t>
            </w:r>
          </w:p>
        </w:tc>
      </w:tr>
      <w:tr>
        <w:trPr>
          <w:gridAfter w:val="1"/>
          <w:wAfter w:w="11" w:type="dxa"/>
          <w:cantSplit/>
        </w:trPr>
        <w:tc>
          <w:tcPr>
            <w:tcW w:w="7097" w:type="dxa"/>
            <w:gridSpan w:val="4"/>
            <w:shd w:val="clear" w:color="auto" w:fill="auto"/>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gridAfter w:val="1"/>
          <w:wAfter w:w="11" w:type="dxa"/>
          <w:cantSplit/>
        </w:trPr>
        <w:tc>
          <w:tcPr>
            <w:tcW w:w="2273" w:type="dxa"/>
            <w:shd w:val="clear" w:color="auto" w:fill="auto"/>
          </w:tcPr>
          <w:p>
            <w:pPr>
              <w:pStyle w:val="nTable"/>
              <w:spacing w:after="40"/>
              <w:rPr>
                <w:sz w:val="19"/>
                <w:vertAlign w:val="superscript"/>
              </w:rPr>
            </w:pPr>
            <w:r>
              <w:rPr>
                <w:i/>
                <w:sz w:val="19"/>
              </w:rPr>
              <w:t>Bush Fires Amendment Act 1992 </w:t>
            </w:r>
            <w:r>
              <w:rPr>
                <w:sz w:val="19"/>
                <w:vertAlign w:val="superscript"/>
              </w:rPr>
              <w:t>5</w:t>
            </w:r>
          </w:p>
        </w:tc>
        <w:tc>
          <w:tcPr>
            <w:tcW w:w="1138" w:type="dxa"/>
          </w:tcPr>
          <w:p>
            <w:pPr>
              <w:pStyle w:val="nTable"/>
              <w:spacing w:after="40"/>
              <w:rPr>
                <w:sz w:val="19"/>
              </w:rPr>
            </w:pPr>
            <w:r>
              <w:rPr>
                <w:sz w:val="19"/>
              </w:rPr>
              <w:t>60 of 1992</w:t>
            </w:r>
          </w:p>
        </w:tc>
        <w:tc>
          <w:tcPr>
            <w:tcW w:w="1135" w:type="dxa"/>
          </w:tcPr>
          <w:p>
            <w:pPr>
              <w:pStyle w:val="nTable"/>
              <w:spacing w:after="40"/>
              <w:rPr>
                <w:sz w:val="19"/>
              </w:rPr>
            </w:pPr>
            <w:r>
              <w:rPr>
                <w:sz w:val="19"/>
              </w:rPr>
              <w:t>11 Dec 1992</w:t>
            </w:r>
          </w:p>
        </w:tc>
        <w:tc>
          <w:tcPr>
            <w:tcW w:w="2551"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gridAfter w:val="1"/>
          <w:wAfter w:w="11" w:type="dxa"/>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51" w:type="dxa"/>
          </w:tcPr>
          <w:p>
            <w:pPr>
              <w:pStyle w:val="nTable"/>
              <w:keepNext/>
              <w:keepLines/>
              <w:spacing w:after="40"/>
              <w:rPr>
                <w:sz w:val="19"/>
              </w:rPr>
            </w:pPr>
            <w:r>
              <w:rPr>
                <w:sz w:val="19"/>
              </w:rPr>
              <w:t>1 Jul 1993 (see s. 2(1))</w:t>
            </w:r>
          </w:p>
        </w:tc>
      </w:tr>
      <w:tr>
        <w:trPr>
          <w:gridAfter w:val="1"/>
          <w:wAfter w:w="11" w:type="dxa"/>
          <w:cantSplit/>
        </w:trPr>
        <w:tc>
          <w:tcPr>
            <w:tcW w:w="2273" w:type="dxa"/>
          </w:tcPr>
          <w:p>
            <w:pPr>
              <w:pStyle w:val="nTable"/>
              <w:spacing w:after="40"/>
              <w:rPr>
                <w:sz w:val="19"/>
              </w:rPr>
            </w:pPr>
            <w:r>
              <w:rPr>
                <w:i/>
                <w:sz w:val="19"/>
              </w:rPr>
              <w:t>Acts Amendment (Public Sector Management) Act 1994</w:t>
            </w:r>
            <w:r>
              <w:rPr>
                <w:sz w:val="19"/>
              </w:rPr>
              <w:t xml:space="preserve"> 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1" w:type="dxa"/>
          <w:cantSplit/>
        </w:trPr>
        <w:tc>
          <w:tcPr>
            <w:tcW w:w="2273" w:type="dxa"/>
          </w:tcPr>
          <w:p>
            <w:pPr>
              <w:pStyle w:val="nTable"/>
              <w:spacing w:after="40"/>
              <w:rPr>
                <w:sz w:val="19"/>
              </w:rPr>
            </w:pPr>
            <w:r>
              <w:rPr>
                <w:i/>
                <w:sz w:val="19"/>
              </w:rPr>
              <w:t>Fire Brigades Amendment Act 1994</w:t>
            </w:r>
            <w:r>
              <w:rPr>
                <w:sz w:val="19"/>
              </w:rPr>
              <w:t xml:space="preserve"> s. 36</w:t>
            </w:r>
          </w:p>
        </w:tc>
        <w:tc>
          <w:tcPr>
            <w:tcW w:w="1138" w:type="dxa"/>
          </w:tcPr>
          <w:p>
            <w:pPr>
              <w:pStyle w:val="nTable"/>
              <w:spacing w:after="40"/>
              <w:rPr>
                <w:sz w:val="19"/>
              </w:rPr>
            </w:pPr>
            <w:r>
              <w:rPr>
                <w:sz w:val="19"/>
              </w:rPr>
              <w:t>52 of 1994</w:t>
            </w:r>
          </w:p>
        </w:tc>
        <w:tc>
          <w:tcPr>
            <w:tcW w:w="1135" w:type="dxa"/>
          </w:tcPr>
          <w:p>
            <w:pPr>
              <w:pStyle w:val="nTable"/>
              <w:spacing w:after="40"/>
              <w:rPr>
                <w:sz w:val="19"/>
              </w:rPr>
            </w:pPr>
            <w:r>
              <w:rPr>
                <w:sz w:val="19"/>
              </w:rPr>
              <w:t>2 Nov 1994</w:t>
            </w:r>
          </w:p>
        </w:tc>
        <w:tc>
          <w:tcPr>
            <w:tcW w:w="2551"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gridAfter w:val="1"/>
          <w:wAfter w:w="11" w:type="dxa"/>
          <w:cantSplit/>
        </w:trPr>
        <w:tc>
          <w:tcPr>
            <w:tcW w:w="2273" w:type="dxa"/>
          </w:tcPr>
          <w:p>
            <w:pPr>
              <w:pStyle w:val="nTable"/>
              <w:spacing w:after="40"/>
              <w:rPr>
                <w:sz w:val="19"/>
              </w:rPr>
            </w:pPr>
            <w:r>
              <w:rPr>
                <w:i/>
                <w:sz w:val="19"/>
              </w:rPr>
              <w:t>Planning Legislation Amendment Act (No. 2) 1994</w:t>
            </w:r>
            <w:r>
              <w:rPr>
                <w:sz w:val="19"/>
              </w:rPr>
              <w:t xml:space="preserve"> s. 46(1)</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11" w:type="dxa"/>
          <w:cantSplit/>
        </w:trPr>
        <w:tc>
          <w:tcPr>
            <w:tcW w:w="2273" w:type="dxa"/>
          </w:tcPr>
          <w:p>
            <w:pPr>
              <w:pStyle w:val="nTable"/>
              <w:spacing w:after="40"/>
              <w:rPr>
                <w:sz w:val="19"/>
              </w:rPr>
            </w:pPr>
            <w:r>
              <w:rPr>
                <w:i/>
                <w:sz w:val="19"/>
              </w:rPr>
              <w:t>Sentencing (Consequential Provisions) Act 1995</w:t>
            </w:r>
            <w:r>
              <w:rPr>
                <w:sz w:val="19"/>
              </w:rPr>
              <w:t xml:space="preserve"> Pt. 6 and s. 147</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11" w:type="dxa"/>
          <w:cantSplit/>
        </w:trPr>
        <w:tc>
          <w:tcPr>
            <w:tcW w:w="2273" w:type="dxa"/>
          </w:tcPr>
          <w:p>
            <w:pPr>
              <w:pStyle w:val="nTable"/>
              <w:spacing w:after="40"/>
              <w:rPr>
                <w:sz w:val="19"/>
              </w:rPr>
            </w:pPr>
            <w:r>
              <w:rPr>
                <w:i/>
                <w:sz w:val="19"/>
              </w:rPr>
              <w:t>Coroners Act 1996</w:t>
            </w:r>
            <w:r>
              <w:rPr>
                <w:sz w:val="19"/>
              </w:rPr>
              <w:t xml:space="preserve"> s. 61</w:t>
            </w:r>
          </w:p>
        </w:tc>
        <w:tc>
          <w:tcPr>
            <w:tcW w:w="1138" w:type="dxa"/>
          </w:tcPr>
          <w:p>
            <w:pPr>
              <w:pStyle w:val="nTable"/>
              <w:spacing w:after="40"/>
              <w:rPr>
                <w:sz w:val="19"/>
              </w:rPr>
            </w:pPr>
            <w:r>
              <w:rPr>
                <w:sz w:val="19"/>
              </w:rPr>
              <w:t>2 of 1996</w:t>
            </w:r>
          </w:p>
        </w:tc>
        <w:tc>
          <w:tcPr>
            <w:tcW w:w="1135"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After w:val="1"/>
          <w:wAfter w:w="11" w:type="dxa"/>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11" w:type="dxa"/>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11" w:type="dxa"/>
          <w:cantSplit/>
        </w:trPr>
        <w:tc>
          <w:tcPr>
            <w:tcW w:w="2273" w:type="dxa"/>
          </w:tcPr>
          <w:p>
            <w:pPr>
              <w:pStyle w:val="nTable"/>
              <w:spacing w:after="40"/>
              <w:rPr>
                <w:sz w:val="19"/>
              </w:rPr>
            </w:pPr>
            <w:r>
              <w:rPr>
                <w:i/>
                <w:sz w:val="19"/>
              </w:rPr>
              <w:t>Transfer of Land Amendment Act 1996</w:t>
            </w:r>
            <w:r>
              <w:rPr>
                <w:sz w:val="19"/>
              </w:rPr>
              <w:t xml:space="preserve"> s. 153(1)</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gridAfter w:val="1"/>
          <w:wAfter w:w="11" w:type="dxa"/>
          <w:cantSplit/>
        </w:trPr>
        <w:tc>
          <w:tcPr>
            <w:tcW w:w="7097"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gridAfter w:val="1"/>
          <w:wAfter w:w="11" w:type="dxa"/>
          <w:cantSplit/>
        </w:trPr>
        <w:tc>
          <w:tcPr>
            <w:tcW w:w="2273" w:type="dxa"/>
          </w:tcPr>
          <w:p>
            <w:pPr>
              <w:pStyle w:val="nTable"/>
              <w:spacing w:after="40"/>
              <w:rPr>
                <w:sz w:val="19"/>
              </w:rPr>
            </w:pPr>
            <w:r>
              <w:rPr>
                <w:i/>
                <w:sz w:val="19"/>
              </w:rPr>
              <w:t>Statutes (Repeals and Minor Amendments) Act 1997</w:t>
            </w:r>
            <w:r>
              <w:rPr>
                <w:sz w:val="19"/>
              </w:rPr>
              <w:t xml:space="preserve"> s. 26</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11" w:type="dxa"/>
          <w:cantSplit/>
        </w:trPr>
        <w:tc>
          <w:tcPr>
            <w:tcW w:w="2273" w:type="dxa"/>
          </w:tcPr>
          <w:p>
            <w:pPr>
              <w:pStyle w:val="nTable"/>
              <w:spacing w:after="40"/>
              <w:rPr>
                <w:sz w:val="19"/>
              </w:rPr>
            </w:pPr>
            <w:r>
              <w:rPr>
                <w:i/>
                <w:sz w:val="19"/>
              </w:rPr>
              <w:t>Statutes (Repeals and Minor Amendments) Act (No. 2) 1998</w:t>
            </w:r>
            <w:r>
              <w:rPr>
                <w:sz w:val="19"/>
              </w:rPr>
              <w:t xml:space="preserve"> s. 20</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11" w:type="dxa"/>
          <w:cantSplit/>
        </w:trPr>
        <w:tc>
          <w:tcPr>
            <w:tcW w:w="2273" w:type="dxa"/>
          </w:tcPr>
          <w:p>
            <w:pPr>
              <w:pStyle w:val="nTable"/>
              <w:spacing w:after="40"/>
              <w:rPr>
                <w:sz w:val="19"/>
                <w:vertAlign w:val="superscript"/>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Pt. 2 </w:t>
            </w:r>
            <w:r>
              <w:rPr>
                <w:sz w:val="19"/>
                <w:vertAlign w:val="superscript"/>
              </w:rPr>
              <w:t>6</w:t>
            </w:r>
          </w:p>
        </w:tc>
        <w:tc>
          <w:tcPr>
            <w:tcW w:w="1138" w:type="dxa"/>
          </w:tcPr>
          <w:p>
            <w:pPr>
              <w:pStyle w:val="nTable"/>
              <w:spacing w:after="40"/>
              <w:rPr>
                <w:sz w:val="19"/>
              </w:rPr>
            </w:pPr>
            <w:r>
              <w:rPr>
                <w:sz w:val="19"/>
              </w:rPr>
              <w:t>42 of 1998</w:t>
            </w:r>
          </w:p>
        </w:tc>
        <w:tc>
          <w:tcPr>
            <w:tcW w:w="1135"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After w:val="1"/>
          <w:wAfter w:w="11" w:type="dxa"/>
          <w:cantSplit/>
        </w:trPr>
        <w:tc>
          <w:tcPr>
            <w:tcW w:w="2273"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7</w:t>
            </w:r>
          </w:p>
        </w:tc>
        <w:tc>
          <w:tcPr>
            <w:tcW w:w="1138" w:type="dxa"/>
          </w:tcPr>
          <w:p>
            <w:pPr>
              <w:pStyle w:val="nTable"/>
              <w:spacing w:after="40"/>
              <w:rPr>
                <w:sz w:val="19"/>
              </w:rPr>
            </w:pPr>
            <w:r>
              <w:rPr>
                <w:sz w:val="19"/>
              </w:rPr>
              <w:t>38 of 2002</w:t>
            </w:r>
          </w:p>
        </w:tc>
        <w:tc>
          <w:tcPr>
            <w:tcW w:w="1135" w:type="dxa"/>
          </w:tcPr>
          <w:p>
            <w:pPr>
              <w:pStyle w:val="nTable"/>
              <w:spacing w:after="40"/>
              <w:rPr>
                <w:sz w:val="19"/>
              </w:rPr>
            </w:pPr>
            <w:r>
              <w:rPr>
                <w:sz w:val="19"/>
              </w:rPr>
              <w:t>20 Nov 2002</w:t>
            </w:r>
          </w:p>
        </w:tc>
        <w:tc>
          <w:tcPr>
            <w:tcW w:w="2551"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gridAfter w:val="1"/>
          <w:wAfter w:w="11" w:type="dxa"/>
          <w:cantSplit/>
        </w:trPr>
        <w:tc>
          <w:tcPr>
            <w:tcW w:w="2273" w:type="dxa"/>
          </w:tcPr>
          <w:p>
            <w:pPr>
              <w:pStyle w:val="nTable"/>
              <w:spacing w:after="40"/>
              <w:rPr>
                <w:sz w:val="19"/>
              </w:rPr>
            </w:pPr>
            <w:r>
              <w:rPr>
                <w:i/>
                <w:sz w:val="19"/>
              </w:rPr>
              <w:t>Acts Amendment (Equality of Status) Act 2003</w:t>
            </w:r>
            <w:r>
              <w:rPr>
                <w:sz w:val="19"/>
              </w:rPr>
              <w:t xml:space="preserve"> Pt. 4</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gridAfter w:val="1"/>
          <w:wAfter w:w="11" w:type="dxa"/>
          <w:cantSplit/>
        </w:trPr>
        <w:tc>
          <w:tcPr>
            <w:tcW w:w="7097"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gridAfter w:val="1"/>
          <w:wAfter w:w="11" w:type="dxa"/>
          <w:cantSplit/>
        </w:trPr>
        <w:tc>
          <w:tcPr>
            <w:tcW w:w="2273" w:type="dxa"/>
          </w:tcPr>
          <w:p>
            <w:pPr>
              <w:pStyle w:val="nTable"/>
              <w:spacing w:after="40"/>
              <w:rPr>
                <w:sz w:val="19"/>
              </w:rPr>
            </w:pPr>
            <w:r>
              <w:rPr>
                <w:i/>
                <w:sz w:val="19"/>
              </w:rPr>
              <w:t>Acts Amendment and Repeal (Competition Policy) Act 2003</w:t>
            </w:r>
            <w:r>
              <w:rPr>
                <w:sz w:val="19"/>
              </w:rPr>
              <w:t xml:space="preserve"> Pt. 3</w:t>
            </w:r>
          </w:p>
        </w:tc>
        <w:tc>
          <w:tcPr>
            <w:tcW w:w="1138"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gridAfter w:val="1"/>
          <w:wAfter w:w="11" w:type="dxa"/>
          <w:cantSplit/>
        </w:trPr>
        <w:tc>
          <w:tcPr>
            <w:tcW w:w="2273" w:type="dxa"/>
          </w:tcPr>
          <w:p>
            <w:pPr>
              <w:pStyle w:val="nTable"/>
              <w:spacing w:after="40"/>
              <w:rPr>
                <w:i/>
                <w:sz w:val="19"/>
              </w:rPr>
            </w:pPr>
            <w:r>
              <w:rPr>
                <w:i/>
                <w:sz w:val="19"/>
              </w:rPr>
              <w:t>Criminal Code Amendment Act 2004</w:t>
            </w:r>
            <w:r>
              <w:rPr>
                <w:sz w:val="19"/>
              </w:rPr>
              <w:t xml:space="preserve"> s. 58</w:t>
            </w:r>
          </w:p>
        </w:tc>
        <w:tc>
          <w:tcPr>
            <w:tcW w:w="1138" w:type="dxa"/>
          </w:tcPr>
          <w:p>
            <w:pPr>
              <w:pStyle w:val="nTable"/>
              <w:spacing w:after="40"/>
              <w:rPr>
                <w:sz w:val="19"/>
              </w:rPr>
            </w:pPr>
            <w:r>
              <w:rPr>
                <w:sz w:val="19"/>
              </w:rPr>
              <w:t>4 of 2004</w:t>
            </w:r>
          </w:p>
        </w:tc>
        <w:tc>
          <w:tcPr>
            <w:tcW w:w="1135"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sz w:val="19"/>
                <w:vertAlign w:val="superscript"/>
              </w:rPr>
            </w:pPr>
            <w:r>
              <w:rPr>
                <w:i/>
                <w:iCs/>
                <w:snapToGrid w:val="0"/>
                <w:sz w:val="19"/>
              </w:rPr>
              <w:t>Workers’ Compensation Reform Act 2004</w:t>
            </w:r>
            <w:r>
              <w:rPr>
                <w:snapToGrid w:val="0"/>
                <w:sz w:val="19"/>
              </w:rPr>
              <w:t xml:space="preserve"> s. 174</w:t>
            </w:r>
          </w:p>
        </w:tc>
        <w:tc>
          <w:tcPr>
            <w:tcW w:w="1138" w:type="dxa"/>
            <w:tcBorders>
              <w:top w:val="nil"/>
              <w:bottom w:val="nil"/>
            </w:tcBorders>
          </w:tcPr>
          <w:p>
            <w:pPr>
              <w:pStyle w:val="nTable"/>
              <w:spacing w:after="40"/>
              <w:rPr>
                <w:snapToGrid w:val="0"/>
                <w:sz w:val="19"/>
              </w:rPr>
            </w:pPr>
            <w:r>
              <w:rPr>
                <w:snapToGrid w:val="0"/>
                <w:sz w:val="19"/>
              </w:rPr>
              <w:t>42 of 2004</w:t>
            </w:r>
          </w:p>
        </w:tc>
        <w:tc>
          <w:tcPr>
            <w:tcW w:w="1135" w:type="dxa"/>
            <w:tcBorders>
              <w:top w:val="nil"/>
              <w:bottom w:val="nil"/>
            </w:tcBorders>
          </w:tcPr>
          <w:p>
            <w:pPr>
              <w:pStyle w:val="nTable"/>
              <w:spacing w:after="40"/>
              <w:rPr>
                <w:sz w:val="19"/>
              </w:rPr>
            </w:pPr>
            <w:r>
              <w:rPr>
                <w:sz w:val="19"/>
              </w:rPr>
              <w:t>9 Nov 2004</w:t>
            </w:r>
          </w:p>
        </w:tc>
        <w:tc>
          <w:tcPr>
            <w:tcW w:w="2551" w:type="dxa"/>
            <w:tcBorders>
              <w:top w:val="nil"/>
              <w:bottom w:val="nil"/>
            </w:tcBorders>
          </w:tcPr>
          <w:p>
            <w:pPr>
              <w:pStyle w:val="nTable"/>
              <w:spacing w:after="40"/>
              <w:rPr>
                <w:snapToGrid w:val="0"/>
                <w:sz w:val="19"/>
              </w:rPr>
            </w:pPr>
            <w:r>
              <w:rPr>
                <w:iCs/>
                <w:snapToGrid w:val="0"/>
                <w:spacing w:val="-2"/>
                <w:sz w:val="19"/>
              </w:rPr>
              <w:t xml:space="preserve">4 Jan 2005 (see s. 2 and </w:t>
            </w:r>
            <w:r>
              <w:rPr>
                <w:i/>
                <w:iCs/>
                <w:snapToGrid w:val="0"/>
                <w:spacing w:val="-2"/>
                <w:sz w:val="19"/>
              </w:rPr>
              <w:t>Gazette</w:t>
            </w:r>
            <w:r>
              <w:rPr>
                <w:iCs/>
                <w:snapToGrid w:val="0"/>
                <w:spacing w:val="-2"/>
                <w:sz w:val="19"/>
              </w:rPr>
              <w:t xml:space="preserve"> 31 Dec 2004 p. 7131)</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sz w:val="19"/>
              </w:rPr>
            </w:pPr>
            <w:r>
              <w:rPr>
                <w:i/>
                <w:iCs/>
                <w:snapToGrid w:val="0"/>
                <w:sz w:val="19"/>
              </w:rPr>
              <w:t>Courts Legislation Amendment and Repeal Act 2004</w:t>
            </w:r>
            <w:r>
              <w:rPr>
                <w:snapToGrid w:val="0"/>
                <w:sz w:val="19"/>
              </w:rPr>
              <w:t xml:space="preserve"> s. 141</w:t>
            </w:r>
          </w:p>
        </w:tc>
        <w:tc>
          <w:tcPr>
            <w:tcW w:w="1138" w:type="dxa"/>
            <w:tcBorders>
              <w:top w:val="nil"/>
              <w:bottom w:val="nil"/>
            </w:tcBorders>
          </w:tcPr>
          <w:p>
            <w:pPr>
              <w:pStyle w:val="nTable"/>
              <w:spacing w:after="40"/>
              <w:rPr>
                <w:snapToGrid w:val="0"/>
                <w:sz w:val="19"/>
              </w:rPr>
            </w:pPr>
            <w:r>
              <w:rPr>
                <w:snapToGrid w:val="0"/>
                <w:sz w:val="19"/>
              </w:rPr>
              <w:t>59 of 2004</w:t>
            </w:r>
          </w:p>
        </w:tc>
        <w:tc>
          <w:tcPr>
            <w:tcW w:w="1135" w:type="dxa"/>
            <w:tcBorders>
              <w:top w:val="nil"/>
              <w:bottom w:val="nil"/>
            </w:tcBorders>
          </w:tcPr>
          <w:p>
            <w:pPr>
              <w:pStyle w:val="nTable"/>
              <w:spacing w:after="40"/>
              <w:rPr>
                <w:sz w:val="19"/>
              </w:rPr>
            </w:pPr>
            <w:r>
              <w:rPr>
                <w:sz w:val="19"/>
              </w:rPr>
              <w:t>23 Nov 2004</w:t>
            </w:r>
          </w:p>
        </w:tc>
        <w:tc>
          <w:tcPr>
            <w:tcW w:w="2551" w:type="dxa"/>
            <w:tcBorders>
              <w:top w:val="nil"/>
              <w:bottom w:val="nil"/>
            </w:tcBorders>
          </w:tcPr>
          <w:p>
            <w:pPr>
              <w:pStyle w:val="nTable"/>
              <w:spacing w:after="40"/>
              <w:rPr>
                <w:iCs/>
                <w:snapToGrid w:val="0"/>
                <w:spacing w:val="-2"/>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sz w:val="19"/>
                <w:vertAlign w:val="superscript"/>
              </w:rPr>
            </w:pPr>
            <w:r>
              <w:rPr>
                <w:i/>
                <w:iCs/>
                <w:snapToGrid w:val="0"/>
                <w:sz w:val="19"/>
              </w:rPr>
              <w:t>Criminal Procedure and Appeals (Consequential and Other Provisions) Act 2004</w:t>
            </w:r>
            <w:r>
              <w:rPr>
                <w:snapToGrid w:val="0"/>
                <w:sz w:val="19"/>
              </w:rPr>
              <w:t xml:space="preserve"> s. 80</w:t>
            </w:r>
          </w:p>
        </w:tc>
        <w:tc>
          <w:tcPr>
            <w:tcW w:w="1138" w:type="dxa"/>
            <w:tcBorders>
              <w:top w:val="nil"/>
              <w:bottom w:val="nil"/>
            </w:tcBorders>
          </w:tcPr>
          <w:p>
            <w:pPr>
              <w:pStyle w:val="nTable"/>
              <w:spacing w:after="40"/>
              <w:rPr>
                <w:snapToGrid w:val="0"/>
                <w:sz w:val="19"/>
              </w:rPr>
            </w:pPr>
            <w:r>
              <w:rPr>
                <w:snapToGrid w:val="0"/>
                <w:sz w:val="19"/>
              </w:rPr>
              <w:t>84 of 2004</w:t>
            </w:r>
          </w:p>
        </w:tc>
        <w:tc>
          <w:tcPr>
            <w:tcW w:w="1135"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blPrEx>
          <w:tblBorders>
            <w:top w:val="single" w:sz="4" w:space="0" w:color="auto"/>
            <w:bottom w:val="single" w:sz="4" w:space="0" w:color="auto"/>
            <w:insideH w:val="single" w:sz="4" w:space="0" w:color="auto"/>
          </w:tblBorders>
        </w:tblPrEx>
        <w:trPr>
          <w:gridAfter w:val="1"/>
          <w:wAfter w:w="11" w:type="dxa"/>
          <w:cantSplit/>
        </w:trPr>
        <w:tc>
          <w:tcPr>
            <w:tcW w:w="7097" w:type="dxa"/>
            <w:gridSpan w:val="4"/>
            <w:tcBorders>
              <w:top w:val="nil"/>
              <w:bottom w:val="nil"/>
            </w:tcBorders>
          </w:tcPr>
          <w:p>
            <w:pPr>
              <w:pStyle w:val="nTable"/>
              <w:spacing w:after="40"/>
              <w:rPr>
                <w:snapToGrid w:val="0"/>
                <w:sz w:val="19"/>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sz w:val="19"/>
              </w:rPr>
            </w:pPr>
            <w:r>
              <w:rPr>
                <w:i/>
                <w:iCs/>
                <w:snapToGrid w:val="0"/>
                <w:sz w:val="19"/>
              </w:rPr>
              <w:t xml:space="preserve">Machinery of Government (Miscellaneous Amendments) Act 2006 </w:t>
            </w:r>
            <w:r>
              <w:rPr>
                <w:snapToGrid w:val="0"/>
                <w:sz w:val="19"/>
              </w:rPr>
              <w:t>Pt. 14 Div. 1</w:t>
            </w:r>
          </w:p>
        </w:tc>
        <w:tc>
          <w:tcPr>
            <w:tcW w:w="1138" w:type="dxa"/>
            <w:tcBorders>
              <w:top w:val="nil"/>
              <w:bottom w:val="nil"/>
            </w:tcBorders>
          </w:tcPr>
          <w:p>
            <w:pPr>
              <w:pStyle w:val="nTable"/>
              <w:spacing w:after="40"/>
              <w:rPr>
                <w:snapToGrid w:val="0"/>
                <w:sz w:val="19"/>
              </w:rPr>
            </w:pPr>
            <w:r>
              <w:rPr>
                <w:snapToGrid w:val="0"/>
                <w:sz w:val="19"/>
              </w:rPr>
              <w:t>28 of 2006</w:t>
            </w:r>
          </w:p>
        </w:tc>
        <w:tc>
          <w:tcPr>
            <w:tcW w:w="1135"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sz w:val="19"/>
              </w:rPr>
            </w:pPr>
            <w:r>
              <w:rPr>
                <w:i/>
                <w:snapToGrid w:val="0"/>
                <w:sz w:val="19"/>
              </w:rPr>
              <w:t>Land Information Authority Act 2006</w:t>
            </w:r>
            <w:r>
              <w:rPr>
                <w:iCs/>
                <w:snapToGrid w:val="0"/>
                <w:sz w:val="19"/>
              </w:rPr>
              <w:t xml:space="preserve"> s. 126</w:t>
            </w:r>
          </w:p>
        </w:tc>
        <w:tc>
          <w:tcPr>
            <w:tcW w:w="1138" w:type="dxa"/>
            <w:tcBorders>
              <w:top w:val="nil"/>
              <w:bottom w:val="nil"/>
            </w:tcBorders>
          </w:tcPr>
          <w:p>
            <w:pPr>
              <w:pStyle w:val="nTable"/>
              <w:spacing w:after="40"/>
              <w:rPr>
                <w:snapToGrid w:val="0"/>
                <w:sz w:val="19"/>
              </w:rPr>
            </w:pPr>
            <w:r>
              <w:rPr>
                <w:snapToGrid w:val="0"/>
                <w:sz w:val="19"/>
              </w:rPr>
              <w:t>60 of 2006</w:t>
            </w:r>
          </w:p>
        </w:tc>
        <w:tc>
          <w:tcPr>
            <w:tcW w:w="1135" w:type="dxa"/>
            <w:tcBorders>
              <w:top w:val="nil"/>
              <w:bottom w:val="nil"/>
            </w:tcBorders>
          </w:tcPr>
          <w:p>
            <w:pPr>
              <w:pStyle w:val="nTable"/>
              <w:spacing w:after="40"/>
              <w:rPr>
                <w:sz w:val="19"/>
              </w:rPr>
            </w:pPr>
            <w:r>
              <w:rPr>
                <w:snapToGrid w:val="0"/>
                <w:sz w:val="19"/>
              </w:rPr>
              <w:t>16 Nov 2006</w:t>
            </w:r>
          </w:p>
        </w:tc>
        <w:tc>
          <w:tcPr>
            <w:tcW w:w="2551" w:type="dxa"/>
            <w:tcBorders>
              <w:top w:val="nil"/>
              <w:bottom w:val="nil"/>
            </w:tcBorders>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rPr>
          <w:gridAfter w:val="1"/>
          <w:wAfter w:w="11" w:type="dxa"/>
          <w:cantSplit/>
        </w:trPr>
        <w:tc>
          <w:tcPr>
            <w:tcW w:w="2273" w:type="dxa"/>
          </w:tcPr>
          <w:p>
            <w:pPr>
              <w:pStyle w:val="nTable"/>
              <w:spacing w:after="40"/>
              <w:rPr>
                <w:sz w:val="19"/>
                <w:vertAlign w:val="superscript"/>
              </w:rPr>
            </w:pPr>
            <w:r>
              <w:rPr>
                <w:i/>
                <w:snapToGrid w:val="0"/>
                <w:sz w:val="19"/>
              </w:rPr>
              <w:t>Biosecurity and Agriculture Management (Repeal and Consequential Provisions) Act 2007</w:t>
            </w:r>
            <w:r>
              <w:rPr>
                <w:iCs/>
                <w:snapToGrid w:val="0"/>
                <w:sz w:val="19"/>
              </w:rPr>
              <w:t xml:space="preserve"> s. 28</w:t>
            </w:r>
          </w:p>
        </w:tc>
        <w:tc>
          <w:tcPr>
            <w:tcW w:w="1138" w:type="dxa"/>
          </w:tcPr>
          <w:p>
            <w:pPr>
              <w:pStyle w:val="nTable"/>
              <w:spacing w:after="40"/>
              <w:rPr>
                <w:sz w:val="19"/>
              </w:rPr>
            </w:pPr>
            <w:r>
              <w:rPr>
                <w:snapToGrid w:val="0"/>
                <w:sz w:val="19"/>
              </w:rPr>
              <w:t>24 of 2007</w:t>
            </w:r>
          </w:p>
        </w:tc>
        <w:tc>
          <w:tcPr>
            <w:tcW w:w="1135" w:type="dxa"/>
          </w:tcPr>
          <w:p>
            <w:pPr>
              <w:pStyle w:val="nTable"/>
              <w:spacing w:after="40"/>
              <w:rPr>
                <w:sz w:val="19"/>
              </w:rPr>
            </w:pPr>
            <w:r>
              <w:rPr>
                <w:snapToGrid w:val="0"/>
                <w:sz w:val="19"/>
              </w:rPr>
              <w:t>12 Oct 2007</w:t>
            </w:r>
          </w:p>
        </w:tc>
        <w:tc>
          <w:tcPr>
            <w:tcW w:w="2551" w:type="dxa"/>
          </w:tcPr>
          <w:p>
            <w:pPr>
              <w:pStyle w:val="nTable"/>
              <w:spacing w:after="40"/>
              <w:rPr>
                <w:b/>
                <w:sz w:val="19"/>
              </w:rPr>
            </w:pPr>
            <w:r>
              <w:rPr>
                <w:snapToGrid w:val="0"/>
                <w:sz w:val="19"/>
              </w:rPr>
              <w:t xml:space="preserve">1 May 2013 (see s. 2(2) and </w:t>
            </w:r>
            <w:r>
              <w:rPr>
                <w:i/>
                <w:snapToGrid w:val="0"/>
                <w:sz w:val="19"/>
              </w:rPr>
              <w:t>Gazette</w:t>
            </w:r>
            <w:r>
              <w:rPr>
                <w:snapToGrid w:val="0"/>
                <w:sz w:val="19"/>
              </w:rPr>
              <w:t xml:space="preserve"> 5 Feb 2013 p. 823)</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snapToGrid w:val="0"/>
                <w:sz w:val="19"/>
              </w:rPr>
            </w:pPr>
            <w:r>
              <w:rPr>
                <w:i/>
                <w:snapToGrid w:val="0"/>
                <w:sz w:val="19"/>
              </w:rPr>
              <w:t>Bush Fires Amendment Act 2009</w:t>
            </w:r>
            <w:r>
              <w:rPr>
                <w:iCs/>
                <w:snapToGrid w:val="0"/>
                <w:sz w:val="19"/>
              </w:rPr>
              <w:t xml:space="preserve"> Pt. 2</w:t>
            </w:r>
          </w:p>
        </w:tc>
        <w:tc>
          <w:tcPr>
            <w:tcW w:w="1138" w:type="dxa"/>
            <w:tcBorders>
              <w:top w:val="nil"/>
              <w:bottom w:val="nil"/>
            </w:tcBorders>
          </w:tcPr>
          <w:p>
            <w:pPr>
              <w:pStyle w:val="nTable"/>
              <w:spacing w:after="40"/>
              <w:rPr>
                <w:snapToGrid w:val="0"/>
                <w:sz w:val="19"/>
              </w:rPr>
            </w:pPr>
            <w:r>
              <w:rPr>
                <w:snapToGrid w:val="0"/>
                <w:sz w:val="19"/>
              </w:rPr>
              <w:t>25 of 2009</w:t>
            </w:r>
          </w:p>
        </w:tc>
        <w:tc>
          <w:tcPr>
            <w:tcW w:w="1135" w:type="dxa"/>
            <w:tcBorders>
              <w:top w:val="nil"/>
              <w:bottom w:val="nil"/>
            </w:tcBorders>
          </w:tcPr>
          <w:p>
            <w:pPr>
              <w:pStyle w:val="nTable"/>
              <w:spacing w:after="40"/>
              <w:rPr>
                <w:snapToGrid w:val="0"/>
                <w:sz w:val="19"/>
              </w:rPr>
            </w:pPr>
            <w:r>
              <w:rPr>
                <w:snapToGrid w:val="0"/>
                <w:sz w:val="19"/>
              </w:rPr>
              <w:t>17 Nov 2009</w:t>
            </w:r>
          </w:p>
        </w:tc>
        <w:tc>
          <w:tcPr>
            <w:tcW w:w="2551" w:type="dxa"/>
            <w:tcBorders>
              <w:top w:val="nil"/>
              <w:bottom w:val="nil"/>
            </w:tcBorders>
          </w:tcPr>
          <w:p>
            <w:pPr>
              <w:pStyle w:val="nTable"/>
              <w:spacing w:after="40"/>
              <w:rPr>
                <w:snapToGrid w:val="0"/>
                <w:sz w:val="19"/>
              </w:rPr>
            </w:pPr>
            <w:r>
              <w:rPr>
                <w:snapToGrid w:val="0"/>
                <w:sz w:val="19"/>
              </w:rPr>
              <w:t xml:space="preserve">1 Dec 2009 (see s. 2(b) and </w:t>
            </w:r>
            <w:r>
              <w:rPr>
                <w:i/>
                <w:snapToGrid w:val="0"/>
                <w:sz w:val="19"/>
              </w:rPr>
              <w:t>Gazette</w:t>
            </w:r>
            <w:r>
              <w:rPr>
                <w:iCs/>
                <w:snapToGrid w:val="0"/>
                <w:sz w:val="19"/>
              </w:rPr>
              <w:t xml:space="preserve"> 1 Dec 2009 p. 4829</w:t>
            </w:r>
            <w:r>
              <w:rPr>
                <w:snapToGrid w:val="0"/>
                <w:sz w:val="19"/>
              </w:rPr>
              <w:t>)</w:t>
            </w:r>
          </w:p>
        </w:tc>
      </w:tr>
      <w:tr>
        <w:trPr>
          <w:gridAfter w:val="1"/>
          <w:wAfter w:w="11" w:type="dxa"/>
          <w:cantSplit/>
        </w:trPr>
        <w:tc>
          <w:tcPr>
            <w:tcW w:w="2273" w:type="dxa"/>
          </w:tcPr>
          <w:p>
            <w:pPr>
              <w:pStyle w:val="nTable"/>
              <w:spacing w:after="40"/>
              <w:rPr>
                <w:iCs/>
                <w:snapToGrid w:val="0"/>
                <w:sz w:val="19"/>
              </w:rPr>
            </w:pPr>
            <w:r>
              <w:rPr>
                <w:i/>
                <w:snapToGrid w:val="0"/>
                <w:sz w:val="19"/>
              </w:rPr>
              <w:t>Arson Legislation Amendment Act 2009</w:t>
            </w:r>
            <w:r>
              <w:rPr>
                <w:iCs/>
                <w:snapToGrid w:val="0"/>
                <w:sz w:val="19"/>
              </w:rPr>
              <w:t xml:space="preserve"> Pt. 2</w:t>
            </w:r>
          </w:p>
        </w:tc>
        <w:tc>
          <w:tcPr>
            <w:tcW w:w="1138" w:type="dxa"/>
          </w:tcPr>
          <w:p>
            <w:pPr>
              <w:pStyle w:val="nTable"/>
              <w:spacing w:after="40"/>
              <w:rPr>
                <w:sz w:val="19"/>
              </w:rPr>
            </w:pPr>
            <w:r>
              <w:rPr>
                <w:sz w:val="19"/>
              </w:rPr>
              <w:t>43 of 2009</w:t>
            </w:r>
          </w:p>
        </w:tc>
        <w:tc>
          <w:tcPr>
            <w:tcW w:w="1135" w:type="dxa"/>
          </w:tcPr>
          <w:p>
            <w:pPr>
              <w:pStyle w:val="nTable"/>
              <w:spacing w:after="40"/>
              <w:rPr>
                <w:sz w:val="19"/>
              </w:rPr>
            </w:pPr>
            <w:r>
              <w:rPr>
                <w:sz w:val="19"/>
              </w:rPr>
              <w:t>3 Dec 2009</w:t>
            </w:r>
          </w:p>
        </w:tc>
        <w:tc>
          <w:tcPr>
            <w:tcW w:w="2551" w:type="dxa"/>
          </w:tcPr>
          <w:p>
            <w:pPr>
              <w:pStyle w:val="nTable"/>
              <w:spacing w:after="40"/>
              <w:rPr>
                <w:snapToGrid w:val="0"/>
                <w:sz w:val="19"/>
              </w:rPr>
            </w:pPr>
            <w:r>
              <w:rPr>
                <w:snapToGrid w:val="0"/>
                <w:sz w:val="19"/>
              </w:rPr>
              <w:t xml:space="preserve">19 Dec 2009 (see s. 2(b) and </w:t>
            </w:r>
            <w:r>
              <w:rPr>
                <w:i/>
                <w:iCs/>
                <w:snapToGrid w:val="0"/>
                <w:sz w:val="19"/>
              </w:rPr>
              <w:t>Gazette</w:t>
            </w:r>
            <w:r>
              <w:rPr>
                <w:snapToGrid w:val="0"/>
                <w:sz w:val="19"/>
              </w:rPr>
              <w:t xml:space="preserve"> 18 Dec 2009 p. 5167)</w:t>
            </w:r>
          </w:p>
        </w:tc>
      </w:tr>
      <w:tr>
        <w:trPr>
          <w:gridAfter w:val="1"/>
          <w:wAfter w:w="11" w:type="dxa"/>
          <w:cantSplit/>
        </w:trPr>
        <w:tc>
          <w:tcPr>
            <w:tcW w:w="7097" w:type="dxa"/>
            <w:gridSpan w:val="4"/>
          </w:tcPr>
          <w:p>
            <w:pPr>
              <w:pStyle w:val="nTable"/>
              <w:spacing w:after="40"/>
              <w:rPr>
                <w:snapToGrid w:val="0"/>
                <w:sz w:val="19"/>
              </w:rPr>
            </w:pPr>
            <w:r>
              <w:rPr>
                <w:b/>
                <w:sz w:val="19"/>
              </w:rPr>
              <w:t xml:space="preserve">Reprint 8: The </w:t>
            </w:r>
            <w:r>
              <w:rPr>
                <w:b/>
                <w:i/>
                <w:sz w:val="19"/>
              </w:rPr>
              <w:t>Bush Fires Act 1954</w:t>
            </w:r>
            <w:r>
              <w:rPr>
                <w:b/>
                <w:sz w:val="19"/>
              </w:rPr>
              <w:t xml:space="preserve"> as at 9 Apr 2010 </w:t>
            </w:r>
            <w:r>
              <w:rPr>
                <w:sz w:val="19"/>
              </w:rPr>
              <w:t xml:space="preserve">(includes amendments listed above except those in the </w:t>
            </w:r>
            <w:r>
              <w:rPr>
                <w:i/>
                <w:snapToGrid w:val="0"/>
                <w:sz w:val="19"/>
              </w:rPr>
              <w:t>Biosecurity and Agriculture Management (Repeal and Consequential Provisions) Act 2007</w:t>
            </w:r>
            <w:r>
              <w:rPr>
                <w:sz w:val="19"/>
              </w:rPr>
              <w:t>)</w:t>
            </w:r>
          </w:p>
        </w:tc>
      </w:tr>
      <w:tr>
        <w:trPr>
          <w:gridAfter w:val="1"/>
          <w:wAfter w:w="11" w:type="dxa"/>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43(3) and 52</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color w:val="000000"/>
                <w:sz w:val="19"/>
              </w:rPr>
              <w:t xml:space="preserve">s. 43(3), 52(1)-(3) and 52(4) (other than the amendments to s. 21(1), (2) and (3), s. 39(2), s. 45 and s. 47, the amendment to s. 44(3) to delete “(3)(a) Where” and insert “(3) Where” and the amendments to s. 64 to delete “s. 21(2),” and insert “s. 21(2A) and (2B),”): 11 Sep 2010 (see s. 2(b) and </w:t>
            </w:r>
            <w:r>
              <w:rPr>
                <w:i/>
                <w:color w:val="000000"/>
                <w:sz w:val="19"/>
              </w:rPr>
              <w:t xml:space="preserve">Gazette </w:t>
            </w:r>
            <w:r>
              <w:rPr>
                <w:color w:val="000000"/>
                <w:sz w:val="19"/>
              </w:rPr>
              <w:t>10 Sep 2010 p. 4341)</w:t>
            </w:r>
          </w:p>
        </w:tc>
      </w:tr>
      <w:tr>
        <w:trPr>
          <w:gridAfter w:val="1"/>
          <w:wAfter w:w="11" w:type="dxa"/>
          <w:cantSplit/>
        </w:trPr>
        <w:tc>
          <w:tcPr>
            <w:tcW w:w="2273" w:type="dxa"/>
          </w:tcPr>
          <w:p>
            <w:pPr>
              <w:pStyle w:val="nTable"/>
              <w:spacing w:after="40"/>
              <w:ind w:right="113"/>
              <w:rPr>
                <w:snapToGrid w:val="0"/>
                <w:sz w:val="19"/>
              </w:rPr>
            </w:pPr>
            <w:r>
              <w:rPr>
                <w:i/>
                <w:snapToGrid w:val="0"/>
                <w:sz w:val="19"/>
              </w:rPr>
              <w:t>Statutes (Repeals and Minor Amendments) Act 2011</w:t>
            </w:r>
            <w:r>
              <w:rPr>
                <w:snapToGrid w:val="0"/>
                <w:sz w:val="19"/>
              </w:rPr>
              <w:t xml:space="preserve"> s. 16</w:t>
            </w:r>
          </w:p>
        </w:tc>
        <w:tc>
          <w:tcPr>
            <w:tcW w:w="1138" w:type="dxa"/>
          </w:tcPr>
          <w:p>
            <w:pPr>
              <w:pStyle w:val="nTable"/>
              <w:spacing w:after="40"/>
              <w:rPr>
                <w:snapToGrid w:val="0"/>
                <w:sz w:val="19"/>
              </w:rPr>
            </w:pPr>
            <w:r>
              <w:rPr>
                <w:snapToGrid w:val="0"/>
                <w:sz w:val="19"/>
              </w:rPr>
              <w:t>47 of 2011</w:t>
            </w:r>
          </w:p>
        </w:tc>
        <w:tc>
          <w:tcPr>
            <w:tcW w:w="1135" w:type="dxa"/>
          </w:tcPr>
          <w:p>
            <w:pPr>
              <w:pStyle w:val="nTable"/>
              <w:spacing w:after="40"/>
              <w:rPr>
                <w:snapToGrid w:val="0"/>
                <w:sz w:val="19"/>
              </w:rPr>
            </w:pPr>
            <w:r>
              <w:rPr>
                <w:snapToGrid w:val="0"/>
                <w:sz w:val="19"/>
              </w:rPr>
              <w:t>25 Oct 2011</w:t>
            </w:r>
          </w:p>
        </w:tc>
        <w:tc>
          <w:tcPr>
            <w:tcW w:w="2551" w:type="dxa"/>
          </w:tcPr>
          <w:p>
            <w:pPr>
              <w:pStyle w:val="nTable"/>
              <w:spacing w:after="40"/>
              <w:rPr>
                <w:snapToGrid w:val="0"/>
                <w:sz w:val="19"/>
              </w:rPr>
            </w:pPr>
            <w:r>
              <w:rPr>
                <w:snapToGrid w:val="0"/>
                <w:sz w:val="19"/>
              </w:rPr>
              <w:t>26 Oct 2011 (see s. 2(b))</w:t>
            </w:r>
          </w:p>
        </w:tc>
      </w:tr>
      <w:tr>
        <w:trPr>
          <w:gridAfter w:val="1"/>
          <w:wAfter w:w="11" w:type="dxa"/>
          <w:cantSplit/>
        </w:trPr>
        <w:tc>
          <w:tcPr>
            <w:tcW w:w="2273" w:type="dxa"/>
            <w:shd w:val="clear" w:color="auto" w:fill="auto"/>
          </w:tcPr>
          <w:p>
            <w:pPr>
              <w:pStyle w:val="nTable"/>
              <w:spacing w:after="40"/>
              <w:ind w:right="113"/>
              <w:rPr>
                <w:i/>
                <w:snapToGrid w:val="0"/>
                <w:sz w:val="19"/>
              </w:rPr>
            </w:pPr>
            <w:r>
              <w:rPr>
                <w:i/>
                <w:snapToGrid w:val="0"/>
                <w:sz w:val="19"/>
              </w:rPr>
              <w:t>Fire and Emergency Services Legislation Amendment Act 2012</w:t>
            </w:r>
            <w:r>
              <w:rPr>
                <w:snapToGrid w:val="0"/>
                <w:sz w:val="19"/>
              </w:rPr>
              <w:t xml:space="preserve"> Pt. 3</w:t>
            </w:r>
          </w:p>
        </w:tc>
        <w:tc>
          <w:tcPr>
            <w:tcW w:w="1138" w:type="dxa"/>
            <w:shd w:val="clear" w:color="auto" w:fill="auto"/>
          </w:tcPr>
          <w:p>
            <w:pPr>
              <w:pStyle w:val="nTable"/>
              <w:spacing w:after="40"/>
              <w:rPr>
                <w:snapToGrid w:val="0"/>
                <w:sz w:val="19"/>
              </w:rPr>
            </w:pPr>
            <w:r>
              <w:rPr>
                <w:snapToGrid w:val="0"/>
                <w:sz w:val="19"/>
              </w:rPr>
              <w:t>22 of 2012</w:t>
            </w:r>
          </w:p>
        </w:tc>
        <w:tc>
          <w:tcPr>
            <w:tcW w:w="1135" w:type="dxa"/>
            <w:shd w:val="clear" w:color="auto" w:fill="auto"/>
          </w:tcPr>
          <w:p>
            <w:pPr>
              <w:pStyle w:val="nTable"/>
              <w:spacing w:after="40"/>
              <w:rPr>
                <w:snapToGrid w:val="0"/>
                <w:sz w:val="19"/>
              </w:rPr>
            </w:pPr>
            <w:r>
              <w:rPr>
                <w:snapToGrid w:val="0"/>
                <w:sz w:val="19"/>
              </w:rPr>
              <w:t>29 Aug 2012</w:t>
            </w:r>
          </w:p>
        </w:tc>
        <w:tc>
          <w:tcPr>
            <w:tcW w:w="2551" w:type="dxa"/>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gridAfter w:val="1"/>
          <w:wAfter w:w="11" w:type="dxa"/>
          <w:cantSplit/>
        </w:trPr>
        <w:tc>
          <w:tcPr>
            <w:tcW w:w="7097" w:type="dxa"/>
            <w:gridSpan w:val="4"/>
            <w:tcBorders>
              <w:bottom w:val="single" w:sz="8" w:space="0" w:color="auto"/>
            </w:tcBorders>
            <w:shd w:val="clear" w:color="auto" w:fill="auto"/>
          </w:tcPr>
          <w:p>
            <w:pPr>
              <w:pStyle w:val="nTable"/>
              <w:spacing w:after="40"/>
              <w:rPr>
                <w:snapToGrid w:val="0"/>
                <w:sz w:val="19"/>
              </w:rPr>
            </w:pPr>
            <w:r>
              <w:rPr>
                <w:b/>
                <w:sz w:val="19"/>
              </w:rPr>
              <w:t xml:space="preserve">Reprint 9:  The </w:t>
            </w:r>
            <w:r>
              <w:rPr>
                <w:b/>
                <w:i/>
                <w:sz w:val="19"/>
              </w:rPr>
              <w:t>Bush Fires Act 1954</w:t>
            </w:r>
            <w:r>
              <w:rPr>
                <w:b/>
                <w:sz w:val="19"/>
              </w:rPr>
              <w:t xml:space="preserve"> as at 11 Oct 2013 </w:t>
            </w:r>
            <w:r>
              <w:rPr>
                <w:sz w:val="19"/>
              </w:rPr>
              <w:t>(includes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22" w:name="_Toc392495430"/>
      <w:r>
        <w:t>Provisions that have not come into operation</w:t>
      </w:r>
      <w:bookmarkEnd w:id="122"/>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615"/>
        <w:gridCol w:w="13"/>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rPr>
                <w:b/>
                <w:sz w:val="19"/>
                <w:szCs w:val="19"/>
              </w:rPr>
            </w:pPr>
            <w:r>
              <w:rPr>
                <w:b/>
                <w:sz w:val="19"/>
                <w:szCs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szCs w:val="19"/>
              </w:rPr>
            </w:pPr>
            <w:r>
              <w:rPr>
                <w:b/>
                <w:sz w:val="19"/>
                <w:szCs w:val="19"/>
              </w:rPr>
              <w:t>Assent</w:t>
            </w:r>
          </w:p>
        </w:tc>
        <w:tc>
          <w:tcPr>
            <w:tcW w:w="2618" w:type="dxa"/>
            <w:gridSpan w:val="2"/>
            <w:tcBorders>
              <w:top w:val="single" w:sz="8" w:space="0" w:color="auto"/>
              <w:bottom w:val="single" w:sz="8" w:space="0" w:color="auto"/>
            </w:tcBorders>
            <w:shd w:val="clear" w:color="auto" w:fill="auto"/>
          </w:tcPr>
          <w:p>
            <w:pPr>
              <w:pStyle w:val="nTable"/>
              <w:spacing w:after="40"/>
              <w:rPr>
                <w:b/>
                <w:sz w:val="19"/>
                <w:szCs w:val="19"/>
              </w:rPr>
            </w:pPr>
            <w:r>
              <w:rPr>
                <w:b/>
                <w:sz w:val="19"/>
                <w:szCs w:val="19"/>
              </w:rPr>
              <w:t>Commencement</w:t>
            </w:r>
          </w:p>
        </w:tc>
      </w:tr>
      <w:tr>
        <w:trPr>
          <w:gridAfter w:val="1"/>
          <w:wAfter w:w="13" w:type="dxa"/>
          <w:cantSplit/>
        </w:trPr>
        <w:tc>
          <w:tcPr>
            <w:tcW w:w="2273" w:type="dxa"/>
          </w:tcPr>
          <w:p>
            <w:pPr>
              <w:pStyle w:val="nTable"/>
              <w:spacing w:after="40"/>
              <w:rPr>
                <w:i/>
                <w:snapToGrid w:val="0"/>
                <w:sz w:val="19"/>
                <w:szCs w:val="19"/>
              </w:rPr>
            </w:pPr>
            <w:r>
              <w:rPr>
                <w:i/>
                <w:snapToGrid w:val="0"/>
                <w:sz w:val="19"/>
                <w:szCs w:val="19"/>
              </w:rPr>
              <w:t>Standardisation of Formatting Act 2010</w:t>
            </w:r>
            <w:r>
              <w:rPr>
                <w:iCs/>
                <w:snapToGrid w:val="0"/>
                <w:sz w:val="19"/>
                <w:szCs w:val="19"/>
              </w:rPr>
              <w:t xml:space="preserve"> s. 52(4)</w:t>
            </w:r>
            <w:r>
              <w:rPr>
                <w:iCs/>
                <w:snapToGrid w:val="0"/>
                <w:sz w:val="19"/>
                <w:szCs w:val="19"/>
                <w:vertAlign w:val="superscript"/>
              </w:rPr>
              <w:t> 8</w:t>
            </w:r>
          </w:p>
        </w:tc>
        <w:tc>
          <w:tcPr>
            <w:tcW w:w="1138" w:type="dxa"/>
          </w:tcPr>
          <w:p>
            <w:pPr>
              <w:pStyle w:val="nTable"/>
              <w:spacing w:after="40"/>
              <w:rPr>
                <w:snapToGrid w:val="0"/>
                <w:sz w:val="19"/>
                <w:szCs w:val="19"/>
              </w:rPr>
            </w:pPr>
            <w:r>
              <w:rPr>
                <w:snapToGrid w:val="0"/>
                <w:sz w:val="19"/>
                <w:szCs w:val="19"/>
              </w:rPr>
              <w:t>19 of 2010 (as amended by No. 17 of 2014 s. 39(5)-(8)</w:t>
            </w:r>
            <w:r>
              <w:rPr>
                <w:snapToGrid w:val="0"/>
                <w:sz w:val="19"/>
                <w:szCs w:val="19"/>
                <w:vertAlign w:val="superscript"/>
              </w:rPr>
              <w:t> 11</w:t>
            </w:r>
            <w:r>
              <w:rPr>
                <w:snapToGrid w:val="0"/>
                <w:sz w:val="19"/>
                <w:szCs w:val="19"/>
              </w:rPr>
              <w:t>)</w:t>
            </w:r>
          </w:p>
        </w:tc>
        <w:tc>
          <w:tcPr>
            <w:tcW w:w="1135" w:type="dxa"/>
          </w:tcPr>
          <w:p>
            <w:pPr>
              <w:pStyle w:val="nTable"/>
              <w:spacing w:after="40"/>
              <w:rPr>
                <w:snapToGrid w:val="0"/>
                <w:sz w:val="19"/>
                <w:szCs w:val="19"/>
              </w:rPr>
            </w:pPr>
            <w:r>
              <w:rPr>
                <w:snapToGrid w:val="0"/>
                <w:sz w:val="19"/>
                <w:szCs w:val="19"/>
              </w:rPr>
              <w:t>28 Jun 2010</w:t>
            </w:r>
          </w:p>
        </w:tc>
        <w:tc>
          <w:tcPr>
            <w:tcW w:w="2605" w:type="dxa"/>
          </w:tcPr>
          <w:p>
            <w:pPr>
              <w:pStyle w:val="nTable"/>
              <w:spacing w:after="40"/>
              <w:rPr>
                <w:snapToGrid w:val="0"/>
                <w:sz w:val="19"/>
                <w:szCs w:val="19"/>
              </w:rPr>
            </w:pPr>
            <w:r>
              <w:rPr>
                <w:color w:val="000000"/>
                <w:sz w:val="19"/>
                <w:szCs w:val="19"/>
              </w:rPr>
              <w:t xml:space="preserve">s. 52(4) the amendments to s. 21(1), (2) and (3), s. 39(2), s. 45 and s. 47, the amendment to s. 44(3) to delete “(3)(a) Where” and insert “(3) Where” and s. 64 the amendment to delete “s. 21(2),” and insert “s. 21(2A) and (2B),”): </w:t>
            </w:r>
            <w:r>
              <w:rPr>
                <w:snapToGrid w:val="0"/>
                <w:sz w:val="19"/>
                <w:szCs w:val="19"/>
              </w:rPr>
              <w:t>to be proclaimed (see s. 2(b))</w:t>
            </w:r>
          </w:p>
        </w:tc>
      </w:tr>
      <w:tr>
        <w:trPr>
          <w:gridAfter w:val="1"/>
          <w:wAfter w:w="13" w:type="dxa"/>
          <w:cantSplit/>
        </w:trPr>
        <w:tc>
          <w:tcPr>
            <w:tcW w:w="2273" w:type="dxa"/>
            <w:shd w:val="clear" w:color="auto" w:fill="auto"/>
          </w:tcPr>
          <w:p>
            <w:pPr>
              <w:pStyle w:val="nTable"/>
              <w:spacing w:after="40"/>
              <w:rPr>
                <w:i/>
                <w:snapToGrid w:val="0"/>
                <w:sz w:val="19"/>
                <w:szCs w:val="19"/>
              </w:rPr>
            </w:pPr>
            <w:r>
              <w:rPr>
                <w:i/>
                <w:snapToGrid w:val="0"/>
                <w:sz w:val="19"/>
                <w:szCs w:val="19"/>
              </w:rPr>
              <w:t xml:space="preserve">Road Traffic Legislation Amendment Act 2012 </w:t>
            </w:r>
            <w:r>
              <w:rPr>
                <w:snapToGrid w:val="0"/>
                <w:sz w:val="19"/>
                <w:szCs w:val="19"/>
              </w:rPr>
              <w:t>Pt. 4 Div. 4</w:t>
            </w:r>
            <w:r>
              <w:rPr>
                <w:rFonts w:ascii="Times" w:hAnsi="Times"/>
                <w:snapToGrid w:val="0"/>
                <w:sz w:val="19"/>
                <w:szCs w:val="19"/>
                <w:vertAlign w:val="superscript"/>
              </w:rPr>
              <w:t> </w:t>
            </w:r>
            <w:r>
              <w:rPr>
                <w:snapToGrid w:val="0"/>
                <w:sz w:val="19"/>
                <w:szCs w:val="19"/>
                <w:vertAlign w:val="superscript"/>
              </w:rPr>
              <w:t>10</w:t>
            </w:r>
          </w:p>
        </w:tc>
        <w:tc>
          <w:tcPr>
            <w:tcW w:w="1138" w:type="dxa"/>
            <w:shd w:val="clear" w:color="auto" w:fill="auto"/>
          </w:tcPr>
          <w:p>
            <w:pPr>
              <w:pStyle w:val="nTable"/>
              <w:spacing w:after="40"/>
              <w:rPr>
                <w:snapToGrid w:val="0"/>
                <w:sz w:val="19"/>
                <w:szCs w:val="19"/>
              </w:rPr>
            </w:pPr>
            <w:r>
              <w:rPr>
                <w:snapToGrid w:val="0"/>
                <w:sz w:val="19"/>
                <w:szCs w:val="19"/>
              </w:rPr>
              <w:t>8 of 2012</w:t>
            </w:r>
          </w:p>
        </w:tc>
        <w:tc>
          <w:tcPr>
            <w:tcW w:w="1135" w:type="dxa"/>
            <w:shd w:val="clear" w:color="auto" w:fill="auto"/>
          </w:tcPr>
          <w:p>
            <w:pPr>
              <w:pStyle w:val="nTable"/>
              <w:spacing w:after="40"/>
              <w:rPr>
                <w:snapToGrid w:val="0"/>
                <w:sz w:val="19"/>
                <w:szCs w:val="19"/>
              </w:rPr>
            </w:pPr>
            <w:r>
              <w:rPr>
                <w:snapToGrid w:val="0"/>
                <w:sz w:val="19"/>
                <w:szCs w:val="19"/>
              </w:rPr>
              <w:t>21 May 2012</w:t>
            </w:r>
          </w:p>
        </w:tc>
        <w:tc>
          <w:tcPr>
            <w:tcW w:w="2605" w:type="dxa"/>
            <w:shd w:val="clear" w:color="auto" w:fill="auto"/>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3" w:type="dxa"/>
        </w:trPr>
        <w:tc>
          <w:tcPr>
            <w:tcW w:w="2273" w:type="dxa"/>
            <w:tcBorders>
              <w:top w:val="nil"/>
            </w:tcBorders>
          </w:tcPr>
          <w:p>
            <w:pPr>
              <w:pStyle w:val="nSubsection"/>
              <w:tabs>
                <w:tab w:val="clear" w:pos="454"/>
              </w:tabs>
              <w:spacing w:before="40" w:after="40"/>
              <w:ind w:left="0" w:firstLine="0"/>
              <w:rPr>
                <w:sz w:val="19"/>
                <w:szCs w:val="19"/>
                <w:vertAlign w:val="superscript"/>
              </w:rPr>
            </w:pPr>
            <w:r>
              <w:rPr>
                <w:i/>
                <w:snapToGrid w:val="0"/>
                <w:sz w:val="19"/>
                <w:szCs w:val="19"/>
              </w:rPr>
              <w:t xml:space="preserve">Statutes (Repeals and Minor Amendments) Act 2014 </w:t>
            </w:r>
            <w:r>
              <w:rPr>
                <w:snapToGrid w:val="0"/>
                <w:sz w:val="19"/>
                <w:szCs w:val="19"/>
              </w:rPr>
              <w:t>s. 17 and 39(5)</w:t>
            </w:r>
            <w:r>
              <w:rPr>
                <w:snapToGrid w:val="0"/>
                <w:sz w:val="19"/>
                <w:szCs w:val="19"/>
              </w:rPr>
              <w:noBreakHyphen/>
              <w:t>(8)</w:t>
            </w:r>
            <w:r>
              <w:rPr>
                <w:i/>
                <w:snapToGrid w:val="0"/>
                <w:sz w:val="19"/>
                <w:szCs w:val="19"/>
              </w:rPr>
              <w:t> </w:t>
            </w:r>
            <w:r>
              <w:rPr>
                <w:noProof/>
                <w:snapToGrid w:val="0"/>
                <w:sz w:val="19"/>
                <w:szCs w:val="19"/>
                <w:vertAlign w:val="superscript"/>
              </w:rPr>
              <w:t>11</w:t>
            </w:r>
          </w:p>
        </w:tc>
        <w:tc>
          <w:tcPr>
            <w:tcW w:w="1134" w:type="dxa"/>
            <w:tcBorders>
              <w:top w:val="nil"/>
            </w:tcBorders>
          </w:tcPr>
          <w:p>
            <w:pPr>
              <w:pStyle w:val="nTable"/>
              <w:spacing w:after="40"/>
              <w:rPr>
                <w:sz w:val="19"/>
                <w:szCs w:val="19"/>
              </w:rPr>
            </w:pPr>
            <w:r>
              <w:rPr>
                <w:sz w:val="19"/>
                <w:szCs w:val="19"/>
              </w:rPr>
              <w:t>17 of 2014</w:t>
            </w:r>
          </w:p>
        </w:tc>
        <w:tc>
          <w:tcPr>
            <w:tcW w:w="1134" w:type="dxa"/>
            <w:tcBorders>
              <w:top w:val="nil"/>
            </w:tcBorders>
          </w:tcPr>
          <w:p>
            <w:pPr>
              <w:pStyle w:val="nTable"/>
              <w:spacing w:after="40"/>
              <w:rPr>
                <w:sz w:val="19"/>
                <w:szCs w:val="19"/>
              </w:rPr>
            </w:pPr>
            <w:r>
              <w:rPr>
                <w:sz w:val="19"/>
                <w:szCs w:val="19"/>
              </w:rPr>
              <w:t>2 Jul 2014</w:t>
            </w:r>
          </w:p>
        </w:tc>
        <w:tc>
          <w:tcPr>
            <w:tcW w:w="2615" w:type="dxa"/>
            <w:tcBorders>
              <w:top w:val="nil"/>
            </w:tcBorders>
          </w:tcPr>
          <w:p>
            <w:pPr>
              <w:pStyle w:val="nTable"/>
              <w:spacing w:after="40"/>
              <w:rPr>
                <w:snapToGrid w:val="0"/>
                <w:sz w:val="19"/>
                <w:szCs w:val="19"/>
              </w:rPr>
            </w:pPr>
            <w:r>
              <w:rPr>
                <w:snapToGrid w:val="0"/>
                <w:sz w:val="19"/>
                <w:szCs w:val="19"/>
              </w:rPr>
              <w:t>To be proclaimed (see s. 2(b))</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rPr>
          <w:snapToGrid w:val="0"/>
        </w:rPr>
      </w:pPr>
      <w:r>
        <w:rPr>
          <w:snapToGrid w:val="0"/>
          <w:vertAlign w:val="superscript"/>
        </w:rPr>
        <w:t>8</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Standardisation of Formatting Act 2010</w:t>
      </w:r>
      <w:r>
        <w:rPr>
          <w:snapToGrid w:val="0"/>
        </w:rPr>
        <w:t xml:space="preserve"> s. 52(4) had not come into operation </w:t>
      </w:r>
      <w:r>
        <w:rPr>
          <w:snapToGrid w:val="0"/>
          <w:vertAlign w:val="superscript"/>
        </w:rPr>
        <w:t>9</w:t>
      </w:r>
      <w:r>
        <w:rPr>
          <w:snapToGrid w:val="0"/>
        </w:rPr>
        <w:t>.  It reads as follows:</w:t>
      </w:r>
    </w:p>
    <w:p>
      <w:pPr>
        <w:pStyle w:val="BlankOpen"/>
      </w:pPr>
    </w:p>
    <w:p>
      <w:pPr>
        <w:pStyle w:val="nzHeading5"/>
        <w:rPr>
          <w:iCs/>
        </w:rPr>
      </w:pPr>
      <w:r>
        <w:rPr>
          <w:rStyle w:val="CharSectno"/>
        </w:rPr>
        <w:t>52</w:t>
      </w:r>
      <w:r>
        <w:t>.</w:t>
      </w:r>
      <w:r>
        <w:tab/>
      </w:r>
      <w:r>
        <w:rPr>
          <w:i/>
        </w:rPr>
        <w:t>Bush Fires Act 1954</w:t>
      </w:r>
      <w:r>
        <w:rPr>
          <w:iCs/>
        </w:rPr>
        <w:t xml:space="preserve"> amended</w:t>
      </w:r>
    </w:p>
    <w:p>
      <w:pPr>
        <w:pStyle w:val="nzSubsection"/>
      </w:pPr>
      <w:r>
        <w:tab/>
        <w:t>(4)</w:t>
      </w:r>
      <w:r>
        <w:tab/>
        <w:t>Amend the provisions listed in the Table as set out in the Table </w:t>
      </w:r>
      <w:r>
        <w:rPr>
          <w:vertAlign w:val="superscript"/>
        </w:rPr>
        <w:t>9</w:t>
      </w:r>
      <w:r>
        <w:t>.</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nzTable"/>
              <w:jc w:val="center"/>
              <w:rPr>
                <w:b/>
                <w:bCs/>
              </w:rPr>
            </w:pPr>
            <w:r>
              <w:rPr>
                <w:b/>
                <w:bCs/>
              </w:rPr>
              <w:t>Provision</w:t>
            </w:r>
          </w:p>
        </w:tc>
        <w:tc>
          <w:tcPr>
            <w:tcW w:w="2551" w:type="dxa"/>
          </w:tcPr>
          <w:p>
            <w:pPr>
              <w:pStyle w:val="nzTable"/>
              <w:jc w:val="center"/>
              <w:rPr>
                <w:b/>
                <w:bCs/>
              </w:rPr>
            </w:pPr>
            <w:r>
              <w:rPr>
                <w:b/>
                <w:bCs/>
              </w:rPr>
              <w:t>Delete</w:t>
            </w:r>
          </w:p>
        </w:tc>
        <w:tc>
          <w:tcPr>
            <w:tcW w:w="2551" w:type="dxa"/>
          </w:tcPr>
          <w:p>
            <w:pPr>
              <w:pStyle w:val="nzTable"/>
              <w:jc w:val="center"/>
              <w:rPr>
                <w:b/>
                <w:bCs/>
              </w:rPr>
            </w:pPr>
            <w:r>
              <w:rPr>
                <w:b/>
                <w:bCs/>
              </w:rPr>
              <w:t>Insert</w:t>
            </w:r>
          </w:p>
        </w:tc>
      </w:tr>
      <w:tr>
        <w:trPr>
          <w:jc w:val="center"/>
        </w:trPr>
        <w:tc>
          <w:tcPr>
            <w:tcW w:w="1702" w:type="dxa"/>
          </w:tcPr>
          <w:p>
            <w:pPr>
              <w:pStyle w:val="nzTable"/>
            </w:pPr>
            <w:r>
              <w:t>s. 21(1)</w:t>
            </w:r>
          </w:p>
        </w:tc>
        <w:tc>
          <w:tcPr>
            <w:tcW w:w="2551" w:type="dxa"/>
          </w:tcPr>
          <w:p>
            <w:pPr>
              <w:pStyle w:val="nzTable"/>
              <w:rPr>
                <w:snapToGrid w:val="0"/>
              </w:rPr>
            </w:pPr>
            <w:r>
              <w:rPr>
                <w:snapToGrid w:val="0"/>
              </w:rPr>
              <w:t>(1)(a)</w:t>
            </w:r>
            <w:r>
              <w:rPr>
                <w:snapToGrid w:val="0"/>
              </w:rPr>
              <w:tab/>
              <w:t>Where</w:t>
            </w:r>
          </w:p>
          <w:p>
            <w:pPr>
              <w:pStyle w:val="nzTable"/>
            </w:pPr>
            <w:r>
              <w:rPr>
                <w:snapToGrid w:val="0"/>
              </w:rPr>
              <w:t>(b)</w:t>
            </w:r>
            <w:r>
              <w:rPr>
                <w:snapToGrid w:val="0"/>
              </w:rPr>
              <w:tab/>
              <w:t>The Minister</w:t>
            </w:r>
          </w:p>
        </w:tc>
        <w:tc>
          <w:tcPr>
            <w:tcW w:w="2551" w:type="dxa"/>
          </w:tcPr>
          <w:p>
            <w:pPr>
              <w:pStyle w:val="nzTable"/>
              <w:rPr>
                <w:snapToGrid w:val="0"/>
              </w:rPr>
            </w:pPr>
            <w:r>
              <w:rPr>
                <w:snapToGrid w:val="0"/>
              </w:rPr>
              <w:t>(1A)</w:t>
            </w:r>
            <w:r>
              <w:rPr>
                <w:snapToGrid w:val="0"/>
              </w:rPr>
              <w:tab/>
              <w:t>Where</w:t>
            </w:r>
          </w:p>
          <w:p>
            <w:pPr>
              <w:pStyle w:val="nzTable"/>
            </w:pPr>
            <w:r>
              <w:rPr>
                <w:snapToGrid w:val="0"/>
              </w:rPr>
              <w:t>(1B)</w:t>
            </w:r>
            <w:r>
              <w:rPr>
                <w:snapToGrid w:val="0"/>
              </w:rPr>
              <w:tab/>
              <w:t>The Minister</w:t>
            </w:r>
          </w:p>
        </w:tc>
      </w:tr>
      <w:tr>
        <w:trPr>
          <w:jc w:val="center"/>
        </w:trPr>
        <w:tc>
          <w:tcPr>
            <w:tcW w:w="1702" w:type="dxa"/>
          </w:tcPr>
          <w:p>
            <w:pPr>
              <w:pStyle w:val="nzTable"/>
            </w:pPr>
            <w:r>
              <w:t>s. 21(2)</w:t>
            </w:r>
          </w:p>
        </w:tc>
        <w:tc>
          <w:tcPr>
            <w:tcW w:w="2551" w:type="dxa"/>
          </w:tcPr>
          <w:p>
            <w:pPr>
              <w:pStyle w:val="nzTable"/>
              <w:rPr>
                <w:snapToGrid w:val="0"/>
              </w:rPr>
            </w:pPr>
            <w:r>
              <w:rPr>
                <w:snapToGrid w:val="0"/>
              </w:rPr>
              <w:t>(2)(a)</w:t>
            </w:r>
            <w:r>
              <w:rPr>
                <w:snapToGrid w:val="0"/>
              </w:rPr>
              <w:tab/>
              <w:t>Subject</w:t>
            </w:r>
          </w:p>
          <w:p>
            <w:pPr>
              <w:pStyle w:val="nzTable"/>
              <w:ind w:left="720" w:hanging="720"/>
            </w:pPr>
            <w:r>
              <w:rPr>
                <w:snapToGrid w:val="0"/>
              </w:rPr>
              <w:t>(b)</w:t>
            </w:r>
            <w:r>
              <w:rPr>
                <w:snapToGrid w:val="0"/>
              </w:rPr>
              <w:tab/>
              <w:t>Permission under this subsection</w:t>
            </w:r>
          </w:p>
        </w:tc>
        <w:tc>
          <w:tcPr>
            <w:tcW w:w="2551" w:type="dxa"/>
          </w:tcPr>
          <w:p>
            <w:pPr>
              <w:pStyle w:val="nzTable"/>
              <w:rPr>
                <w:snapToGrid w:val="0"/>
              </w:rPr>
            </w:pPr>
            <w:r>
              <w:rPr>
                <w:snapToGrid w:val="0"/>
              </w:rPr>
              <w:t>(2A)</w:t>
            </w:r>
            <w:r>
              <w:rPr>
                <w:snapToGrid w:val="0"/>
              </w:rPr>
              <w:tab/>
              <w:t>Subject</w:t>
            </w:r>
          </w:p>
          <w:p>
            <w:pPr>
              <w:pStyle w:val="nzTable"/>
              <w:ind w:left="720" w:hanging="720"/>
            </w:pPr>
            <w:r>
              <w:rPr>
                <w:snapToGrid w:val="0"/>
              </w:rPr>
              <w:t>(2B)</w:t>
            </w:r>
            <w:r>
              <w:rPr>
                <w:snapToGrid w:val="0"/>
              </w:rPr>
              <w:tab/>
              <w:t xml:space="preserve">Permission under </w:t>
            </w:r>
            <w:r>
              <w:t>subsection (2A)</w:t>
            </w:r>
          </w:p>
        </w:tc>
      </w:tr>
      <w:tr>
        <w:trPr>
          <w:jc w:val="center"/>
        </w:trPr>
        <w:tc>
          <w:tcPr>
            <w:tcW w:w="1702" w:type="dxa"/>
          </w:tcPr>
          <w:p>
            <w:pPr>
              <w:pStyle w:val="nzTable"/>
            </w:pPr>
            <w:r>
              <w:t>s. 21(3)</w:t>
            </w:r>
          </w:p>
        </w:tc>
        <w:tc>
          <w:tcPr>
            <w:tcW w:w="2551" w:type="dxa"/>
          </w:tcPr>
          <w:p>
            <w:pPr>
              <w:pStyle w:val="nzTable"/>
              <w:ind w:left="720" w:hanging="720"/>
              <w:rPr>
                <w:snapToGrid w:val="0"/>
              </w:rPr>
            </w:pPr>
            <w:r>
              <w:rPr>
                <w:snapToGrid w:val="0"/>
              </w:rPr>
              <w:t>(3)(a)</w:t>
            </w:r>
            <w:r>
              <w:rPr>
                <w:snapToGrid w:val="0"/>
              </w:rPr>
              <w:tab/>
              <w:t>During subsection (1)</w:t>
            </w:r>
          </w:p>
          <w:p>
            <w:pPr>
              <w:pStyle w:val="nzTable"/>
            </w:pPr>
            <w:r>
              <w:rPr>
                <w:snapToGrid w:val="0"/>
              </w:rPr>
              <w:t>(b)</w:t>
            </w:r>
            <w:r>
              <w:rPr>
                <w:snapToGrid w:val="0"/>
              </w:rPr>
              <w:tab/>
              <w:t>Where</w:t>
            </w:r>
          </w:p>
        </w:tc>
        <w:tc>
          <w:tcPr>
            <w:tcW w:w="2551" w:type="dxa"/>
          </w:tcPr>
          <w:p>
            <w:pPr>
              <w:pStyle w:val="nzTable"/>
              <w:ind w:left="720" w:hanging="720"/>
              <w:rPr>
                <w:snapToGrid w:val="0"/>
              </w:rPr>
            </w:pPr>
            <w:r>
              <w:rPr>
                <w:snapToGrid w:val="0"/>
              </w:rPr>
              <w:t>(3A)</w:t>
            </w:r>
            <w:r>
              <w:rPr>
                <w:snapToGrid w:val="0"/>
              </w:rPr>
              <w:tab/>
              <w:t>During subsection (1A)</w:t>
            </w:r>
          </w:p>
          <w:p>
            <w:pPr>
              <w:pStyle w:val="nzTable"/>
            </w:pPr>
            <w:r>
              <w:rPr>
                <w:snapToGrid w:val="0"/>
              </w:rPr>
              <w:t>(3B)</w:t>
            </w:r>
            <w:r>
              <w:rPr>
                <w:snapToGrid w:val="0"/>
              </w:rPr>
              <w:tab/>
              <w:t>Where</w:t>
            </w:r>
          </w:p>
        </w:tc>
      </w:tr>
      <w:tr>
        <w:trPr>
          <w:jc w:val="center"/>
        </w:trPr>
        <w:tc>
          <w:tcPr>
            <w:tcW w:w="1702" w:type="dxa"/>
          </w:tcPr>
          <w:p>
            <w:pPr>
              <w:pStyle w:val="nzTable"/>
            </w:pPr>
            <w:r>
              <w:t>s. 39(2)</w:t>
            </w:r>
          </w:p>
        </w:tc>
        <w:tc>
          <w:tcPr>
            <w:tcW w:w="2551" w:type="dxa"/>
          </w:tcPr>
          <w:p>
            <w:pPr>
              <w:pStyle w:val="nzTable"/>
            </w:pPr>
            <w:r>
              <w:rPr>
                <w:snapToGrid w:val="0"/>
              </w:rPr>
              <w:t>(2)(a)</w:t>
            </w:r>
            <w:r>
              <w:rPr>
                <w:snapToGrid w:val="0"/>
              </w:rPr>
              <w:tab/>
              <w:t>Where</w:t>
            </w:r>
          </w:p>
        </w:tc>
        <w:tc>
          <w:tcPr>
            <w:tcW w:w="2551" w:type="dxa"/>
          </w:tcPr>
          <w:p>
            <w:pPr>
              <w:pStyle w:val="nzTable"/>
            </w:pPr>
            <w:r>
              <w:rPr>
                <w:snapToGrid w:val="0"/>
              </w:rPr>
              <w:t>(2)</w:t>
            </w:r>
            <w:r>
              <w:rPr>
                <w:snapToGrid w:val="0"/>
              </w:rPr>
              <w:tab/>
              <w:t>Where</w:t>
            </w:r>
          </w:p>
        </w:tc>
      </w:tr>
      <w:tr>
        <w:trPr>
          <w:jc w:val="center"/>
        </w:trPr>
        <w:tc>
          <w:tcPr>
            <w:tcW w:w="1702" w:type="dxa"/>
          </w:tcPr>
          <w:p>
            <w:pPr>
              <w:pStyle w:val="nzTable"/>
            </w:pPr>
            <w:r>
              <w:t>s. 44(3)</w:t>
            </w:r>
          </w:p>
        </w:tc>
        <w:tc>
          <w:tcPr>
            <w:tcW w:w="2551" w:type="dxa"/>
          </w:tcPr>
          <w:p>
            <w:pPr>
              <w:pStyle w:val="nzTable"/>
            </w:pPr>
            <w:r>
              <w:t>(3)(a)</w:t>
            </w:r>
            <w:r>
              <w:tab/>
              <w:t>Where</w:t>
            </w:r>
          </w:p>
        </w:tc>
        <w:tc>
          <w:tcPr>
            <w:tcW w:w="2551" w:type="dxa"/>
          </w:tcPr>
          <w:p>
            <w:pPr>
              <w:pStyle w:val="nzTable"/>
            </w:pPr>
            <w:r>
              <w:t>(3)</w:t>
            </w:r>
            <w:r>
              <w:tab/>
              <w:t>Where</w:t>
            </w:r>
          </w:p>
        </w:tc>
      </w:tr>
      <w:tr>
        <w:trPr>
          <w:jc w:val="center"/>
        </w:trPr>
        <w:tc>
          <w:tcPr>
            <w:tcW w:w="1702" w:type="dxa"/>
          </w:tcPr>
          <w:p>
            <w:pPr>
              <w:pStyle w:val="nzTable"/>
            </w:pPr>
            <w:r>
              <w:t>s. 45</w:t>
            </w:r>
          </w:p>
        </w:tc>
        <w:tc>
          <w:tcPr>
            <w:tcW w:w="2551" w:type="dxa"/>
          </w:tcPr>
          <w:p>
            <w:pPr>
              <w:pStyle w:val="nzTable"/>
              <w:rPr>
                <w:snapToGrid w:val="0"/>
              </w:rPr>
            </w:pPr>
            <w:r>
              <w:rPr>
                <w:snapToGrid w:val="0"/>
              </w:rPr>
              <w:t>(a)</w:t>
            </w:r>
            <w:r>
              <w:rPr>
                <w:snapToGrid w:val="0"/>
              </w:rPr>
              <w:tab/>
              <w:t>Where</w:t>
            </w:r>
          </w:p>
          <w:p>
            <w:pPr>
              <w:pStyle w:val="nzTable"/>
            </w:pPr>
            <w:r>
              <w:rPr>
                <w:snapToGrid w:val="0"/>
              </w:rPr>
              <w:t>(b)</w:t>
            </w:r>
            <w:r>
              <w:rPr>
                <w:snapToGrid w:val="0"/>
              </w:rPr>
              <w:tab/>
              <w:t>Where</w:t>
            </w:r>
          </w:p>
        </w:tc>
        <w:tc>
          <w:tcPr>
            <w:tcW w:w="2551" w:type="dxa"/>
          </w:tcPr>
          <w:p>
            <w:pPr>
              <w:pStyle w:val="nzTable"/>
              <w:rPr>
                <w:snapToGrid w:val="0"/>
              </w:rPr>
            </w:pPr>
            <w:r>
              <w:rPr>
                <w:snapToGrid w:val="0"/>
              </w:rPr>
              <w:t>(1)</w:t>
            </w:r>
            <w:r>
              <w:rPr>
                <w:snapToGrid w:val="0"/>
              </w:rPr>
              <w:tab/>
              <w:t>Where</w:t>
            </w:r>
          </w:p>
          <w:p>
            <w:pPr>
              <w:pStyle w:val="nzTable"/>
            </w:pPr>
            <w:r>
              <w:rPr>
                <w:snapToGrid w:val="0"/>
              </w:rPr>
              <w:t>(2)</w:t>
            </w:r>
            <w:r>
              <w:rPr>
                <w:snapToGrid w:val="0"/>
              </w:rPr>
              <w:tab/>
              <w:t>Where</w:t>
            </w:r>
          </w:p>
        </w:tc>
      </w:tr>
      <w:tr>
        <w:trPr>
          <w:jc w:val="center"/>
        </w:trPr>
        <w:tc>
          <w:tcPr>
            <w:tcW w:w="1702" w:type="dxa"/>
          </w:tcPr>
          <w:p>
            <w:pPr>
              <w:pStyle w:val="nzTable"/>
            </w:pPr>
            <w:r>
              <w:t>s. 47</w:t>
            </w:r>
          </w:p>
        </w:tc>
        <w:tc>
          <w:tcPr>
            <w:tcW w:w="2551" w:type="dxa"/>
          </w:tcPr>
          <w:p>
            <w:pPr>
              <w:pStyle w:val="nzTable"/>
            </w:pPr>
            <w:r>
              <w:rPr>
                <w:snapToGrid w:val="0"/>
              </w:rPr>
              <w:t>section 39(2)(a)</w:t>
            </w:r>
          </w:p>
        </w:tc>
        <w:tc>
          <w:tcPr>
            <w:tcW w:w="2551" w:type="dxa"/>
          </w:tcPr>
          <w:p>
            <w:pPr>
              <w:pStyle w:val="nzTable"/>
            </w:pPr>
            <w:r>
              <w:t>section 39(2)</w:t>
            </w:r>
          </w:p>
        </w:tc>
      </w:tr>
      <w:tr>
        <w:trPr>
          <w:jc w:val="center"/>
        </w:trPr>
        <w:tc>
          <w:tcPr>
            <w:tcW w:w="1702" w:type="dxa"/>
          </w:tcPr>
          <w:p>
            <w:pPr>
              <w:pStyle w:val="nzTable"/>
            </w:pPr>
            <w:r>
              <w:t>s. 64</w:t>
            </w:r>
          </w:p>
        </w:tc>
        <w:tc>
          <w:tcPr>
            <w:tcW w:w="2551" w:type="dxa"/>
          </w:tcPr>
          <w:p>
            <w:pPr>
              <w:pStyle w:val="nzTable"/>
            </w:pPr>
            <w:r>
              <w:t>section 21(2),</w:t>
            </w:r>
          </w:p>
        </w:tc>
        <w:tc>
          <w:tcPr>
            <w:tcW w:w="2551" w:type="dxa"/>
          </w:tcPr>
          <w:p>
            <w:pPr>
              <w:pStyle w:val="nzTable"/>
            </w:pPr>
            <w:r>
              <w:t>section 21(2A) and (2B),</w:t>
            </w:r>
          </w:p>
        </w:tc>
      </w:tr>
    </w:tbl>
    <w:p>
      <w:pPr>
        <w:pStyle w:val="BlankClose"/>
      </w:pPr>
    </w:p>
    <w:p>
      <w:pPr>
        <w:pStyle w:val="nSubsection"/>
      </w:pPr>
      <w:r>
        <w:rPr>
          <w:snapToGrid w:val="0"/>
          <w:vertAlign w:val="superscript"/>
        </w:rPr>
        <w:t>9</w:t>
      </w:r>
      <w:r>
        <w:rPr>
          <w:snapToGrid w:val="0"/>
        </w:rPr>
        <w:tab/>
        <w:t>Footnote n</w:t>
      </w:r>
      <w:r>
        <w:t>o longer applicable.</w:t>
      </w:r>
    </w:p>
    <w:p>
      <w:pPr>
        <w:pStyle w:val="nSubsection"/>
        <w:keepNext/>
        <w:rPr>
          <w:snapToGrid w:val="0"/>
        </w:rPr>
      </w:pPr>
      <w:r>
        <w:rPr>
          <w:snapToGrid w:val="0"/>
          <w:vertAlign w:val="superscript"/>
        </w:rPr>
        <w:t>10</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 xml:space="preserve">Road Traffic Legislation Amendment Act 2012 </w:t>
      </w:r>
      <w:r>
        <w:rPr>
          <w:snapToGrid w:val="0"/>
        </w:rPr>
        <w:t>Pt. 4 Div. 4 had not come into operation.  It reads as follows:</w:t>
      </w:r>
    </w:p>
    <w:p>
      <w:pPr>
        <w:pStyle w:val="BlankOpen"/>
        <w:rPr>
          <w:snapToGrid w:val="0"/>
        </w:rPr>
      </w:pPr>
    </w:p>
    <w:p>
      <w:pPr>
        <w:pStyle w:val="nzHeading3"/>
      </w:pPr>
      <w:r>
        <w:rPr>
          <w:rStyle w:val="CharDivNo"/>
        </w:rPr>
        <w:t>Division 4</w:t>
      </w:r>
      <w:r>
        <w:t> — </w:t>
      </w:r>
      <w:r>
        <w:rPr>
          <w:rStyle w:val="CharDivText"/>
          <w:i/>
        </w:rPr>
        <w:t>Bush Fires Act 1954</w:t>
      </w:r>
      <w:r>
        <w:rPr>
          <w:rStyle w:val="CharDivText"/>
        </w:rPr>
        <w:t xml:space="preserve"> amended</w:t>
      </w:r>
    </w:p>
    <w:p>
      <w:pPr>
        <w:pStyle w:val="nzHeading5"/>
      </w:pPr>
      <w:r>
        <w:rPr>
          <w:rStyle w:val="CharSectno"/>
        </w:rPr>
        <w:t>46</w:t>
      </w:r>
      <w:r>
        <w:t>.</w:t>
      </w:r>
      <w:r>
        <w:tab/>
        <w:t>Act amended</w:t>
      </w:r>
    </w:p>
    <w:p>
      <w:pPr>
        <w:pStyle w:val="nzSubsection"/>
      </w:pPr>
      <w:r>
        <w:tab/>
      </w:r>
      <w:r>
        <w:tab/>
        <w:t xml:space="preserve">This Division amends the </w:t>
      </w:r>
      <w:r>
        <w:rPr>
          <w:i/>
        </w:rPr>
        <w:t>Bush Fires Act 1954</w:t>
      </w:r>
      <w:r>
        <w:t>.</w:t>
      </w:r>
    </w:p>
    <w:p>
      <w:pPr>
        <w:pStyle w:val="nzHeading5"/>
      </w:pPr>
      <w:r>
        <w:rPr>
          <w:rStyle w:val="CharSectno"/>
        </w:rPr>
        <w:t>47</w:t>
      </w:r>
      <w:r>
        <w:t>.</w:t>
      </w:r>
      <w:r>
        <w:tab/>
        <w:t>Section 14B amended</w:t>
      </w:r>
    </w:p>
    <w:p>
      <w:pPr>
        <w:pStyle w:val="nzSubsection"/>
      </w:pPr>
      <w:r>
        <w:tab/>
      </w:r>
      <w:r>
        <w:tab/>
        <w:t>In section 14B(3) delete “</w:t>
      </w:r>
      <w:r>
        <w:rPr>
          <w:i/>
        </w:rPr>
        <w:t>Road Traffic Act 1974</w:t>
      </w:r>
      <w:r>
        <w:t>” and insert:</w:t>
      </w:r>
    </w:p>
    <w:p>
      <w:pPr>
        <w:pStyle w:val="BlankOpen"/>
      </w:pPr>
    </w:p>
    <w:p>
      <w:pPr>
        <w:pStyle w:val="nzSubsection"/>
      </w:pPr>
      <w:r>
        <w:tab/>
      </w:r>
      <w:r>
        <w:tab/>
      </w:r>
      <w:r>
        <w:rPr>
          <w:i/>
        </w:rPr>
        <w:t>Road Traffic (Vehicles) Act 2012</w:t>
      </w:r>
    </w:p>
    <w:p>
      <w:pPr>
        <w:pStyle w:val="BlankClose"/>
      </w:pP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rPr>
        <w:t xml:space="preserve">Statutes (Repeals and Minor Amendments) Act 2014 </w:t>
      </w:r>
      <w:r>
        <w:rPr>
          <w:snapToGrid w:val="0"/>
        </w:rPr>
        <w:t>s. 17 and 39(5)</w:t>
      </w:r>
      <w:r>
        <w:rPr>
          <w:snapToGrid w:val="0"/>
        </w:rPr>
        <w:noBreakHyphen/>
        <w:t>(8)</w:t>
      </w:r>
      <w:r>
        <w:rPr>
          <w:i/>
          <w:snapToGrid w:val="0"/>
        </w:rPr>
        <w:t xml:space="preserve"> </w:t>
      </w:r>
      <w:r>
        <w:rPr>
          <w:snapToGrid w:val="0"/>
        </w:rPr>
        <w:t>had not come into operation.  They read as follows:</w:t>
      </w:r>
    </w:p>
    <w:p>
      <w:pPr>
        <w:pStyle w:val="BlankOpen"/>
        <w:rPr>
          <w:snapToGrid w:val="0"/>
        </w:rPr>
      </w:pPr>
    </w:p>
    <w:p>
      <w:pPr>
        <w:pStyle w:val="nzHeading5"/>
      </w:pPr>
      <w:bookmarkStart w:id="123" w:name="_Toc392133803"/>
      <w:bookmarkStart w:id="124" w:name="_Toc392144307"/>
      <w:r>
        <w:rPr>
          <w:rStyle w:val="CharSectno"/>
        </w:rPr>
        <w:t>17</w:t>
      </w:r>
      <w:r>
        <w:t>.</w:t>
      </w:r>
      <w:r>
        <w:tab/>
      </w:r>
      <w:r>
        <w:rPr>
          <w:i/>
        </w:rPr>
        <w:t>Bush Fires Act 1954</w:t>
      </w:r>
      <w:r>
        <w:t xml:space="preserve"> amended</w:t>
      </w:r>
      <w:bookmarkEnd w:id="123"/>
      <w:bookmarkEnd w:id="124"/>
    </w:p>
    <w:p>
      <w:pPr>
        <w:pStyle w:val="nzSubsection"/>
      </w:pPr>
      <w:r>
        <w:tab/>
        <w:t>(1)</w:t>
      </w:r>
      <w:r>
        <w:tab/>
        <w:t xml:space="preserve">This section amends the </w:t>
      </w:r>
      <w:r>
        <w:rPr>
          <w:i/>
        </w:rPr>
        <w:t>Bush Fires Act 1954</w:t>
      </w:r>
      <w:r>
        <w:t>.</w:t>
      </w:r>
    </w:p>
    <w:p>
      <w:pPr>
        <w:pStyle w:val="nzSubsection"/>
      </w:pPr>
      <w:r>
        <w:tab/>
        <w:t>(2)</w:t>
      </w:r>
      <w:r>
        <w:tab/>
        <w:t>In section 38(14) delete “this”.</w:t>
      </w:r>
    </w:p>
    <w:p>
      <w:pPr>
        <w:pStyle w:val="nzSubsection"/>
      </w:pPr>
      <w:r>
        <w:tab/>
        <w:t>(3)</w:t>
      </w:r>
      <w:r>
        <w:tab/>
        <w:t>In section 38(18):</w:t>
      </w:r>
    </w:p>
    <w:p>
      <w:pPr>
        <w:pStyle w:val="nzIndenta"/>
      </w:pPr>
      <w:r>
        <w:tab/>
        <w:t>(a)</w:t>
      </w:r>
      <w:r>
        <w:tab/>
        <w:t>delete “(i) during” and insert:</w:t>
      </w:r>
    </w:p>
    <w:p>
      <w:pPr>
        <w:pStyle w:val="BlankOpen"/>
      </w:pPr>
    </w:p>
    <w:p>
      <w:pPr>
        <w:pStyle w:val="nzIndenta"/>
      </w:pPr>
      <w:r>
        <w:tab/>
        <w:t>(a)</w:t>
      </w:r>
      <w:r>
        <w:tab/>
        <w:t>during</w:t>
      </w:r>
    </w:p>
    <w:p>
      <w:pPr>
        <w:pStyle w:val="BlankClose"/>
      </w:pPr>
    </w:p>
    <w:p>
      <w:pPr>
        <w:pStyle w:val="nzIndenta"/>
      </w:pPr>
      <w:r>
        <w:tab/>
        <w:t>(b)</w:t>
      </w:r>
      <w:r>
        <w:tab/>
        <w:t>delete “(ii) during” and insert:</w:t>
      </w:r>
    </w:p>
    <w:p>
      <w:pPr>
        <w:pStyle w:val="BlankOpen"/>
      </w:pPr>
    </w:p>
    <w:p>
      <w:pPr>
        <w:pStyle w:val="nzIndenta"/>
      </w:pPr>
      <w:r>
        <w:tab/>
        <w:t>(b)</w:t>
      </w:r>
      <w:r>
        <w:tab/>
        <w:t>during</w:t>
      </w:r>
    </w:p>
    <w:p>
      <w:pPr>
        <w:pStyle w:val="BlankClose"/>
      </w:pPr>
    </w:p>
    <w:p>
      <w:pPr>
        <w:pStyle w:val="nzSubsection"/>
      </w:pPr>
      <w:r>
        <w:tab/>
        <w:t>(4)</w:t>
      </w:r>
      <w:r>
        <w:tab/>
        <w:t>In section 44 delete “(3)(a) Subject” and insert:</w:t>
      </w:r>
    </w:p>
    <w:p>
      <w:pPr>
        <w:pStyle w:val="BlankOpen"/>
      </w:pPr>
    </w:p>
    <w:p>
      <w:pPr>
        <w:pStyle w:val="nzSubsection"/>
      </w:pPr>
      <w:r>
        <w:tab/>
        <w:t>(3)</w:t>
      </w:r>
      <w:r>
        <w:tab/>
        <w:t>Subject</w:t>
      </w:r>
    </w:p>
    <w:p>
      <w:pPr>
        <w:pStyle w:val="BlankClose"/>
      </w:pPr>
      <w:bookmarkStart w:id="125" w:name="_Toc392133825"/>
      <w:bookmarkStart w:id="126" w:name="_Toc392144329"/>
    </w:p>
    <w:p>
      <w:pPr>
        <w:pStyle w:val="nzHeading5"/>
      </w:pPr>
      <w:r>
        <w:rPr>
          <w:rStyle w:val="CharSectno"/>
        </w:rPr>
        <w:t>39</w:t>
      </w:r>
      <w:r>
        <w:t>.</w:t>
      </w:r>
      <w:r>
        <w:tab/>
      </w:r>
      <w:r>
        <w:rPr>
          <w:i/>
        </w:rPr>
        <w:t>Standardisation of Formatting Act 2010</w:t>
      </w:r>
      <w:r>
        <w:t xml:space="preserve"> amended</w:t>
      </w:r>
      <w:bookmarkEnd w:id="125"/>
      <w:bookmarkEnd w:id="126"/>
    </w:p>
    <w:p>
      <w:pPr>
        <w:pStyle w:val="nzSubsection"/>
      </w:pPr>
      <w:r>
        <w:tab/>
        <w:t>(5)</w:t>
      </w:r>
      <w:r>
        <w:tab/>
        <w:t>In section 52(4) in the Table delete the rows relating to sections 21(1), (2) and (3) and 39(2).</w:t>
      </w:r>
    </w:p>
    <w:p>
      <w:pPr>
        <w:pStyle w:val="nzSubsection"/>
      </w:pPr>
      <w:r>
        <w:tab/>
        <w:t>(6)</w:t>
      </w:r>
      <w:r>
        <w:tab/>
        <w:t>In section 52(4) in the Table in the row relating to section 44(3):</w:t>
      </w:r>
    </w:p>
    <w:p>
      <w:pPr>
        <w:pStyle w:val="nzIndenta"/>
      </w:pPr>
      <w:r>
        <w:tab/>
        <w:t>(a)</w:t>
      </w:r>
      <w:r>
        <w:tab/>
        <w:t>in column 2 delete “(3)(a) Where”;</w:t>
      </w:r>
    </w:p>
    <w:p>
      <w:pPr>
        <w:pStyle w:val="nzIndenta"/>
      </w:pPr>
      <w:r>
        <w:tab/>
        <w:t>(b)</w:t>
      </w:r>
      <w:r>
        <w:tab/>
        <w:t>in column 3 delete “(3) Where”.</w:t>
      </w:r>
    </w:p>
    <w:p>
      <w:pPr>
        <w:pStyle w:val="nzSubsection"/>
      </w:pPr>
      <w:r>
        <w:tab/>
        <w:t>(7)</w:t>
      </w:r>
      <w:r>
        <w:tab/>
        <w:t>In section 52(4) in the Table delete the rows relating to sections 45 and 47.</w:t>
      </w:r>
    </w:p>
    <w:p>
      <w:pPr>
        <w:pStyle w:val="nzSubsection"/>
      </w:pPr>
      <w:r>
        <w:tab/>
        <w:t>(8)</w:t>
      </w:r>
      <w:r>
        <w:tab/>
        <w:t>In section 52(4) in the Table in the row relating to section 64:</w:t>
      </w:r>
    </w:p>
    <w:p>
      <w:pPr>
        <w:pStyle w:val="nzIndenta"/>
      </w:pPr>
      <w:r>
        <w:tab/>
        <w:t>(a)</w:t>
      </w:r>
      <w:r>
        <w:tab/>
        <w:t>in column 2 delete “section 21(2),”;</w:t>
      </w:r>
    </w:p>
    <w:p>
      <w:pPr>
        <w:pStyle w:val="nzIndenta"/>
      </w:pPr>
      <w:r>
        <w:tab/>
        <w:t>(b)</w:t>
      </w:r>
      <w:r>
        <w:tab/>
        <w:t>in column 3 delete “section 21(2A) and (2B),”.</w:t>
      </w: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127" w:name="_Toc381872779"/>
      <w:bookmarkStart w:id="128" w:name="_Toc381873847"/>
      <w:bookmarkStart w:id="129" w:name="_Toc392495431"/>
      <w:r>
        <w:rPr>
          <w:sz w:val="28"/>
        </w:rPr>
        <w:t>Defined terms</w:t>
      </w:r>
      <w:bookmarkEnd w:id="127"/>
      <w:bookmarkEnd w:id="128"/>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0" w:name="DefinedTerms"/>
      <w:bookmarkEnd w:id="130"/>
      <w:r>
        <w:t>adjoining</w:t>
      </w:r>
      <w:r>
        <w:tab/>
        <w:t>7(1)</w:t>
      </w:r>
    </w:p>
    <w:p>
      <w:pPr>
        <w:pStyle w:val="DefinedTerms"/>
      </w:pPr>
      <w:r>
        <w:t>affected area</w:t>
      </w:r>
      <w:r>
        <w:tab/>
        <w:t>14B(1)</w:t>
      </w:r>
    </w:p>
    <w:p>
      <w:pPr>
        <w:pStyle w:val="DefinedTerms"/>
      </w:pPr>
      <w:r>
        <w:t>approved local government</w:t>
      </w:r>
      <w:r>
        <w:tab/>
        <w:t>38(6)</w:t>
      </w:r>
    </w:p>
    <w:p>
      <w:pPr>
        <w:pStyle w:val="DefinedTerms"/>
      </w:pPr>
      <w:r>
        <w:t>area of the State</w:t>
      </w:r>
      <w:r>
        <w:tab/>
        <w:t>21</w:t>
      </w:r>
    </w:p>
    <w:p>
      <w:pPr>
        <w:pStyle w:val="DefinedTerms"/>
      </w:pPr>
      <w:r>
        <w:t>authorisation</w:t>
      </w:r>
      <w:r>
        <w:tab/>
        <w:t>14B(1)</w:t>
      </w:r>
    </w:p>
    <w:p>
      <w:pPr>
        <w:pStyle w:val="DefinedTerms"/>
      </w:pPr>
      <w:r>
        <w:t>authorised CALM Act officer</w:t>
      </w:r>
      <w:r>
        <w:tab/>
        <w:t>7(1)</w:t>
      </w:r>
    </w:p>
    <w:p>
      <w:pPr>
        <w:pStyle w:val="DefinedTerms"/>
      </w:pPr>
      <w:r>
        <w:t>authorised period</w:t>
      </w:r>
      <w:r>
        <w:tab/>
        <w:t>14B(1)</w:t>
      </w:r>
    </w:p>
    <w:p>
      <w:pPr>
        <w:pStyle w:val="DefinedTerms"/>
      </w:pPr>
      <w:r>
        <w:t>authorised person</w:t>
      </w:r>
      <w:r>
        <w:tab/>
        <w:t>13(6), 14B(1)</w:t>
      </w:r>
    </w:p>
    <w:p>
      <w:pPr>
        <w:pStyle w:val="DefinedTerms"/>
      </w:pPr>
      <w:r>
        <w:t>burn garden refuse</w:t>
      </w:r>
      <w:r>
        <w:tab/>
        <w:t>24C</w:t>
      </w:r>
    </w:p>
    <w:p>
      <w:pPr>
        <w:pStyle w:val="DefinedTerms"/>
      </w:pPr>
      <w:r>
        <w:t>bush</w:t>
      </w:r>
      <w:r>
        <w:tab/>
        <w:t>7(1)</w:t>
      </w:r>
    </w:p>
    <w:p>
      <w:pPr>
        <w:pStyle w:val="DefinedTerms"/>
      </w:pPr>
      <w:r>
        <w:t>bush fire</w:t>
      </w:r>
      <w:r>
        <w:tab/>
        <w:t>35A</w:t>
      </w:r>
    </w:p>
    <w:p>
      <w:pPr>
        <w:pStyle w:val="DefinedTerms"/>
      </w:pPr>
      <w:r>
        <w:t>bush fire brigade</w:t>
      </w:r>
      <w:r>
        <w:tab/>
        <w:t>7(1)</w:t>
      </w:r>
    </w:p>
    <w:p>
      <w:pPr>
        <w:pStyle w:val="DefinedTerms"/>
      </w:pPr>
      <w:r>
        <w:t>bush fire officer</w:t>
      </w:r>
      <w:r>
        <w:tab/>
        <w:t>45A(1)(a), 45(1)</w:t>
      </w:r>
    </w:p>
    <w:p>
      <w:pPr>
        <w:pStyle w:val="DefinedTerms"/>
      </w:pPr>
      <w:r>
        <w:t>CALM Act</w:t>
      </w:r>
      <w:r>
        <w:tab/>
        <w:t>45(1)</w:t>
      </w:r>
    </w:p>
    <w:p>
      <w:pPr>
        <w:pStyle w:val="DefinedTerms"/>
      </w:pPr>
      <w:r>
        <w:t>CALM Act CEO</w:t>
      </w:r>
      <w:r>
        <w:tab/>
        <w:t>7(1)</w:t>
      </w:r>
    </w:p>
    <w:p>
      <w:pPr>
        <w:pStyle w:val="DefinedTerms"/>
      </w:pPr>
      <w:r>
        <w:t>CALM Act Department</w:t>
      </w:r>
      <w:r>
        <w:tab/>
        <w:t>7(1)</w:t>
      </w:r>
    </w:p>
    <w:p>
      <w:pPr>
        <w:pStyle w:val="DefinedTerms"/>
      </w:pPr>
      <w:r>
        <w:t>common boundary</w:t>
      </w:r>
      <w:r>
        <w:tab/>
        <w:t>22(1)</w:t>
      </w:r>
    </w:p>
    <w:p>
      <w:pPr>
        <w:pStyle w:val="DefinedTerms"/>
      </w:pPr>
      <w:r>
        <w:t>conservation land</w:t>
      </w:r>
      <w:r>
        <w:tab/>
        <w:t>9, 45(1)</w:t>
      </w:r>
    </w:p>
    <w:p>
      <w:pPr>
        <w:pStyle w:val="DefinedTerms"/>
      </w:pPr>
      <w:r>
        <w:t>crop</w:t>
      </w:r>
      <w:r>
        <w:tab/>
        <w:t>53(3)</w:t>
      </w:r>
    </w:p>
    <w:p>
      <w:pPr>
        <w:pStyle w:val="DefinedTerms"/>
      </w:pPr>
      <w:r>
        <w:t>Department</w:t>
      </w:r>
      <w:r>
        <w:tab/>
        <w:t>7(1)</w:t>
      </w:r>
    </w:p>
    <w:p>
      <w:pPr>
        <w:pStyle w:val="DefinedTerms"/>
      </w:pPr>
      <w:r>
        <w:t>departmental officer</w:t>
      </w:r>
      <w:r>
        <w:tab/>
        <w:t>12(1)</w:t>
      </w:r>
    </w:p>
    <w:p>
      <w:pPr>
        <w:pStyle w:val="DefinedTerms"/>
      </w:pPr>
      <w:r>
        <w:t>designation</w:t>
      </w:r>
      <w:r>
        <w:tab/>
        <w:t>12(1)</w:t>
      </w:r>
    </w:p>
    <w:p>
      <w:pPr>
        <w:pStyle w:val="DefinedTerms"/>
      </w:pPr>
      <w:r>
        <w:t>employed in the Department</w:t>
      </w:r>
      <w:r>
        <w:tab/>
        <w:t>7(1)</w:t>
      </w:r>
    </w:p>
    <w:p>
      <w:pPr>
        <w:pStyle w:val="DefinedTerms"/>
      </w:pPr>
      <w:r>
        <w:t>exempt land</w:t>
      </w:r>
      <w:r>
        <w:tab/>
        <w:t>22(1)</w:t>
      </w:r>
    </w:p>
    <w:p>
      <w:pPr>
        <w:pStyle w:val="DefinedTerms"/>
      </w:pPr>
      <w:r>
        <w:t>FES Act</w:t>
      </w:r>
      <w:r>
        <w:tab/>
        <w:t>7(1)</w:t>
      </w:r>
    </w:p>
    <w:p>
      <w:pPr>
        <w:pStyle w:val="DefinedTerms"/>
      </w:pPr>
      <w:r>
        <w:t>FES Commissioner</w:t>
      </w:r>
      <w:r>
        <w:tab/>
        <w:t>7(1)</w:t>
      </w:r>
    </w:p>
    <w:p>
      <w:pPr>
        <w:pStyle w:val="DefinedTerms"/>
      </w:pPr>
      <w:r>
        <w:t>forest land</w:t>
      </w:r>
      <w:r>
        <w:tab/>
        <w:t>7(1)</w:t>
      </w:r>
    </w:p>
    <w:p>
      <w:pPr>
        <w:pStyle w:val="DefinedTerms"/>
      </w:pPr>
      <w:r>
        <w:t>incendiary material</w:t>
      </w:r>
      <w:r>
        <w:tab/>
        <w:t>27D(1)</w:t>
      </w:r>
    </w:p>
    <w:p>
      <w:pPr>
        <w:pStyle w:val="DefinedTerms"/>
      </w:pPr>
      <w:r>
        <w:t>infringement notice</w:t>
      </w:r>
      <w:r>
        <w:tab/>
        <w:t>59A(2)</w:t>
      </w:r>
    </w:p>
    <w:p>
      <w:pPr>
        <w:pStyle w:val="DefinedTerms"/>
      </w:pPr>
      <w:r>
        <w:t>land other than conservation land</w:t>
      </w:r>
      <w:r>
        <w:tab/>
        <w:t>9, 45(1)</w:t>
      </w:r>
    </w:p>
    <w:p>
      <w:pPr>
        <w:pStyle w:val="DefinedTerms"/>
      </w:pPr>
      <w:r>
        <w:t>limited burning times</w:t>
      </w:r>
      <w:r>
        <w:tab/>
        <w:t>24C</w:t>
      </w:r>
    </w:p>
    <w:p>
      <w:pPr>
        <w:pStyle w:val="DefinedTerms"/>
      </w:pPr>
      <w:r>
        <w:t>loss or damage</w:t>
      </w:r>
      <w:r>
        <w:tab/>
        <w:t>35A</w:t>
      </w:r>
    </w:p>
    <w:p>
      <w:pPr>
        <w:pStyle w:val="DefinedTerms"/>
      </w:pPr>
      <w:r>
        <w:t>normal brigade activities</w:t>
      </w:r>
      <w:r>
        <w:tab/>
        <w:t>35A</w:t>
      </w:r>
    </w:p>
    <w:p>
      <w:pPr>
        <w:pStyle w:val="DefinedTerms"/>
      </w:pPr>
      <w:r>
        <w:t>occupier of land</w:t>
      </w:r>
      <w:r>
        <w:tab/>
        <w:t>7(1)</w:t>
      </w:r>
    </w:p>
    <w:p>
      <w:pPr>
        <w:pStyle w:val="DefinedTerms"/>
      </w:pPr>
      <w:r>
        <w:t>owner or occupier of land</w:t>
      </w:r>
      <w:r>
        <w:tab/>
        <w:t>33(9)</w:t>
      </w:r>
    </w:p>
    <w:p>
      <w:pPr>
        <w:pStyle w:val="DefinedTerms"/>
      </w:pPr>
      <w:r>
        <w:t>prescribed amount</w:t>
      </w:r>
      <w:r>
        <w:tab/>
        <w:t>37(6)</w:t>
      </w:r>
    </w:p>
    <w:p>
      <w:pPr>
        <w:pStyle w:val="DefinedTerms"/>
      </w:pPr>
      <w:r>
        <w:t>prescribed condition</w:t>
      </w:r>
      <w:r>
        <w:tab/>
        <w:t>18(5D)</w:t>
      </w:r>
    </w:p>
    <w:p>
      <w:pPr>
        <w:pStyle w:val="DefinedTerms"/>
      </w:pPr>
      <w:r>
        <w:t>prohibited burning times</w:t>
      </w:r>
      <w:r>
        <w:tab/>
        <w:t>7(1)</w:t>
      </w:r>
    </w:p>
    <w:p>
      <w:pPr>
        <w:pStyle w:val="DefinedTerms"/>
      </w:pPr>
      <w:r>
        <w:t>property</w:t>
      </w:r>
      <w:r>
        <w:tab/>
        <w:t>32(1)</w:t>
      </w:r>
    </w:p>
    <w:p>
      <w:pPr>
        <w:pStyle w:val="DefinedTerms"/>
      </w:pPr>
      <w:r>
        <w:t>prosecutor</w:t>
      </w:r>
      <w:r>
        <w:tab/>
        <w:t>59A(1)</w:t>
      </w:r>
    </w:p>
    <w:p>
      <w:pPr>
        <w:pStyle w:val="DefinedTerms"/>
      </w:pPr>
      <w:r>
        <w:t>publish</w:t>
      </w:r>
      <w:r>
        <w:tab/>
        <w:t>17(9)</w:t>
      </w:r>
    </w:p>
    <w:p>
      <w:pPr>
        <w:pStyle w:val="DefinedTerms"/>
      </w:pPr>
      <w:r>
        <w:t>relevant body</w:t>
      </w:r>
      <w:r>
        <w:tab/>
        <w:t>58(3A)</w:t>
      </w:r>
    </w:p>
    <w:p>
      <w:pPr>
        <w:pStyle w:val="DefinedTerms"/>
      </w:pPr>
      <w:r>
        <w:t>relevant bush fire</w:t>
      </w:r>
      <w:r>
        <w:tab/>
        <w:t>14B(1)</w:t>
      </w:r>
    </w:p>
    <w:p>
      <w:pPr>
        <w:pStyle w:val="DefinedTerms"/>
      </w:pPr>
      <w:r>
        <w:t>restricted burning times</w:t>
      </w:r>
      <w:r>
        <w:tab/>
        <w:t>7(1)</w:t>
      </w:r>
    </w:p>
    <w:p>
      <w:pPr>
        <w:pStyle w:val="DefinedTerms"/>
      </w:pPr>
      <w:r>
        <w:t>rubbish tip</w:t>
      </w:r>
      <w:r>
        <w:tab/>
        <w:t>24C</w:t>
      </w:r>
    </w:p>
    <w:p>
      <w:pPr>
        <w:pStyle w:val="DefinedTerms"/>
      </w:pPr>
      <w:r>
        <w:t>specified</w:t>
      </w:r>
      <w:r>
        <w:tab/>
        <w:t>24C</w:t>
      </w:r>
    </w:p>
    <w:p>
      <w:pPr>
        <w:pStyle w:val="DefinedTerms"/>
      </w:pPr>
      <w:r>
        <w:t>specified injury</w:t>
      </w:r>
      <w:r>
        <w:tab/>
        <w:t>37(6)</w:t>
      </w:r>
    </w:p>
    <w:p>
      <w:pPr>
        <w:pStyle w:val="DefinedTerms"/>
      </w:pPr>
      <w:r>
        <w:t>total fire ban</w:t>
      </w:r>
      <w:r>
        <w:tab/>
        <w:t>21</w:t>
      </w:r>
    </w:p>
    <w:p>
      <w:pPr>
        <w:pStyle w:val="DefinedTerms"/>
      </w:pPr>
      <w:r>
        <w:t>volunteer fire fighter</w:t>
      </w:r>
      <w:r>
        <w:tab/>
        <w:t>35A</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Bush Fires Act 1954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Bush Fires Act 1954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Bush Fires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0</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1A9B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3829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25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F9EB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EE4212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5C2211F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14806"/>
    <w:docVar w:name="WAFER_20140113093642" w:val="RemoveTocBookmarks,RemoveUnusedBookmarks,RemoveLanguageTags,UsedStyles,ResetPageSize,UpdateArrangement"/>
    <w:docVar w:name="WAFER_20140113093642_GUID" w:val="881c18dc-1b59-44e0-aaa8-6cbd9ada074e"/>
    <w:docVar w:name="WAFER_20140113094411" w:val="RemoveTocBookmarks,RunningHeaders"/>
    <w:docVar w:name="WAFER_20140113094411_GUID" w:val="166d8293-2e86-4eb1-99d4-513c0519f3a0"/>
    <w:docVar w:name="WAFER_20140306114024" w:val="RemoveTocBookmarks,RemoveUnusedBookmarks,RemoveLanguageTags,UsedStyles,ResetPageSize"/>
    <w:docVar w:name="WAFER_20140306114024_GUID" w:val="d69a30c8-e0b1-4fea-b596-871b6f641219"/>
    <w:docVar w:name="WAFER_20140306114806" w:val="RemoveTocBookmarks,RunningHeaders"/>
    <w:docVar w:name="WAFER_20140306114806_GUID" w:val="eb4c4aaa-9e5b-4ed8-9563-3cdf0207fb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85FDC-842C-46AE-AAA0-ECC684CC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31594</Words>
  <Characters>142489</Characters>
  <Application>Microsoft Office Word</Application>
  <DocSecurity>0</DocSecurity>
  <Lines>3851</Lines>
  <Paragraphs>1813</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172270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1954 - 09-b0-01</dc:title>
  <dc:subject/>
  <dc:creator/>
  <cp:keywords/>
  <dc:description/>
  <cp:lastModifiedBy>svcMRProcess</cp:lastModifiedBy>
  <cp:revision>4</cp:revision>
  <cp:lastPrinted>2013-11-01T00:56:00Z</cp:lastPrinted>
  <dcterms:created xsi:type="dcterms:W3CDTF">2018-08-20T15:28:00Z</dcterms:created>
  <dcterms:modified xsi:type="dcterms:W3CDTF">2018-08-20T15:28:00Z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95</vt:i4>
  </property>
  <property fmtid="{D5CDD505-2E9C-101B-9397-08002B2CF9AE}" pid="6" name="AsAtDate">
    <vt:lpwstr>02 Jul 2014</vt:lpwstr>
  </property>
  <property fmtid="{D5CDD505-2E9C-101B-9397-08002B2CF9AE}" pid="7" name="Suffix">
    <vt:lpwstr>09-b0-01</vt:lpwstr>
  </property>
  <property fmtid="{D5CDD505-2E9C-101B-9397-08002B2CF9AE}" pid="8" name="ReprintNo">
    <vt:lpwstr>9</vt:lpwstr>
  </property>
  <property fmtid="{D5CDD505-2E9C-101B-9397-08002B2CF9AE}" pid="9" name="ReprintedAsAt">
    <vt:filetime>2013-10-10T16:00:00Z</vt:filetime>
  </property>
</Properties>
</file>