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Credit Act 1984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Credit Act 1984</w:t>
      </w:r>
      <w:r>
        <w:fldChar w:fldCharType="end"/>
      </w:r>
    </w:p>
    <w:p>
      <w:pPr>
        <w:pStyle w:val="Arrangement"/>
      </w:pPr>
      <w:r>
        <w:t>Contents</w:t>
      </w:r>
    </w:p>
    <w:p>
      <w:pPr>
        <w:pStyle w:val="TOC2"/>
        <w:tabs>
          <w:tab w:val="right" w:leader="dot" w:pos="7076"/>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_Toc392496464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_Toc392496465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of Act and transitional provisions</w:t>
      </w:r>
      <w:r>
        <w:tab/>
      </w:r>
      <w:r>
        <w:fldChar w:fldCharType="begin"/>
      </w:r>
      <w:r>
        <w:instrText xml:space="preserve"> PAGEREF _Toc392496466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Act binds Crown</w:t>
      </w:r>
      <w:r>
        <w:tab/>
      </w:r>
      <w:r>
        <w:fldChar w:fldCharType="begin"/>
      </w:r>
      <w:r>
        <w:instrText xml:space="preserve"> PAGEREF _Toc392496467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_Toc392496468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Jurisdiction of courts and Tribunal</w:t>
      </w:r>
      <w:r>
        <w:tab/>
      </w:r>
      <w:r>
        <w:fldChar w:fldCharType="begin"/>
      </w:r>
      <w:r>
        <w:instrText xml:space="preserve"> PAGEREF _Toc392496469 \h </w:instrText>
      </w:r>
      <w:r>
        <w:fldChar w:fldCharType="separate"/>
      </w:r>
      <w:r>
        <w:t>21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Credit contracts deemed to be regulated contracts</w:t>
      </w:r>
      <w:r>
        <w:tab/>
      </w:r>
      <w:r>
        <w:fldChar w:fldCharType="begin"/>
      </w:r>
      <w:r>
        <w:instrText xml:space="preserve"> PAGEREF _Toc392496470 \h </w:instrText>
      </w:r>
      <w:r>
        <w:fldChar w:fldCharType="separate"/>
      </w:r>
      <w:r>
        <w:t>22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Act applies to assignees etc. of rights and obligations</w:t>
      </w:r>
      <w:r>
        <w:tab/>
      </w:r>
      <w:r>
        <w:fldChar w:fldCharType="begin"/>
      </w:r>
      <w:r>
        <w:instrText xml:space="preserve"> PAGEREF _Toc392496471 \h </w:instrText>
      </w:r>
      <w:r>
        <w:fldChar w:fldCharType="separate"/>
      </w:r>
      <w:r>
        <w:t>22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Contracts of employment excluded</w:t>
      </w:r>
      <w:r>
        <w:tab/>
      </w:r>
      <w:r>
        <w:fldChar w:fldCharType="begin"/>
      </w:r>
      <w:r>
        <w:instrText xml:space="preserve"> PAGEREF _Toc392496472 \h </w:instrText>
      </w:r>
      <w:r>
        <w:fldChar w:fldCharType="separate"/>
      </w:r>
      <w:r>
        <w:t>23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Term used: annual percentage rate</w:t>
      </w:r>
      <w:r>
        <w:tab/>
      </w:r>
      <w:r>
        <w:fldChar w:fldCharType="begin"/>
      </w:r>
      <w:r>
        <w:instrText xml:space="preserve"> PAGEREF _Toc392496473 \h </w:instrText>
      </w:r>
      <w:r>
        <w:fldChar w:fldCharType="separate"/>
      </w:r>
      <w:r>
        <w:t>23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Terms used: credit charge, accrued credit charge</w:t>
      </w:r>
      <w:r>
        <w:tab/>
      </w:r>
      <w:r>
        <w:fldChar w:fldCharType="begin"/>
      </w:r>
      <w:r>
        <w:instrText xml:space="preserve"> PAGEREF _Toc392496474 \h </w:instrText>
      </w:r>
      <w:r>
        <w:fldChar w:fldCharType="separate"/>
      </w:r>
      <w:r>
        <w:t>24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Terms used: tied loan contract, tied continuing credit contract</w:t>
      </w:r>
      <w:r>
        <w:tab/>
      </w:r>
      <w:r>
        <w:fldChar w:fldCharType="begin"/>
      </w:r>
      <w:r>
        <w:instrText xml:space="preserve"> PAGEREF _Toc392496475 \h </w:instrText>
      </w:r>
      <w:r>
        <w:fldChar w:fldCharType="separate"/>
      </w:r>
      <w:r>
        <w:t>25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Some contracts for hire of goods deemed credit sale contracts</w:t>
      </w:r>
      <w:r>
        <w:tab/>
      </w:r>
      <w:r>
        <w:fldChar w:fldCharType="begin"/>
      </w:r>
      <w:r>
        <w:instrText xml:space="preserve"> PAGEREF _Toc392496476 \h </w:instrText>
      </w:r>
      <w:r>
        <w:fldChar w:fldCharType="separate"/>
      </w:r>
      <w:r>
        <w:t>25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Contracts that are not credit sale contracts</w:t>
      </w:r>
      <w:r>
        <w:tab/>
      </w:r>
      <w:r>
        <w:fldChar w:fldCharType="begin"/>
      </w:r>
      <w:r>
        <w:instrText xml:space="preserve"> PAGEREF _Toc392496477 \h </w:instrText>
      </w:r>
      <w:r>
        <w:fldChar w:fldCharType="separate"/>
      </w:r>
      <w:r>
        <w:t>29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Some credit excluded from being credit in relation to loan contracts</w:t>
      </w:r>
      <w:r>
        <w:tab/>
      </w:r>
      <w:r>
        <w:fldChar w:fldCharType="begin"/>
      </w:r>
      <w:r>
        <w:instrText xml:space="preserve"> PAGEREF _Toc392496478 \h </w:instrText>
      </w:r>
      <w:r>
        <w:fldChar w:fldCharType="separate"/>
      </w:r>
      <w:r>
        <w:t>29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Business of providing credit, meaning of</w:t>
      </w:r>
      <w:r>
        <w:tab/>
      </w:r>
      <w:r>
        <w:fldChar w:fldCharType="begin"/>
      </w:r>
      <w:r>
        <w:instrText xml:space="preserve"> PAGEREF _Toc392496479 \h </w:instrText>
      </w:r>
      <w:r>
        <w:fldChar w:fldCharType="separate"/>
      </w:r>
      <w:r>
        <w:t>30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Recognised States</w:t>
      </w:r>
      <w:r>
        <w:tab/>
      </w:r>
      <w:r>
        <w:fldChar w:fldCharType="begin"/>
      </w:r>
      <w:r>
        <w:instrText xml:space="preserve"> PAGEREF _Toc392496480 \h </w:instrText>
      </w:r>
      <w:r>
        <w:fldChar w:fldCharType="separate"/>
      </w:r>
      <w:r>
        <w:t>30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Exceptions from application of Act</w:t>
      </w:r>
      <w:r>
        <w:tab/>
      </w:r>
      <w:r>
        <w:fldChar w:fldCharType="begin"/>
      </w:r>
      <w:r>
        <w:instrText xml:space="preserve"> PAGEREF _Toc392496481 \h </w:instrText>
      </w:r>
      <w:r>
        <w:fldChar w:fldCharType="separate"/>
      </w:r>
      <w:r>
        <w:t>30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Excluding and varying operation of Act</w:t>
      </w:r>
      <w:r>
        <w:tab/>
      </w:r>
      <w:r>
        <w:fldChar w:fldCharType="begin"/>
      </w:r>
      <w:r>
        <w:instrText xml:space="preserve"> PAGEREF _Toc392496482 \h </w:instrText>
      </w:r>
      <w:r>
        <w:fldChar w:fldCharType="separate"/>
      </w:r>
      <w:r>
        <w:t>31</w:t>
      </w:r>
      <w:r>
        <w:fldChar w:fldCharType="end"/>
      </w:r>
    </w:p>
    <w:p>
      <w:pPr>
        <w:pStyle w:val="TOC8"/>
        <w:rPr>
          <w:rFonts w:asciiTheme="minorHAnsi" w:eastAsiaTheme="minorEastAsia" w:hAnsiTheme="minorHAnsi" w:cstheme="minorBidi"/>
          <w:szCs w:val="22"/>
        </w:rPr>
      </w:pPr>
      <w:r>
        <w:t>19A</w:t>
      </w:r>
      <w:r>
        <w:rPr>
          <w:snapToGrid w:val="0"/>
        </w:rPr>
        <w:t xml:space="preserve">. </w:t>
      </w:r>
      <w:r>
        <w:rPr>
          <w:snapToGrid w:val="0"/>
        </w:rPr>
        <w:tab/>
        <w:t>Act not to apply to some credit contracts made on or after 1 Nov 1996</w:t>
      </w:r>
      <w:r>
        <w:tab/>
      </w:r>
      <w:r>
        <w:fldChar w:fldCharType="begin"/>
      </w:r>
      <w:r>
        <w:instrText xml:space="preserve"> PAGEREF _Toc392496483 \h </w:instrText>
      </w:r>
      <w:r>
        <w:fldChar w:fldCharType="separate"/>
      </w:r>
      <w:r>
        <w:t>32</w:t>
      </w:r>
      <w:r>
        <w:fldChar w:fldCharType="end"/>
      </w:r>
    </w:p>
    <w:p>
      <w:pPr>
        <w:pStyle w:val="TOC8"/>
        <w:rPr>
          <w:rFonts w:asciiTheme="minorHAnsi" w:eastAsiaTheme="minorEastAsia" w:hAnsiTheme="minorHAnsi" w:cstheme="minorBidi"/>
          <w:szCs w:val="22"/>
        </w:rPr>
      </w:pPr>
      <w:r>
        <w:t>19B</w:t>
      </w:r>
      <w:r>
        <w:rPr>
          <w:snapToGrid w:val="0"/>
        </w:rPr>
        <w:t>.</w:t>
      </w:r>
      <w:r>
        <w:rPr>
          <w:snapToGrid w:val="0"/>
        </w:rPr>
        <w:tab/>
        <w:t>Act to continue to apply to some acts etc. done before 1 Nov 1996</w:t>
      </w:r>
      <w:r>
        <w:tab/>
      </w:r>
      <w:r>
        <w:fldChar w:fldCharType="begin"/>
      </w:r>
      <w:r>
        <w:instrText xml:space="preserve"> PAGEREF _Toc392496484 \h </w:instrText>
      </w:r>
      <w:r>
        <w:fldChar w:fldCharType="separate"/>
      </w:r>
      <w:r>
        <w:t>33</w:t>
      </w:r>
      <w:r>
        <w:fldChar w:fldCharType="end"/>
      </w:r>
    </w:p>
    <w:p>
      <w:pPr>
        <w:pStyle w:val="TOC2"/>
        <w:tabs>
          <w:tab w:val="right" w:leader="dot" w:pos="7076"/>
        </w:tabs>
        <w:rPr>
          <w:rFonts w:asciiTheme="minorHAnsi" w:eastAsiaTheme="minorEastAsia" w:hAnsiTheme="minorHAnsi" w:cstheme="minorBidi"/>
          <w:b w:val="0"/>
          <w:sz w:val="22"/>
          <w:szCs w:val="22"/>
        </w:rPr>
      </w:pPr>
      <w:r>
        <w:lastRenderedPageBreak/>
        <w:t>Part II — Contracts of sale</w:t>
      </w:r>
    </w:p>
    <w:p>
      <w:pPr>
        <w:pStyle w:val="TOC8"/>
        <w:rPr>
          <w:rFonts w:asciiTheme="minorHAnsi" w:eastAsiaTheme="minorEastAsia" w:hAnsiTheme="minorHAnsi" w:cstheme="minorBidi"/>
          <w:szCs w:val="22"/>
        </w:rPr>
      </w:pPr>
      <w:r>
        <w:t>20</w:t>
      </w:r>
      <w:r>
        <w:rPr>
          <w:snapToGrid w:val="0"/>
        </w:rPr>
        <w:t>.</w:t>
      </w:r>
      <w:r>
        <w:rPr>
          <w:snapToGrid w:val="0"/>
        </w:rPr>
        <w:tab/>
        <w:t>Application of Part</w:t>
      </w:r>
      <w:r>
        <w:tab/>
      </w:r>
      <w:r>
        <w:fldChar w:fldCharType="begin"/>
      </w:r>
      <w:r>
        <w:instrText xml:space="preserve"> PAGEREF _Toc392496486 \h </w:instrText>
      </w:r>
      <w:r>
        <w:fldChar w:fldCharType="separate"/>
      </w:r>
      <w:r>
        <w:t>35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Buyer may rescind contract of sale in some cases</w:t>
      </w:r>
      <w:r>
        <w:tab/>
      </w:r>
      <w:r>
        <w:fldChar w:fldCharType="begin"/>
      </w:r>
      <w:r>
        <w:instrText xml:space="preserve"> PAGEREF _Toc392496487 \h </w:instrText>
      </w:r>
      <w:r>
        <w:fldChar w:fldCharType="separate"/>
      </w:r>
      <w:r>
        <w:t>35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Supplier not to require buyer to obtain credit from specified person</w:t>
      </w:r>
      <w:r>
        <w:tab/>
      </w:r>
      <w:r>
        <w:fldChar w:fldCharType="begin"/>
      </w:r>
      <w:r>
        <w:instrText xml:space="preserve"> PAGEREF _Toc392496488 \h </w:instrText>
      </w:r>
      <w:r>
        <w:fldChar w:fldCharType="separate"/>
      </w:r>
      <w:r>
        <w:t>36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Rescission etc. of certain contracts, consequences of</w:t>
      </w:r>
      <w:r>
        <w:tab/>
      </w:r>
      <w:r>
        <w:fldChar w:fldCharType="begin"/>
      </w:r>
      <w:r>
        <w:instrText xml:space="preserve"> PAGEREF _Toc392496489 \h </w:instrText>
      </w:r>
      <w:r>
        <w:fldChar w:fldCharType="separate"/>
      </w:r>
      <w:r>
        <w:t>36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Supplier and linked credit provider, liability of</w:t>
      </w:r>
      <w:r>
        <w:tab/>
      </w:r>
      <w:r>
        <w:fldChar w:fldCharType="begin"/>
      </w:r>
      <w:r>
        <w:instrText xml:space="preserve"> PAGEREF _Toc392496490 \h </w:instrText>
      </w:r>
      <w:r>
        <w:fldChar w:fldCharType="separate"/>
      </w:r>
      <w:r>
        <w:t>37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Rescission etc. of contract of sale, consequences of for a tied loan contract, mortgage etc.</w:t>
      </w:r>
      <w:r>
        <w:tab/>
      </w:r>
      <w:r>
        <w:fldChar w:fldCharType="begin"/>
      </w:r>
      <w:r>
        <w:instrText xml:space="preserve"> PAGEREF _Toc392496491 \h </w:instrText>
      </w:r>
      <w:r>
        <w:fldChar w:fldCharType="separate"/>
      </w:r>
      <w:r>
        <w:t>42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Rescission of contract of sale, consequences of for any mortgage related to tied continuing credit contract etc.</w:t>
      </w:r>
      <w:r>
        <w:tab/>
      </w:r>
      <w:r>
        <w:fldChar w:fldCharType="begin"/>
      </w:r>
      <w:r>
        <w:instrText xml:space="preserve"> PAGEREF _Toc392496492 \h </w:instrText>
      </w:r>
      <w:r>
        <w:fldChar w:fldCharType="separate"/>
      </w:r>
      <w:r>
        <w:t>44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Operation of s. 25 and 26</w:t>
      </w:r>
      <w:r>
        <w:tab/>
      </w:r>
      <w:r>
        <w:fldChar w:fldCharType="begin"/>
      </w:r>
      <w:r>
        <w:instrText xml:space="preserve"> PAGEREF _Toc392496493 \h </w:instrText>
      </w:r>
      <w:r>
        <w:fldChar w:fldCharType="separate"/>
      </w:r>
      <w:r>
        <w:t>46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Disputes as to operation of s. 23, 25 or 26, court’s powers as to</w:t>
      </w:r>
      <w:r>
        <w:tab/>
      </w:r>
      <w:r>
        <w:fldChar w:fldCharType="begin"/>
      </w:r>
      <w:r>
        <w:instrText xml:space="preserve"> PAGEREF _Toc392496494 \h </w:instrText>
      </w:r>
      <w:r>
        <w:fldChar w:fldCharType="separate"/>
      </w:r>
      <w:r>
        <w:t>46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Supplier to notify linked credit provider of rescission etc.</w:t>
      </w:r>
      <w:r>
        <w:tab/>
      </w:r>
      <w:r>
        <w:fldChar w:fldCharType="begin"/>
      </w:r>
      <w:r>
        <w:instrText xml:space="preserve"> PAGEREF _Toc392496495 \h </w:instrText>
      </w:r>
      <w:r>
        <w:fldChar w:fldCharType="separate"/>
      </w:r>
      <w:r>
        <w:t>47</w:t>
      </w:r>
      <w:r>
        <w:fldChar w:fldCharType="end"/>
      </w:r>
    </w:p>
    <w:p>
      <w:pPr>
        <w:pStyle w:val="TOC2"/>
        <w:tabs>
          <w:tab w:val="right" w:leader="dot" w:pos="7076"/>
        </w:tabs>
        <w:rPr>
          <w:rFonts w:asciiTheme="minorHAnsi" w:eastAsiaTheme="minorEastAsia" w:hAnsiTheme="minorHAnsi" w:cstheme="minorBidi"/>
          <w:b w:val="0"/>
          <w:sz w:val="22"/>
          <w:szCs w:val="22"/>
        </w:rPr>
      </w:pPr>
      <w:r>
        <w:t>Part III — Regulated contracts</w:t>
      </w:r>
    </w:p>
    <w:p>
      <w:pPr>
        <w:pStyle w:val="TOC4"/>
        <w:tabs>
          <w:tab w:val="right" w:leader="dot" w:pos="7076"/>
        </w:tabs>
        <w:rPr>
          <w:rFonts w:asciiTheme="minorHAnsi" w:eastAsiaTheme="minorEastAsia" w:hAnsiTheme="minorHAnsi" w:cstheme="minorBidi"/>
          <w:b w:val="0"/>
          <w:szCs w:val="22"/>
        </w:rPr>
      </w:pPr>
      <w:r>
        <w:t>Division 1</w:t>
      </w:r>
      <w:r>
        <w:rPr>
          <w:snapToGrid w:val="0"/>
        </w:rPr>
        <w:t> — </w:t>
      </w:r>
      <w:r>
        <w:t>Credit sale contracts and loan contracts</w:t>
      </w:r>
    </w:p>
    <w:p>
      <w:pPr>
        <w:pStyle w:val="TOC8"/>
        <w:rPr>
          <w:rFonts w:asciiTheme="minorHAnsi" w:eastAsiaTheme="minorEastAsia" w:hAnsiTheme="minorHAnsi" w:cstheme="minorBidi"/>
          <w:szCs w:val="22"/>
        </w:rPr>
      </w:pPr>
      <w:r>
        <w:t>30</w:t>
      </w:r>
      <w:r>
        <w:rPr>
          <w:snapToGrid w:val="0"/>
        </w:rPr>
        <w:t>.</w:t>
      </w:r>
      <w:r>
        <w:rPr>
          <w:snapToGrid w:val="0"/>
        </w:rPr>
        <w:tab/>
        <w:t>Application of Part</w:t>
      </w:r>
      <w:r>
        <w:tab/>
      </w:r>
      <w:r>
        <w:fldChar w:fldCharType="begin"/>
      </w:r>
      <w:r>
        <w:instrText xml:space="preserve"> PAGEREF _Toc392496498 \h </w:instrText>
      </w:r>
      <w:r>
        <w:fldChar w:fldCharType="separate"/>
      </w:r>
      <w:r>
        <w:t>48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Contracts to be in writing</w:t>
      </w:r>
      <w:r>
        <w:tab/>
      </w:r>
      <w:r>
        <w:fldChar w:fldCharType="begin"/>
      </w:r>
      <w:r>
        <w:instrText xml:space="preserve"> PAGEREF _Toc392496499 \h </w:instrText>
      </w:r>
      <w:r>
        <w:fldChar w:fldCharType="separate"/>
      </w:r>
      <w:r>
        <w:t>49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Form of offer to enter into contract</w:t>
      </w:r>
      <w:r>
        <w:tab/>
      </w:r>
      <w:r>
        <w:fldChar w:fldCharType="begin"/>
      </w:r>
      <w:r>
        <w:instrText xml:space="preserve"> PAGEREF _Toc392496500 \h </w:instrText>
      </w:r>
      <w:r>
        <w:fldChar w:fldCharType="separate"/>
      </w:r>
      <w:r>
        <w:t>49</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Credit provider to give offeror notice of acceptance etc.</w:t>
      </w:r>
      <w:r>
        <w:tab/>
      </w:r>
      <w:r>
        <w:fldChar w:fldCharType="begin"/>
      </w:r>
      <w:r>
        <w:instrText xml:space="preserve"> PAGEREF _Toc392496501 \h </w:instrText>
      </w:r>
      <w:r>
        <w:fldChar w:fldCharType="separate"/>
      </w:r>
      <w:r>
        <w:t>52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Credit provider to give debtor prescribed statement</w:t>
      </w:r>
      <w:r>
        <w:tab/>
      </w:r>
      <w:r>
        <w:fldChar w:fldCharType="begin"/>
      </w:r>
      <w:r>
        <w:instrText xml:space="preserve"> PAGEREF _Toc392496502 \h </w:instrText>
      </w:r>
      <w:r>
        <w:fldChar w:fldCharType="separate"/>
      </w:r>
      <w:r>
        <w:t>52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Credit sale contracts, content of</w:t>
      </w:r>
      <w:r>
        <w:tab/>
      </w:r>
      <w:r>
        <w:fldChar w:fldCharType="begin"/>
      </w:r>
      <w:r>
        <w:instrText xml:space="preserve"> PAGEREF _Toc392496503 \h </w:instrText>
      </w:r>
      <w:r>
        <w:fldChar w:fldCharType="separate"/>
      </w:r>
      <w:r>
        <w:t>53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Loan contracts, content of</w:t>
      </w:r>
      <w:r>
        <w:tab/>
      </w:r>
      <w:r>
        <w:fldChar w:fldCharType="begin"/>
      </w:r>
      <w:r>
        <w:instrText xml:space="preserve"> PAGEREF _Toc392496504 \h </w:instrText>
      </w:r>
      <w:r>
        <w:fldChar w:fldCharType="separate"/>
      </w:r>
      <w:r>
        <w:t>55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Credit sale contracts that consolidate amounts due under other such contracts, content and rescission of</w:t>
      </w:r>
      <w:r>
        <w:tab/>
      </w:r>
      <w:r>
        <w:fldChar w:fldCharType="begin"/>
      </w:r>
      <w:r>
        <w:instrText xml:space="preserve"> PAGEREF _Toc392496505 \h </w:instrText>
      </w:r>
      <w:r>
        <w:fldChar w:fldCharType="separate"/>
      </w:r>
      <w:r>
        <w:t>57</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Annual percentage rate in contracts</w:t>
      </w:r>
      <w:r>
        <w:tab/>
      </w:r>
      <w:r>
        <w:fldChar w:fldCharType="begin"/>
      </w:r>
      <w:r>
        <w:instrText xml:space="preserve"> PAGEREF _Toc392496506 \h </w:instrText>
      </w:r>
      <w:r>
        <w:fldChar w:fldCharType="separate"/>
      </w:r>
      <w:r>
        <w:t>59</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Annual percentage rates for loan contracts secured by land mortgage</w:t>
      </w:r>
      <w:r>
        <w:tab/>
      </w:r>
      <w:r>
        <w:fldChar w:fldCharType="begin"/>
      </w:r>
      <w:r>
        <w:instrText xml:space="preserve"> PAGEREF _Toc392496507 \h </w:instrText>
      </w:r>
      <w:r>
        <w:fldChar w:fldCharType="separate"/>
      </w:r>
      <w:r>
        <w:t>60</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More than one rate of interest in contract etc. not permitted in contracts</w:t>
      </w:r>
      <w:r>
        <w:tab/>
      </w:r>
      <w:r>
        <w:fldChar w:fldCharType="begin"/>
      </w:r>
      <w:r>
        <w:instrText xml:space="preserve"> PAGEREF _Toc392496508 \h </w:instrText>
      </w:r>
      <w:r>
        <w:fldChar w:fldCharType="separate"/>
      </w:r>
      <w:r>
        <w:t>60</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Variation of contracts ineffective without notice</w:t>
      </w:r>
      <w:r>
        <w:tab/>
      </w:r>
      <w:r>
        <w:fldChar w:fldCharType="begin"/>
      </w:r>
      <w:r>
        <w:instrText xml:space="preserve"> PAGEREF _Toc392496509 \h </w:instrText>
      </w:r>
      <w:r>
        <w:fldChar w:fldCharType="separate"/>
      </w:r>
      <w:r>
        <w:t>61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Breach of s. 31, 35, 36, 38, 39, 40(1) or 91(1), effect of</w:t>
      </w:r>
      <w:r>
        <w:tab/>
      </w:r>
      <w:r>
        <w:fldChar w:fldCharType="begin"/>
      </w:r>
      <w:r>
        <w:instrText xml:space="preserve"> PAGEREF _Toc392496510 \h </w:instrText>
      </w:r>
      <w:r>
        <w:fldChar w:fldCharType="separate"/>
      </w:r>
      <w:r>
        <w:t>61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Credit provider not to enter contract that does not comply with this Division</w:t>
      </w:r>
      <w:r>
        <w:tab/>
      </w:r>
      <w:r>
        <w:fldChar w:fldCharType="begin"/>
      </w:r>
      <w:r>
        <w:instrText xml:space="preserve"> PAGEREF _Toc392496511 \h </w:instrText>
      </w:r>
      <w:r>
        <w:fldChar w:fldCharType="separate"/>
      </w:r>
      <w:r>
        <w:t>62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Minimum credit charge, restrictions as to</w:t>
      </w:r>
      <w:r>
        <w:tab/>
      </w:r>
      <w:r>
        <w:fldChar w:fldCharType="begin"/>
      </w:r>
      <w:r>
        <w:instrText xml:space="preserve"> PAGEREF _Toc392496512 \h </w:instrText>
      </w:r>
      <w:r>
        <w:fldChar w:fldCharType="separate"/>
      </w:r>
      <w:r>
        <w:t>62</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Credit provider, on request, to give debtor etc. statement of payments etc.</w:t>
      </w:r>
      <w:r>
        <w:tab/>
      </w:r>
      <w:r>
        <w:fldChar w:fldCharType="begin"/>
      </w:r>
      <w:r>
        <w:instrText xml:space="preserve"> PAGEREF _Toc392496513 \h </w:instrText>
      </w:r>
      <w:r>
        <w:fldChar w:fldCharType="separate"/>
      </w:r>
      <w:r>
        <w:t>63</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Credit provider, on request, to give debtor etc. copy of some documents</w:t>
      </w:r>
      <w:r>
        <w:tab/>
      </w:r>
      <w:r>
        <w:fldChar w:fldCharType="begin"/>
      </w:r>
      <w:r>
        <w:instrText xml:space="preserve"> PAGEREF _Toc392496514 \h </w:instrText>
      </w:r>
      <w:r>
        <w:fldChar w:fldCharType="separate"/>
      </w:r>
      <w:r>
        <w:t>63</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Tribunal may determine reasonable legal fees etc.</w:t>
      </w:r>
      <w:r>
        <w:tab/>
      </w:r>
      <w:r>
        <w:fldChar w:fldCharType="begin"/>
      </w:r>
      <w:r>
        <w:instrText xml:space="preserve"> PAGEREF _Toc392496515 \h </w:instrText>
      </w:r>
      <w:r>
        <w:fldChar w:fldCharType="separate"/>
      </w:r>
      <w:r>
        <w:t>64</w:t>
      </w:r>
      <w:r>
        <w:fldChar w:fldCharType="end"/>
      </w:r>
    </w:p>
    <w:p>
      <w:pPr>
        <w:pStyle w:val="TOC4"/>
        <w:tabs>
          <w:tab w:val="right" w:leader="dot" w:pos="7076"/>
        </w:tabs>
        <w:rPr>
          <w:rFonts w:asciiTheme="minorHAnsi" w:eastAsiaTheme="minorEastAsia" w:hAnsiTheme="minorHAnsi" w:cstheme="minorBidi"/>
          <w:b w:val="0"/>
          <w:szCs w:val="22"/>
        </w:rPr>
      </w:pPr>
      <w:r>
        <w:t>Division 2</w:t>
      </w:r>
      <w:r>
        <w:rPr>
          <w:snapToGrid w:val="0"/>
        </w:rPr>
        <w:t> — </w:t>
      </w:r>
      <w:r>
        <w:t>Continuing credit contracts</w:t>
      </w:r>
    </w:p>
    <w:p>
      <w:pPr>
        <w:pStyle w:val="TOC8"/>
        <w:rPr>
          <w:rFonts w:asciiTheme="minorHAnsi" w:eastAsiaTheme="minorEastAsia" w:hAnsiTheme="minorHAnsi" w:cstheme="minorBidi"/>
          <w:szCs w:val="22"/>
        </w:rPr>
      </w:pPr>
      <w:r>
        <w:t>48</w:t>
      </w:r>
      <w:r>
        <w:rPr>
          <w:snapToGrid w:val="0"/>
        </w:rPr>
        <w:t>.</w:t>
      </w:r>
      <w:r>
        <w:rPr>
          <w:snapToGrid w:val="0"/>
        </w:rPr>
        <w:tab/>
        <w:t>Interpretation</w:t>
      </w:r>
      <w:r>
        <w:tab/>
      </w:r>
      <w:r>
        <w:fldChar w:fldCharType="begin"/>
      </w:r>
      <w:r>
        <w:instrText xml:space="preserve"> PAGEREF _Toc392496517 \h </w:instrText>
      </w:r>
      <w:r>
        <w:fldChar w:fldCharType="separate"/>
      </w:r>
      <w:r>
        <w:t>65</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Application of Part</w:t>
      </w:r>
      <w:r>
        <w:tab/>
      </w:r>
      <w:r>
        <w:fldChar w:fldCharType="begin"/>
      </w:r>
      <w:r>
        <w:instrText xml:space="preserve"> PAGEREF _Toc392496518 \h </w:instrText>
      </w:r>
      <w:r>
        <w:fldChar w:fldCharType="separate"/>
      </w:r>
      <w:r>
        <w:t>67</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Billing cycle, meaning and maximum period of</w:t>
      </w:r>
      <w:r>
        <w:tab/>
      </w:r>
      <w:r>
        <w:fldChar w:fldCharType="begin"/>
      </w:r>
      <w:r>
        <w:instrText xml:space="preserve"> PAGEREF _Toc392496519 \h </w:instrText>
      </w:r>
      <w:r>
        <w:fldChar w:fldCharType="separate"/>
      </w:r>
      <w:r>
        <w:t>69</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Payment of supplier by credit provider on behalf of debtor</w:t>
      </w:r>
      <w:r>
        <w:tab/>
      </w:r>
      <w:r>
        <w:fldChar w:fldCharType="begin"/>
      </w:r>
      <w:r>
        <w:instrText xml:space="preserve"> PAGEREF _Toc392496520 \h </w:instrText>
      </w:r>
      <w:r>
        <w:fldChar w:fldCharType="separate"/>
      </w:r>
      <w:r>
        <w:t>69</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Chargeable amount for billing cycle, meaning and maximum of</w:t>
      </w:r>
      <w:r>
        <w:tab/>
      </w:r>
      <w:r>
        <w:fldChar w:fldCharType="begin"/>
      </w:r>
      <w:r>
        <w:instrText xml:space="preserve"> PAGEREF _Toc392496521 \h </w:instrText>
      </w:r>
      <w:r>
        <w:fldChar w:fldCharType="separate"/>
      </w:r>
      <w:r>
        <w:t>69</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Amount payable under contract, restrictions as to</w:t>
      </w:r>
      <w:r>
        <w:tab/>
      </w:r>
      <w:r>
        <w:fldChar w:fldCharType="begin"/>
      </w:r>
      <w:r>
        <w:instrText xml:space="preserve"> PAGEREF _Toc392496522 \h </w:instrText>
      </w:r>
      <w:r>
        <w:fldChar w:fldCharType="separate"/>
      </w:r>
      <w:r>
        <w:t>70</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Credit charge for billing cycle, meaning and maximum of</w:t>
      </w:r>
      <w:r>
        <w:tab/>
      </w:r>
      <w:r>
        <w:fldChar w:fldCharType="begin"/>
      </w:r>
      <w:r>
        <w:instrText xml:space="preserve"> PAGEREF _Toc392496523 \h </w:instrText>
      </w:r>
      <w:r>
        <w:fldChar w:fldCharType="separate"/>
      </w:r>
      <w:r>
        <w:t>71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Annual percentage rates for contracts</w:t>
      </w:r>
      <w:r>
        <w:tab/>
      </w:r>
      <w:r>
        <w:fldChar w:fldCharType="begin"/>
      </w:r>
      <w:r>
        <w:instrText xml:space="preserve"> PAGEREF _Toc392496524 \h </w:instrText>
      </w:r>
      <w:r>
        <w:fldChar w:fldCharType="separate"/>
      </w:r>
      <w:r>
        <w:t>72</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Billing cycle less than one month</w:t>
      </w:r>
      <w:r>
        <w:tab/>
      </w:r>
      <w:r>
        <w:fldChar w:fldCharType="begin"/>
      </w:r>
      <w:r>
        <w:instrText xml:space="preserve"> PAGEREF _Toc392496525 \h </w:instrText>
      </w:r>
      <w:r>
        <w:fldChar w:fldCharType="separate"/>
      </w:r>
      <w:r>
        <w:t>73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Non</w:t>
      </w:r>
      <w:r>
        <w:rPr>
          <w:snapToGrid w:val="0"/>
        </w:rPr>
        <w:noBreakHyphen/>
        <w:t>business days</w:t>
      </w:r>
      <w:r>
        <w:tab/>
      </w:r>
      <w:r>
        <w:fldChar w:fldCharType="begin"/>
      </w:r>
      <w:r>
        <w:instrText xml:space="preserve"> PAGEREF _Toc392496526 \h </w:instrText>
      </w:r>
      <w:r>
        <w:fldChar w:fldCharType="separate"/>
      </w:r>
      <w:r>
        <w:t>74</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Credit provider to give debtor prescribed statement</w:t>
      </w:r>
      <w:r>
        <w:tab/>
      </w:r>
      <w:r>
        <w:fldChar w:fldCharType="begin"/>
      </w:r>
      <w:r>
        <w:instrText xml:space="preserve"> PAGEREF _Toc392496527 \h </w:instrText>
      </w:r>
      <w:r>
        <w:fldChar w:fldCharType="separate"/>
      </w:r>
      <w:r>
        <w:t>74</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Credit provider to give debtor certain information</w:t>
      </w:r>
      <w:r>
        <w:tab/>
      </w:r>
      <w:r>
        <w:fldChar w:fldCharType="begin"/>
      </w:r>
      <w:r>
        <w:instrText xml:space="preserve"> PAGEREF _Toc392496528 \h </w:instrText>
      </w:r>
      <w:r>
        <w:fldChar w:fldCharType="separate"/>
      </w:r>
      <w:r>
        <w:t>75</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Variation of contracts ineffective without notice</w:t>
      </w:r>
      <w:r>
        <w:tab/>
      </w:r>
      <w:r>
        <w:fldChar w:fldCharType="begin"/>
      </w:r>
      <w:r>
        <w:instrText xml:space="preserve"> PAGEREF _Toc392496529 \h </w:instrText>
      </w:r>
      <w:r>
        <w:fldChar w:fldCharType="separate"/>
      </w:r>
      <w:r>
        <w:t>76</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Credit provider to give debtor statement of account as per Sch. 7</w:t>
      </w:r>
      <w:r>
        <w:tab/>
      </w:r>
      <w:r>
        <w:fldChar w:fldCharType="begin"/>
      </w:r>
      <w:r>
        <w:instrText xml:space="preserve"> PAGEREF _Toc392496530 \h </w:instrText>
      </w:r>
      <w:r>
        <w:fldChar w:fldCharType="separate"/>
      </w:r>
      <w:r>
        <w:t>77</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Billing errors, notice, effect and correction of</w:t>
      </w:r>
      <w:r>
        <w:tab/>
      </w:r>
      <w:r>
        <w:fldChar w:fldCharType="begin"/>
      </w:r>
      <w:r>
        <w:instrText xml:space="preserve"> PAGEREF _Toc392496531 \h </w:instrText>
      </w:r>
      <w:r>
        <w:fldChar w:fldCharType="separate"/>
      </w:r>
      <w:r>
        <w:t>78</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Credit provider to give debtor request for payment etc. before starting recovery proceedings</w:t>
      </w:r>
      <w:r>
        <w:tab/>
      </w:r>
      <w:r>
        <w:fldChar w:fldCharType="begin"/>
      </w:r>
      <w:r>
        <w:instrText xml:space="preserve"> PAGEREF _Toc392496532 \h </w:instrText>
      </w:r>
      <w:r>
        <w:fldChar w:fldCharType="separate"/>
      </w:r>
      <w:r>
        <w:t>80</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Statement of account not to include opening balance in some circumstances</w:t>
      </w:r>
      <w:r>
        <w:tab/>
      </w:r>
      <w:r>
        <w:fldChar w:fldCharType="begin"/>
      </w:r>
      <w:r>
        <w:instrText xml:space="preserve"> PAGEREF _Toc392496533 \h </w:instrText>
      </w:r>
      <w:r>
        <w:fldChar w:fldCharType="separate"/>
      </w:r>
      <w:r>
        <w:t>80</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Statement of account not needed in some circumstances</w:t>
      </w:r>
      <w:r>
        <w:tab/>
      </w:r>
      <w:r>
        <w:fldChar w:fldCharType="begin"/>
      </w:r>
      <w:r>
        <w:instrText xml:space="preserve"> PAGEREF _Toc392496534 \h </w:instrText>
      </w:r>
      <w:r>
        <w:fldChar w:fldCharType="separate"/>
      </w:r>
      <w:r>
        <w:t>81</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Credit provider to pay amounts owed to debtor upon request</w:t>
      </w:r>
      <w:r>
        <w:tab/>
      </w:r>
      <w:r>
        <w:fldChar w:fldCharType="begin"/>
      </w:r>
      <w:r>
        <w:instrText xml:space="preserve"> PAGEREF _Toc392496535 \h </w:instrText>
      </w:r>
      <w:r>
        <w:fldChar w:fldCharType="separate"/>
      </w:r>
      <w:r>
        <w:t>81</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Breach of s. 3(4), 59, 61, 91(1) etc., effect of</w:t>
      </w:r>
      <w:r>
        <w:tab/>
      </w:r>
      <w:r>
        <w:fldChar w:fldCharType="begin"/>
      </w:r>
      <w:r>
        <w:instrText xml:space="preserve"> PAGEREF _Toc392496536 \h </w:instrText>
      </w:r>
      <w:r>
        <w:fldChar w:fldCharType="separate"/>
      </w:r>
      <w:r>
        <w:t>82</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Credit provider, on request, to give debtor etc. copy of notice given under s. 3(4), 59 or 60</w:t>
      </w:r>
      <w:r>
        <w:tab/>
      </w:r>
      <w:r>
        <w:fldChar w:fldCharType="begin"/>
      </w:r>
      <w:r>
        <w:instrText xml:space="preserve"> PAGEREF _Toc392496537 \h </w:instrText>
      </w:r>
      <w:r>
        <w:fldChar w:fldCharType="separate"/>
      </w:r>
      <w:r>
        <w:t>82</w:t>
      </w:r>
      <w:r>
        <w:fldChar w:fldCharType="end"/>
      </w:r>
    </w:p>
    <w:p>
      <w:pPr>
        <w:pStyle w:val="TOC4"/>
        <w:tabs>
          <w:tab w:val="right" w:leader="dot" w:pos="7076"/>
        </w:tabs>
        <w:rPr>
          <w:rFonts w:asciiTheme="minorHAnsi" w:eastAsiaTheme="minorEastAsia" w:hAnsiTheme="minorHAnsi" w:cstheme="minorBidi"/>
          <w:b w:val="0"/>
          <w:szCs w:val="22"/>
        </w:rPr>
      </w:pPr>
      <w:r>
        <w:t>Division 3</w:t>
      </w:r>
      <w:r>
        <w:rPr>
          <w:snapToGrid w:val="0"/>
        </w:rPr>
        <w:t> — </w:t>
      </w:r>
      <w:r>
        <w:t>Operation of regulated contracts</w:t>
      </w:r>
    </w:p>
    <w:p>
      <w:pPr>
        <w:pStyle w:val="TOC8"/>
        <w:rPr>
          <w:rFonts w:asciiTheme="minorHAnsi" w:eastAsiaTheme="minorEastAsia" w:hAnsiTheme="minorHAnsi" w:cstheme="minorBidi"/>
          <w:szCs w:val="22"/>
        </w:rPr>
      </w:pPr>
      <w:r>
        <w:t>69</w:t>
      </w:r>
      <w:r>
        <w:rPr>
          <w:snapToGrid w:val="0"/>
        </w:rPr>
        <w:t>.</w:t>
      </w:r>
      <w:r>
        <w:rPr>
          <w:snapToGrid w:val="0"/>
        </w:rPr>
        <w:tab/>
        <w:t>Re</w:t>
      </w:r>
      <w:r>
        <w:rPr>
          <w:snapToGrid w:val="0"/>
        </w:rPr>
        <w:noBreakHyphen/>
        <w:t>financing of credit contracts, credit provider to give debtor certain information</w:t>
      </w:r>
      <w:r>
        <w:tab/>
      </w:r>
      <w:r>
        <w:fldChar w:fldCharType="begin"/>
      </w:r>
      <w:r>
        <w:instrText xml:space="preserve"> PAGEREF _Toc392496539 \h </w:instrText>
      </w:r>
      <w:r>
        <w:fldChar w:fldCharType="separate"/>
      </w:r>
      <w:r>
        <w:t>83</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Varying credit sale contracts and loan contracts</w:t>
      </w:r>
      <w:r>
        <w:tab/>
      </w:r>
      <w:r>
        <w:fldChar w:fldCharType="begin"/>
      </w:r>
      <w:r>
        <w:instrText xml:space="preserve"> PAGEREF _Toc392496540 \h </w:instrText>
      </w:r>
      <w:r>
        <w:fldChar w:fldCharType="separate"/>
      </w:r>
      <w:r>
        <w:t>84</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Agreed deferrals of payments, charges for</w:t>
      </w:r>
      <w:r>
        <w:tab/>
      </w:r>
      <w:r>
        <w:fldChar w:fldCharType="begin"/>
      </w:r>
      <w:r>
        <w:instrText xml:space="preserve"> PAGEREF _Toc392496541 \h </w:instrText>
      </w:r>
      <w:r>
        <w:fldChar w:fldCharType="separate"/>
      </w:r>
      <w:r>
        <w:t>87</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Defaults, charges for</w:t>
      </w:r>
      <w:r>
        <w:tab/>
      </w:r>
      <w:r>
        <w:fldChar w:fldCharType="begin"/>
      </w:r>
      <w:r>
        <w:instrText xml:space="preserve"> PAGEREF _Toc392496542 \h </w:instrText>
      </w:r>
      <w:r>
        <w:fldChar w:fldCharType="separate"/>
      </w:r>
      <w:r>
        <w:t>89</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Varied contracts continue to be regulated contracts</w:t>
      </w:r>
      <w:r>
        <w:tab/>
      </w:r>
      <w:r>
        <w:fldChar w:fldCharType="begin"/>
      </w:r>
      <w:r>
        <w:instrText xml:space="preserve"> PAGEREF _Toc392496543 \h </w:instrText>
      </w:r>
      <w:r>
        <w:fldChar w:fldCharType="separate"/>
      </w:r>
      <w:r>
        <w:t>90</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Varying contracts due to illness etc. of debtor</w:t>
      </w:r>
      <w:r>
        <w:tab/>
      </w:r>
      <w:r>
        <w:fldChar w:fldCharType="begin"/>
      </w:r>
      <w:r>
        <w:instrText xml:space="preserve"> PAGEREF _Toc392496544 \h </w:instrText>
      </w:r>
      <w:r>
        <w:fldChar w:fldCharType="separate"/>
      </w:r>
      <w:r>
        <w:t>90</w:t>
      </w:r>
      <w:r>
        <w:fldChar w:fldCharType="end"/>
      </w:r>
    </w:p>
    <w:p>
      <w:pPr>
        <w:pStyle w:val="TOC4"/>
        <w:tabs>
          <w:tab w:val="right" w:leader="dot" w:pos="7076"/>
        </w:tabs>
        <w:rPr>
          <w:rFonts w:asciiTheme="minorHAnsi" w:eastAsiaTheme="minorEastAsia" w:hAnsiTheme="minorHAnsi" w:cstheme="minorBidi"/>
          <w:b w:val="0"/>
          <w:szCs w:val="22"/>
        </w:rPr>
      </w:pPr>
      <w:r>
        <w:t>Division 4</w:t>
      </w:r>
      <w:r>
        <w:rPr>
          <w:snapToGrid w:val="0"/>
        </w:rPr>
        <w:t> — </w:t>
      </w:r>
      <w:r>
        <w:t>General</w:t>
      </w:r>
    </w:p>
    <w:p>
      <w:pPr>
        <w:pStyle w:val="TOC8"/>
        <w:rPr>
          <w:rFonts w:asciiTheme="minorHAnsi" w:eastAsiaTheme="minorEastAsia" w:hAnsiTheme="minorHAnsi" w:cstheme="minorBidi"/>
          <w:szCs w:val="22"/>
        </w:rPr>
      </w:pPr>
      <w:r>
        <w:t>75</w:t>
      </w:r>
      <w:r>
        <w:rPr>
          <w:snapToGrid w:val="0"/>
        </w:rPr>
        <w:t>.</w:t>
      </w:r>
      <w:r>
        <w:rPr>
          <w:snapToGrid w:val="0"/>
        </w:rPr>
        <w:tab/>
        <w:t>Unauthorised fees, provisions in contracts as to</w:t>
      </w:r>
      <w:r>
        <w:tab/>
      </w:r>
      <w:r>
        <w:fldChar w:fldCharType="begin"/>
      </w:r>
      <w:r>
        <w:instrText xml:space="preserve"> PAGEREF _Toc392496546 \h </w:instrText>
      </w:r>
      <w:r>
        <w:fldChar w:fldCharType="separate"/>
      </w:r>
      <w:r>
        <w:t>92</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Enforcement expenses, provisions in contracts as to</w:t>
      </w:r>
      <w:r>
        <w:tab/>
      </w:r>
      <w:r>
        <w:fldChar w:fldCharType="begin"/>
      </w:r>
      <w:r>
        <w:instrText xml:space="preserve"> PAGEREF _Toc392496547 \h </w:instrText>
      </w:r>
      <w:r>
        <w:fldChar w:fldCharType="separate"/>
      </w:r>
      <w:r>
        <w:t>93</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Negating etc. right to revoke offer to enter into contract, provisions in contracts as to</w:t>
      </w:r>
      <w:r>
        <w:tab/>
      </w:r>
      <w:r>
        <w:fldChar w:fldCharType="begin"/>
      </w:r>
      <w:r>
        <w:instrText xml:space="preserve"> PAGEREF _Toc392496548 \h </w:instrText>
      </w:r>
      <w:r>
        <w:fldChar w:fldCharType="separate"/>
      </w:r>
      <w:r>
        <w:t>93</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Annual percentage rate, statement of in case of pre</w:t>
      </w:r>
      <w:r>
        <w:rPr>
          <w:snapToGrid w:val="0"/>
        </w:rPr>
        <w:noBreakHyphen/>
        <w:t>determined credit charge</w:t>
      </w:r>
      <w:r>
        <w:tab/>
      </w:r>
      <w:r>
        <w:fldChar w:fldCharType="begin"/>
      </w:r>
      <w:r>
        <w:instrText xml:space="preserve"> PAGEREF _Toc392496549 \h </w:instrText>
      </w:r>
      <w:r>
        <w:fldChar w:fldCharType="separate"/>
      </w:r>
      <w:r>
        <w:t>94</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Estimated credit charge, statement of</w:t>
      </w:r>
      <w:r>
        <w:tab/>
      </w:r>
      <w:r>
        <w:fldChar w:fldCharType="begin"/>
      </w:r>
      <w:r>
        <w:instrText xml:space="preserve"> PAGEREF _Toc392496550 \h </w:instrText>
      </w:r>
      <w:r>
        <w:fldChar w:fldCharType="separate"/>
      </w:r>
      <w:r>
        <w:t>94</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Difference between pre</w:t>
      </w:r>
      <w:r>
        <w:rPr>
          <w:snapToGrid w:val="0"/>
        </w:rPr>
        <w:noBreakHyphen/>
        <w:t>determined or estimated credit charge and calculated credit charge, liability of debtor in case of</w:t>
      </w:r>
      <w:r>
        <w:tab/>
      </w:r>
      <w:r>
        <w:fldChar w:fldCharType="begin"/>
      </w:r>
      <w:r>
        <w:instrText xml:space="preserve"> PAGEREF _Toc392496551 \h </w:instrText>
      </w:r>
      <w:r>
        <w:fldChar w:fldCharType="separate"/>
      </w:r>
      <w:r>
        <w:t>94</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Credit provider etc., assignment of rights by</w:t>
      </w:r>
      <w:r>
        <w:tab/>
      </w:r>
      <w:r>
        <w:fldChar w:fldCharType="begin"/>
      </w:r>
      <w:r>
        <w:instrText xml:space="preserve"> PAGEREF _Toc392496552 \h </w:instrText>
      </w:r>
      <w:r>
        <w:fldChar w:fldCharType="separate"/>
      </w:r>
      <w:r>
        <w:t>95</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Payments by credit provider to be in cash and in full</w:t>
      </w:r>
      <w:r>
        <w:tab/>
      </w:r>
      <w:r>
        <w:fldChar w:fldCharType="begin"/>
      </w:r>
      <w:r>
        <w:instrText xml:space="preserve"> PAGEREF _Toc392496553 \h </w:instrText>
      </w:r>
      <w:r>
        <w:fldChar w:fldCharType="separate"/>
      </w:r>
      <w:r>
        <w:t>97</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Application of payments received by credit provider</w:t>
      </w:r>
      <w:r>
        <w:tab/>
      </w:r>
      <w:r>
        <w:fldChar w:fldCharType="begin"/>
      </w:r>
      <w:r>
        <w:instrText xml:space="preserve"> PAGEREF _Toc392496554 \h </w:instrText>
      </w:r>
      <w:r>
        <w:fldChar w:fldCharType="separate"/>
      </w:r>
      <w:r>
        <w:t>98</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Appropriation of payments between 2 or more contracts</w:t>
      </w:r>
      <w:r>
        <w:tab/>
      </w:r>
      <w:r>
        <w:fldChar w:fldCharType="begin"/>
      </w:r>
      <w:r>
        <w:instrText xml:space="preserve"> PAGEREF _Toc392496555 \h </w:instrText>
      </w:r>
      <w:r>
        <w:fldChar w:fldCharType="separate"/>
      </w:r>
      <w:r>
        <w:t>98</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Tribunal may reduce credit provider’s loss due to breach of law</w:t>
      </w:r>
      <w:r>
        <w:tab/>
      </w:r>
      <w:r>
        <w:fldChar w:fldCharType="begin"/>
      </w:r>
      <w:r>
        <w:instrText xml:space="preserve"> PAGEREF _Toc392496556 \h </w:instrText>
      </w:r>
      <w:r>
        <w:fldChar w:fldCharType="separate"/>
      </w:r>
      <w:r>
        <w:t>99</w:t>
      </w:r>
      <w:r>
        <w:fldChar w:fldCharType="end"/>
      </w:r>
    </w:p>
    <w:p>
      <w:pPr>
        <w:pStyle w:val="TOC8"/>
        <w:rPr>
          <w:rFonts w:asciiTheme="minorHAnsi" w:eastAsiaTheme="minorEastAsia" w:hAnsiTheme="minorHAnsi" w:cstheme="minorBidi"/>
          <w:szCs w:val="22"/>
        </w:rPr>
      </w:pPr>
      <w:r>
        <w:t>85A</w:t>
      </w:r>
      <w:r>
        <w:rPr>
          <w:snapToGrid w:val="0"/>
        </w:rPr>
        <w:t>.</w:t>
      </w:r>
      <w:r>
        <w:rPr>
          <w:snapToGrid w:val="0"/>
        </w:rPr>
        <w:tab/>
        <w:t>Declaration by Tribunal that debtor not liable due to s. 42 or 67</w:t>
      </w:r>
      <w:r>
        <w:tab/>
      </w:r>
      <w:r>
        <w:fldChar w:fldCharType="begin"/>
      </w:r>
      <w:r>
        <w:instrText xml:space="preserve"> PAGEREF _Toc392496557 \h </w:instrText>
      </w:r>
      <w:r>
        <w:fldChar w:fldCharType="separate"/>
      </w:r>
      <w:r>
        <w:t>101</w:t>
      </w:r>
      <w:r>
        <w:fldChar w:fldCharType="end"/>
      </w:r>
    </w:p>
    <w:p>
      <w:pPr>
        <w:pStyle w:val="TOC8"/>
        <w:rPr>
          <w:rFonts w:asciiTheme="minorHAnsi" w:eastAsiaTheme="minorEastAsia" w:hAnsiTheme="minorHAnsi" w:cstheme="minorBidi"/>
          <w:szCs w:val="22"/>
        </w:rPr>
      </w:pPr>
      <w:r>
        <w:t>85B</w:t>
      </w:r>
      <w:r>
        <w:rPr>
          <w:snapToGrid w:val="0"/>
        </w:rPr>
        <w:t xml:space="preserve">. </w:t>
      </w:r>
      <w:r>
        <w:rPr>
          <w:snapToGrid w:val="0"/>
        </w:rPr>
        <w:tab/>
        <w:t>Stay of civil penalty under s. 42 or 67 pending decision of s. 85 application</w:t>
      </w:r>
      <w:r>
        <w:tab/>
      </w:r>
      <w:r>
        <w:fldChar w:fldCharType="begin"/>
      </w:r>
      <w:r>
        <w:instrText xml:space="preserve"> PAGEREF _Toc392496558 \h </w:instrText>
      </w:r>
      <w:r>
        <w:fldChar w:fldCharType="separate"/>
      </w:r>
      <w:r>
        <w:t>102</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Declaration under s. 85 as to 2 or more contracts</w:t>
      </w:r>
      <w:r>
        <w:tab/>
      </w:r>
      <w:r>
        <w:fldChar w:fldCharType="begin"/>
      </w:r>
      <w:r>
        <w:instrText xml:space="preserve"> PAGEREF _Toc392496559 \h </w:instrText>
      </w:r>
      <w:r>
        <w:fldChar w:fldCharType="separate"/>
      </w:r>
      <w:r>
        <w:t>103</w:t>
      </w:r>
      <w:r>
        <w:fldChar w:fldCharType="end"/>
      </w:r>
    </w:p>
    <w:p>
      <w:pPr>
        <w:pStyle w:val="TOC8"/>
        <w:rPr>
          <w:rFonts w:asciiTheme="minorHAnsi" w:eastAsiaTheme="minorEastAsia" w:hAnsiTheme="minorHAnsi" w:cstheme="minorBidi"/>
          <w:szCs w:val="22"/>
        </w:rPr>
      </w:pPr>
      <w:r>
        <w:t>86A</w:t>
      </w:r>
      <w:r>
        <w:rPr>
          <w:snapToGrid w:val="0"/>
        </w:rPr>
        <w:t xml:space="preserve">. </w:t>
      </w:r>
      <w:r>
        <w:rPr>
          <w:snapToGrid w:val="0"/>
        </w:rPr>
        <w:tab/>
        <w:t>Contracts with minor errors etc. may be deemed to comply with Act</w:t>
      </w:r>
      <w:r>
        <w:tab/>
      </w:r>
      <w:r>
        <w:fldChar w:fldCharType="begin"/>
      </w:r>
      <w:r>
        <w:instrText xml:space="preserve"> PAGEREF _Toc392496560 \h </w:instrText>
      </w:r>
      <w:r>
        <w:fldChar w:fldCharType="separate"/>
      </w:r>
      <w:r>
        <w:t>105</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Reduction in debtor’s liability due to Act, effect of</w:t>
      </w:r>
      <w:r>
        <w:tab/>
      </w:r>
      <w:r>
        <w:fldChar w:fldCharType="begin"/>
      </w:r>
      <w:r>
        <w:instrText xml:space="preserve"> PAGEREF _Toc392496561 \h </w:instrText>
      </w:r>
      <w:r>
        <w:fldChar w:fldCharType="separate"/>
      </w:r>
      <w:r>
        <w:t>106</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Court may dismiss charges of offences under s. 3(4), 43, 59, 61 or 64 in some cases</w:t>
      </w:r>
      <w:r>
        <w:tab/>
      </w:r>
      <w:r>
        <w:fldChar w:fldCharType="begin"/>
      </w:r>
      <w:r>
        <w:instrText xml:space="preserve"> PAGEREF _Toc392496562 \h </w:instrText>
      </w:r>
      <w:r>
        <w:fldChar w:fldCharType="separate"/>
      </w:r>
      <w:r>
        <w:t>106</w:t>
      </w:r>
      <w:r>
        <w:fldChar w:fldCharType="end"/>
      </w:r>
    </w:p>
    <w:p>
      <w:pPr>
        <w:pStyle w:val="TOC2"/>
        <w:tabs>
          <w:tab w:val="right" w:leader="dot" w:pos="7076"/>
        </w:tabs>
        <w:rPr>
          <w:rFonts w:asciiTheme="minorHAnsi" w:eastAsiaTheme="minorEastAsia" w:hAnsiTheme="minorHAnsi" w:cstheme="minorBidi"/>
          <w:b w:val="0"/>
          <w:sz w:val="22"/>
          <w:szCs w:val="22"/>
        </w:rPr>
      </w:pPr>
      <w:r>
        <w:t>Part IV — Regulated mortgages</w:t>
      </w:r>
    </w:p>
    <w:p>
      <w:pPr>
        <w:pStyle w:val="TOC4"/>
        <w:tabs>
          <w:tab w:val="right" w:leader="dot" w:pos="7076"/>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89</w:t>
      </w:r>
      <w:r>
        <w:rPr>
          <w:snapToGrid w:val="0"/>
        </w:rPr>
        <w:t>.</w:t>
      </w:r>
      <w:r>
        <w:rPr>
          <w:snapToGrid w:val="0"/>
        </w:rPr>
        <w:tab/>
        <w:t>Term used: mortgage</w:t>
      </w:r>
      <w:r>
        <w:tab/>
      </w:r>
      <w:r>
        <w:fldChar w:fldCharType="begin"/>
      </w:r>
      <w:r>
        <w:instrText xml:space="preserve"> PAGEREF _Toc392496565 \h </w:instrText>
      </w:r>
      <w:r>
        <w:fldChar w:fldCharType="separate"/>
      </w:r>
      <w:r>
        <w:t>107</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Mortgagee’s obligations not to exceed contract’s obligations</w:t>
      </w:r>
      <w:r>
        <w:tab/>
      </w:r>
      <w:r>
        <w:fldChar w:fldCharType="begin"/>
      </w:r>
      <w:r>
        <w:instrText xml:space="preserve"> PAGEREF _Toc392496566 \h </w:instrText>
      </w:r>
      <w:r>
        <w:fldChar w:fldCharType="separate"/>
      </w:r>
      <w:r>
        <w:t>107</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Mortgage of goods to be in writing</w:t>
      </w:r>
      <w:r>
        <w:tab/>
      </w:r>
      <w:r>
        <w:fldChar w:fldCharType="begin"/>
      </w:r>
      <w:r>
        <w:instrText xml:space="preserve"> PAGEREF _Toc392496567 \h </w:instrText>
      </w:r>
      <w:r>
        <w:fldChar w:fldCharType="separate"/>
      </w:r>
      <w:r>
        <w:t>107</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Debtor entitled to copy of mortgage</w:t>
      </w:r>
      <w:r>
        <w:tab/>
      </w:r>
      <w:r>
        <w:fldChar w:fldCharType="begin"/>
      </w:r>
      <w:r>
        <w:instrText xml:space="preserve"> PAGEREF _Toc392496568 \h </w:instrText>
      </w:r>
      <w:r>
        <w:fldChar w:fldCharType="separate"/>
      </w:r>
      <w:r>
        <w:t>108</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Enforcement expenses, provisions in mortgages as to</w:t>
      </w:r>
      <w:r>
        <w:tab/>
      </w:r>
      <w:r>
        <w:fldChar w:fldCharType="begin"/>
      </w:r>
      <w:r>
        <w:instrText xml:space="preserve"> PAGEREF _Toc392496569 \h </w:instrText>
      </w:r>
      <w:r>
        <w:fldChar w:fldCharType="separate"/>
      </w:r>
      <w:r>
        <w:t>108</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Entry of premises by mortgagee, provisions in mortgages as to</w:t>
      </w:r>
      <w:r>
        <w:tab/>
      </w:r>
      <w:r>
        <w:fldChar w:fldCharType="begin"/>
      </w:r>
      <w:r>
        <w:instrText xml:space="preserve"> PAGEREF _Toc392496570 \h </w:instrText>
      </w:r>
      <w:r>
        <w:fldChar w:fldCharType="separate"/>
      </w:r>
      <w:r>
        <w:t>109</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Court order needed before entry for repossession</w:t>
      </w:r>
      <w:r>
        <w:tab/>
      </w:r>
      <w:r>
        <w:fldChar w:fldCharType="begin"/>
      </w:r>
      <w:r>
        <w:instrText xml:space="preserve"> PAGEREF _Toc392496571 \h </w:instrText>
      </w:r>
      <w:r>
        <w:fldChar w:fldCharType="separate"/>
      </w:r>
      <w:r>
        <w:t>109</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Location of goods, mortgagor may be required to disclose</w:t>
      </w:r>
      <w:r>
        <w:tab/>
      </w:r>
      <w:r>
        <w:fldChar w:fldCharType="begin"/>
      </w:r>
      <w:r>
        <w:instrText xml:space="preserve"> PAGEREF _Toc392496572 \h </w:instrText>
      </w:r>
      <w:r>
        <w:fldChar w:fldCharType="separate"/>
      </w:r>
      <w:r>
        <w:t>110</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Time and place for delivery of goods, court may determine</w:t>
      </w:r>
      <w:r>
        <w:tab/>
      </w:r>
      <w:r>
        <w:fldChar w:fldCharType="begin"/>
      </w:r>
      <w:r>
        <w:instrText xml:space="preserve"> PAGEREF _Toc392496573 \h </w:instrText>
      </w:r>
      <w:r>
        <w:fldChar w:fldCharType="separate"/>
      </w:r>
      <w:r>
        <w:t>110</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Blanket securities over property or assets prohibited</w:t>
      </w:r>
      <w:r>
        <w:tab/>
      </w:r>
      <w:r>
        <w:fldChar w:fldCharType="begin"/>
      </w:r>
      <w:r>
        <w:instrText xml:space="preserve"> PAGEREF _Toc392496574 \h </w:instrText>
      </w:r>
      <w:r>
        <w:fldChar w:fldCharType="separate"/>
      </w:r>
      <w:r>
        <w:t>110</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Agreement to mortgage future property, provisions in mortgage as to</w:t>
      </w:r>
      <w:r>
        <w:tab/>
      </w:r>
      <w:r>
        <w:fldChar w:fldCharType="begin"/>
      </w:r>
      <w:r>
        <w:instrText xml:space="preserve"> PAGEREF _Toc392496575 \h </w:instrText>
      </w:r>
      <w:r>
        <w:fldChar w:fldCharType="separate"/>
      </w:r>
      <w:r>
        <w:t>111</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Mortgages of goods, provisions in continuing credit contracts as to</w:t>
      </w:r>
      <w:r>
        <w:tab/>
      </w:r>
      <w:r>
        <w:fldChar w:fldCharType="begin"/>
      </w:r>
      <w:r>
        <w:instrText xml:space="preserve"> PAGEREF _Toc392496576 \h </w:instrText>
      </w:r>
      <w:r>
        <w:fldChar w:fldCharType="separate"/>
      </w:r>
      <w:r>
        <w:t>111</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Assignment etc. of mortgaged property to defraud mortgagee</w:t>
      </w:r>
      <w:r>
        <w:tab/>
      </w:r>
      <w:r>
        <w:fldChar w:fldCharType="begin"/>
      </w:r>
      <w:r>
        <w:instrText xml:space="preserve"> PAGEREF _Toc392496577 \h </w:instrText>
      </w:r>
      <w:r>
        <w:fldChar w:fldCharType="separate"/>
      </w:r>
      <w:r>
        <w:t>112</w:t>
      </w:r>
      <w:r>
        <w:fldChar w:fldCharType="end"/>
      </w:r>
    </w:p>
    <w:p>
      <w:pPr>
        <w:pStyle w:val="TOC4"/>
        <w:tabs>
          <w:tab w:val="right" w:leader="dot" w:pos="7076"/>
        </w:tabs>
        <w:rPr>
          <w:rFonts w:asciiTheme="minorHAnsi" w:eastAsiaTheme="minorEastAsia" w:hAnsiTheme="minorHAnsi" w:cstheme="minorBidi"/>
          <w:b w:val="0"/>
          <w:szCs w:val="22"/>
        </w:rPr>
      </w:pPr>
      <w:r>
        <w:t>Division 2</w:t>
      </w:r>
      <w:r>
        <w:rPr>
          <w:snapToGrid w:val="0"/>
        </w:rPr>
        <w:t> — </w:t>
      </w:r>
      <w:r>
        <w:t>Assignment, etc., of property</w:t>
      </w:r>
    </w:p>
    <w:p>
      <w:pPr>
        <w:pStyle w:val="TOC8"/>
        <w:rPr>
          <w:rFonts w:asciiTheme="minorHAnsi" w:eastAsiaTheme="minorEastAsia" w:hAnsiTheme="minorHAnsi" w:cstheme="minorBidi"/>
          <w:szCs w:val="22"/>
        </w:rPr>
      </w:pPr>
      <w:r>
        <w:t>102</w:t>
      </w:r>
      <w:r>
        <w:rPr>
          <w:snapToGrid w:val="0"/>
        </w:rPr>
        <w:t>.</w:t>
      </w:r>
      <w:r>
        <w:rPr>
          <w:snapToGrid w:val="0"/>
        </w:rPr>
        <w:tab/>
        <w:t>Assignment by mortgagor</w:t>
      </w:r>
      <w:r>
        <w:tab/>
      </w:r>
      <w:r>
        <w:fldChar w:fldCharType="begin"/>
      </w:r>
      <w:r>
        <w:instrText xml:space="preserve"> PAGEREF _Toc392496579 \h </w:instrText>
      </w:r>
      <w:r>
        <w:fldChar w:fldCharType="separate"/>
      </w:r>
      <w:r>
        <w:t>112</w:t>
      </w:r>
      <w:r>
        <w:fldChar w:fldCharType="end"/>
      </w:r>
    </w:p>
    <w:p>
      <w:pPr>
        <w:pStyle w:val="TOC2"/>
        <w:tabs>
          <w:tab w:val="right" w:leader="dot" w:pos="7076"/>
        </w:tabs>
        <w:rPr>
          <w:rFonts w:asciiTheme="minorHAnsi" w:eastAsiaTheme="minorEastAsia" w:hAnsiTheme="minorHAnsi" w:cstheme="minorBidi"/>
          <w:b w:val="0"/>
          <w:sz w:val="22"/>
          <w:szCs w:val="22"/>
        </w:rPr>
      </w:pPr>
      <w:r>
        <w:t>Part V — Termination and enforcement of regulated contracts and regulated mortgages</w:t>
      </w:r>
    </w:p>
    <w:p>
      <w:pPr>
        <w:pStyle w:val="TOC8"/>
        <w:rPr>
          <w:rFonts w:asciiTheme="minorHAnsi" w:eastAsiaTheme="minorEastAsia" w:hAnsiTheme="minorHAnsi" w:cstheme="minorBidi"/>
          <w:szCs w:val="22"/>
        </w:rPr>
      </w:pPr>
      <w:r>
        <w:t>103</w:t>
      </w:r>
      <w:r>
        <w:rPr>
          <w:snapToGrid w:val="0"/>
        </w:rPr>
        <w:t>.</w:t>
      </w:r>
      <w:r>
        <w:rPr>
          <w:snapToGrid w:val="0"/>
        </w:rPr>
        <w:tab/>
        <w:t>Net balance due, calculation of</w:t>
      </w:r>
      <w:r>
        <w:tab/>
      </w:r>
      <w:r>
        <w:fldChar w:fldCharType="begin"/>
      </w:r>
      <w:r>
        <w:instrText xml:space="preserve"> PAGEREF _Toc392496581 \h </w:instrText>
      </w:r>
      <w:r>
        <w:fldChar w:fldCharType="separate"/>
      </w:r>
      <w:r>
        <w:t>115</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Net balance due, credit provider to state on request</w:t>
      </w:r>
      <w:r>
        <w:tab/>
      </w:r>
      <w:r>
        <w:fldChar w:fldCharType="begin"/>
      </w:r>
      <w:r>
        <w:instrText xml:space="preserve"> PAGEREF _Toc392496582 \h </w:instrText>
      </w:r>
      <w:r>
        <w:fldChar w:fldCharType="separate"/>
      </w:r>
      <w:r>
        <w:t>116</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Early termination of contract by debtor</w:t>
      </w:r>
      <w:r>
        <w:tab/>
      </w:r>
      <w:r>
        <w:fldChar w:fldCharType="begin"/>
      </w:r>
      <w:r>
        <w:instrText xml:space="preserve"> PAGEREF _Toc392496583 \h </w:instrText>
      </w:r>
      <w:r>
        <w:fldChar w:fldCharType="separate"/>
      </w:r>
      <w:r>
        <w:t>117</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Mortgagor may require mortgagee to sell mortgaged goods</w:t>
      </w:r>
      <w:r>
        <w:tab/>
      </w:r>
      <w:r>
        <w:fldChar w:fldCharType="begin"/>
      </w:r>
      <w:r>
        <w:instrText xml:space="preserve"> PAGEREF _Toc392496584 \h </w:instrText>
      </w:r>
      <w:r>
        <w:fldChar w:fldCharType="separate"/>
      </w:r>
      <w:r>
        <w:t>117</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Rights of credit provider or mortgagee, restrictions on exercising</w:t>
      </w:r>
      <w:r>
        <w:tab/>
      </w:r>
      <w:r>
        <w:fldChar w:fldCharType="begin"/>
      </w:r>
      <w:r>
        <w:instrText xml:space="preserve"> PAGEREF _Toc392496585 \h </w:instrText>
      </w:r>
      <w:r>
        <w:fldChar w:fldCharType="separate"/>
      </w:r>
      <w:r>
        <w:t>118</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Proceedings prohibited if s. 107 notice complied with</w:t>
      </w:r>
      <w:r>
        <w:tab/>
      </w:r>
      <w:r>
        <w:fldChar w:fldCharType="begin"/>
      </w:r>
      <w:r>
        <w:instrText xml:space="preserve"> PAGEREF _Toc392496586 \h </w:instrText>
      </w:r>
      <w:r>
        <w:fldChar w:fldCharType="separate"/>
      </w:r>
      <w:r>
        <w:t>122</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Limit on amount recoverable</w:t>
      </w:r>
      <w:r>
        <w:tab/>
      </w:r>
      <w:r>
        <w:fldChar w:fldCharType="begin"/>
      </w:r>
      <w:r>
        <w:instrText xml:space="preserve"> PAGEREF _Toc392496587 \h </w:instrText>
      </w:r>
      <w:r>
        <w:fldChar w:fldCharType="separate"/>
      </w:r>
      <w:r>
        <w:t>122</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Mortgagee’s powers, restrictions on exercising</w:t>
      </w:r>
      <w:r>
        <w:tab/>
      </w:r>
      <w:r>
        <w:fldChar w:fldCharType="begin"/>
      </w:r>
      <w:r>
        <w:instrText xml:space="preserve"> PAGEREF _Toc392496588 \h </w:instrText>
      </w:r>
      <w:r>
        <w:fldChar w:fldCharType="separate"/>
      </w:r>
      <w:r>
        <w:t>122</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Court may order delivery of goods to mortgagee</w:t>
      </w:r>
      <w:r>
        <w:tab/>
      </w:r>
      <w:r>
        <w:fldChar w:fldCharType="begin"/>
      </w:r>
      <w:r>
        <w:instrText xml:space="preserve"> PAGEREF _Toc392496589 \h </w:instrText>
      </w:r>
      <w:r>
        <w:fldChar w:fldCharType="separate"/>
      </w:r>
      <w:r>
        <w:t>123</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Mortgagee in possession of goods, restrictions on power to sell etc.</w:t>
      </w:r>
      <w:r>
        <w:tab/>
      </w:r>
      <w:r>
        <w:fldChar w:fldCharType="begin"/>
      </w:r>
      <w:r>
        <w:instrText xml:space="preserve"> PAGEREF _Toc392496590 \h </w:instrText>
      </w:r>
      <w:r>
        <w:fldChar w:fldCharType="separate"/>
      </w:r>
      <w:r>
        <w:t>123</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Mortgagor’s right to redeem goods in mortgagee’s possession</w:t>
      </w:r>
      <w:r>
        <w:tab/>
      </w:r>
      <w:r>
        <w:fldChar w:fldCharType="begin"/>
      </w:r>
      <w:r>
        <w:instrText xml:space="preserve"> PAGEREF _Toc392496591 \h </w:instrText>
      </w:r>
      <w:r>
        <w:fldChar w:fldCharType="separate"/>
      </w:r>
      <w:r>
        <w:t>125</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Sale of goods by mortgagee, application of proceeds etc.</w:t>
      </w:r>
      <w:r>
        <w:tab/>
      </w:r>
      <w:r>
        <w:fldChar w:fldCharType="begin"/>
      </w:r>
      <w:r>
        <w:instrText xml:space="preserve"> PAGEREF _Toc392496592 \h </w:instrText>
      </w:r>
      <w:r>
        <w:fldChar w:fldCharType="separate"/>
      </w:r>
      <w:r>
        <w:t>126</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Farm machinery etc., court may suspend repossession or restore possession of</w:t>
      </w:r>
      <w:r>
        <w:tab/>
      </w:r>
      <w:r>
        <w:fldChar w:fldCharType="begin"/>
      </w:r>
      <w:r>
        <w:instrText xml:space="preserve"> PAGEREF _Toc392496593 \h </w:instrText>
      </w:r>
      <w:r>
        <w:fldChar w:fldCharType="separate"/>
      </w:r>
      <w:r>
        <w:t>129</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Negotiated postponement of exercise of rights of credit provider or mortgagee</w:t>
      </w:r>
      <w:r>
        <w:tab/>
      </w:r>
      <w:r>
        <w:fldChar w:fldCharType="begin"/>
      </w:r>
      <w:r>
        <w:instrText xml:space="preserve"> PAGEREF _Toc392496594 \h </w:instrText>
      </w:r>
      <w:r>
        <w:fldChar w:fldCharType="separate"/>
      </w:r>
      <w:r>
        <w:t>131</w:t>
      </w:r>
      <w:r>
        <w:fldChar w:fldCharType="end"/>
      </w:r>
    </w:p>
    <w:p>
      <w:pPr>
        <w:pStyle w:val="TOC2"/>
        <w:tabs>
          <w:tab w:val="right" w:leader="dot" w:pos="7076"/>
        </w:tabs>
        <w:rPr>
          <w:rFonts w:asciiTheme="minorHAnsi" w:eastAsiaTheme="minorEastAsia" w:hAnsiTheme="minorHAnsi" w:cstheme="minorBidi"/>
          <w:b w:val="0"/>
          <w:sz w:val="22"/>
          <w:szCs w:val="22"/>
        </w:rPr>
      </w:pPr>
      <w:r>
        <w:t>Part VI — Regulated contracts and regulated mortgages — general</w:t>
      </w:r>
    </w:p>
    <w:p>
      <w:pPr>
        <w:pStyle w:val="TOC8"/>
        <w:rPr>
          <w:rFonts w:asciiTheme="minorHAnsi" w:eastAsiaTheme="minorEastAsia" w:hAnsiTheme="minorHAnsi" w:cstheme="minorBidi"/>
          <w:szCs w:val="22"/>
        </w:rPr>
      </w:pPr>
      <w:r>
        <w:t>117</w:t>
      </w:r>
      <w:r>
        <w:rPr>
          <w:snapToGrid w:val="0"/>
        </w:rPr>
        <w:t>.</w:t>
      </w:r>
      <w:r>
        <w:rPr>
          <w:snapToGrid w:val="0"/>
        </w:rPr>
        <w:tab/>
        <w:t>False etc. representations, offences as to etc.</w:t>
      </w:r>
      <w:r>
        <w:tab/>
      </w:r>
      <w:r>
        <w:fldChar w:fldCharType="begin"/>
      </w:r>
      <w:r>
        <w:instrText xml:space="preserve"> PAGEREF _Toc392496596 \h </w:instrText>
      </w:r>
      <w:r>
        <w:fldChar w:fldCharType="separate"/>
      </w:r>
      <w:r>
        <w:t>134</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Court may approve removal of mortgaged goods</w:t>
      </w:r>
      <w:r>
        <w:tab/>
      </w:r>
      <w:r>
        <w:fldChar w:fldCharType="begin"/>
      </w:r>
      <w:r>
        <w:instrText xml:space="preserve"> PAGEREF _Toc392496597 \h </w:instrText>
      </w:r>
      <w:r>
        <w:fldChar w:fldCharType="separate"/>
      </w:r>
      <w:r>
        <w:t>136</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Assignment of wages etc., provisions as to in contracts etc.</w:t>
      </w:r>
      <w:r>
        <w:tab/>
      </w:r>
      <w:r>
        <w:fldChar w:fldCharType="begin"/>
      </w:r>
      <w:r>
        <w:instrText xml:space="preserve"> PAGEREF _Toc392496598 \h </w:instrText>
      </w:r>
      <w:r>
        <w:fldChar w:fldCharType="separate"/>
      </w:r>
      <w:r>
        <w:t>136</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Bills of exchange etc. as security for credit provider</w:t>
      </w:r>
      <w:r>
        <w:tab/>
      </w:r>
      <w:r>
        <w:fldChar w:fldCharType="begin"/>
      </w:r>
      <w:r>
        <w:instrText xml:space="preserve"> PAGEREF _Toc392496599 \h </w:instrText>
      </w:r>
      <w:r>
        <w:fldChar w:fldCharType="separate"/>
      </w:r>
      <w:r>
        <w:t>136</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Advertisements offering credit</w:t>
      </w:r>
      <w:r>
        <w:tab/>
      </w:r>
      <w:r>
        <w:fldChar w:fldCharType="begin"/>
      </w:r>
      <w:r>
        <w:instrText xml:space="preserve"> PAGEREF _Toc392496600 \h </w:instrText>
      </w:r>
      <w:r>
        <w:fldChar w:fldCharType="separate"/>
      </w:r>
      <w:r>
        <w:t>137</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Canvassing offers to provide credit</w:t>
      </w:r>
      <w:r>
        <w:tab/>
      </w:r>
      <w:r>
        <w:fldChar w:fldCharType="begin"/>
      </w:r>
      <w:r>
        <w:instrText xml:space="preserve"> PAGEREF _Toc392496601 \h </w:instrText>
      </w:r>
      <w:r>
        <w:fldChar w:fldCharType="separate"/>
      </w:r>
      <w:r>
        <w:t>141</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Terms of contracts etc., regulations may prescribe</w:t>
      </w:r>
      <w:r>
        <w:tab/>
      </w:r>
      <w:r>
        <w:fldChar w:fldCharType="begin"/>
      </w:r>
      <w:r>
        <w:instrText xml:space="preserve"> PAGEREF _Toc392496602 \h </w:instrText>
      </w:r>
      <w:r>
        <w:fldChar w:fldCharType="separate"/>
      </w:r>
      <w:r>
        <w:t>141</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Agents of debtors etc., agreements etc. as to</w:t>
      </w:r>
      <w:r>
        <w:tab/>
      </w:r>
      <w:r>
        <w:fldChar w:fldCharType="begin"/>
      </w:r>
      <w:r>
        <w:instrText xml:space="preserve"> PAGEREF _Toc392496603 \h </w:instrText>
      </w:r>
      <w:r>
        <w:fldChar w:fldCharType="separate"/>
      </w:r>
      <w:r>
        <w:t>142</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Contract or mortgage not illegal etc. by reason of offence</w:t>
      </w:r>
      <w:r>
        <w:tab/>
      </w:r>
      <w:r>
        <w:fldChar w:fldCharType="begin"/>
      </w:r>
      <w:r>
        <w:instrText xml:space="preserve"> PAGEREF _Toc392496604 \h </w:instrText>
      </w:r>
      <w:r>
        <w:fldChar w:fldCharType="separate"/>
      </w:r>
      <w:r>
        <w:t>142</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Notices to be given to each of 2 or more debtors etc.</w:t>
      </w:r>
      <w:r>
        <w:tab/>
      </w:r>
      <w:r>
        <w:fldChar w:fldCharType="begin"/>
      </w:r>
      <w:r>
        <w:instrText xml:space="preserve"> PAGEREF _Toc392496605 \h </w:instrText>
      </w:r>
      <w:r>
        <w:fldChar w:fldCharType="separate"/>
      </w:r>
      <w:r>
        <w:t>142</w:t>
      </w:r>
      <w:r>
        <w:fldChar w:fldCharType="end"/>
      </w:r>
    </w:p>
    <w:p>
      <w:pPr>
        <w:pStyle w:val="TOC2"/>
        <w:tabs>
          <w:tab w:val="right" w:leader="dot" w:pos="7076"/>
        </w:tabs>
        <w:rPr>
          <w:rFonts w:asciiTheme="minorHAnsi" w:eastAsiaTheme="minorEastAsia" w:hAnsiTheme="minorHAnsi" w:cstheme="minorBidi"/>
          <w:b w:val="0"/>
          <w:sz w:val="22"/>
          <w:szCs w:val="22"/>
        </w:rPr>
      </w:pPr>
      <w:r>
        <w:t>Part VII — Contracts of insurance</w:t>
      </w:r>
    </w:p>
    <w:p>
      <w:pPr>
        <w:pStyle w:val="TOC8"/>
        <w:rPr>
          <w:rFonts w:asciiTheme="minorHAnsi" w:eastAsiaTheme="minorEastAsia" w:hAnsiTheme="minorHAnsi" w:cstheme="minorBidi"/>
          <w:szCs w:val="22"/>
        </w:rPr>
      </w:pPr>
      <w:r>
        <w:t>127</w:t>
      </w:r>
      <w:r>
        <w:rPr>
          <w:snapToGrid w:val="0"/>
        </w:rPr>
        <w:t>.</w:t>
      </w:r>
      <w:r>
        <w:rPr>
          <w:snapToGrid w:val="0"/>
        </w:rPr>
        <w:tab/>
        <w:t>Insurance for regulated contracts</w:t>
      </w:r>
      <w:r>
        <w:tab/>
      </w:r>
      <w:r>
        <w:fldChar w:fldCharType="begin"/>
      </w:r>
      <w:r>
        <w:instrText xml:space="preserve"> PAGEREF _Toc392496607 \h </w:instrText>
      </w:r>
      <w:r>
        <w:fldChar w:fldCharType="separate"/>
      </w:r>
      <w:r>
        <w:t>144</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Insurance for regulated mortgages</w:t>
      </w:r>
      <w:r>
        <w:tab/>
      </w:r>
      <w:r>
        <w:fldChar w:fldCharType="begin"/>
      </w:r>
      <w:r>
        <w:instrText xml:space="preserve"> PAGEREF _Toc392496608 \h </w:instrText>
      </w:r>
      <w:r>
        <w:fldChar w:fldCharType="separate"/>
      </w:r>
      <w:r>
        <w:t>145</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Unrequired insurance, provisions as to maintenance of in contracts etc.</w:t>
      </w:r>
      <w:r>
        <w:tab/>
      </w:r>
      <w:r>
        <w:fldChar w:fldCharType="begin"/>
      </w:r>
      <w:r>
        <w:instrText xml:space="preserve"> PAGEREF _Toc392496609 \h </w:instrText>
      </w:r>
      <w:r>
        <w:fldChar w:fldCharType="separate"/>
      </w:r>
      <w:r>
        <w:t>146</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Contracts of insurance, content of etc.</w:t>
      </w:r>
      <w:r>
        <w:tab/>
      </w:r>
      <w:r>
        <w:fldChar w:fldCharType="begin"/>
      </w:r>
      <w:r>
        <w:instrText xml:space="preserve"> PAGEREF _Toc392496610 \h </w:instrText>
      </w:r>
      <w:r>
        <w:fldChar w:fldCharType="separate"/>
      </w:r>
      <w:r>
        <w:t>147</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Premiums to be paid to insurer</w:t>
      </w:r>
      <w:r>
        <w:tab/>
      </w:r>
      <w:r>
        <w:fldChar w:fldCharType="begin"/>
      </w:r>
      <w:r>
        <w:instrText xml:space="preserve"> PAGEREF _Toc392496611 \h </w:instrText>
      </w:r>
      <w:r>
        <w:fldChar w:fldCharType="separate"/>
      </w:r>
      <w:r>
        <w:t>148</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Rejection of insurance proposals, insurers’ duties on</w:t>
      </w:r>
      <w:r>
        <w:tab/>
      </w:r>
      <w:r>
        <w:fldChar w:fldCharType="begin"/>
      </w:r>
      <w:r>
        <w:instrText xml:space="preserve"> PAGEREF _Toc392496612 \h </w:instrText>
      </w:r>
      <w:r>
        <w:fldChar w:fldCharType="separate"/>
      </w:r>
      <w:r>
        <w:t>149</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No</w:t>
      </w:r>
      <w:r>
        <w:rPr>
          <w:snapToGrid w:val="0"/>
        </w:rPr>
        <w:noBreakHyphen/>
        <w:t>claim bonus, debtor etc. entitled to</w:t>
      </w:r>
      <w:r>
        <w:tab/>
      </w:r>
      <w:r>
        <w:fldChar w:fldCharType="begin"/>
      </w:r>
      <w:r>
        <w:instrText xml:space="preserve"> PAGEREF _Toc392496613 \h </w:instrText>
      </w:r>
      <w:r>
        <w:fldChar w:fldCharType="separate"/>
      </w:r>
      <w:r>
        <w:t>150</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Insurance contracts not void etc. in some cases</w:t>
      </w:r>
      <w:r>
        <w:tab/>
      </w:r>
      <w:r>
        <w:fldChar w:fldCharType="begin"/>
      </w:r>
      <w:r>
        <w:instrText xml:space="preserve"> PAGEREF _Toc392496614 \h </w:instrText>
      </w:r>
      <w:r>
        <w:fldChar w:fldCharType="separate"/>
      </w:r>
      <w:r>
        <w:t>150</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Exclusion clauses, effect of in some cases</w:t>
      </w:r>
      <w:r>
        <w:tab/>
      </w:r>
      <w:r>
        <w:fldChar w:fldCharType="begin"/>
      </w:r>
      <w:r>
        <w:instrText xml:space="preserve"> PAGEREF _Toc392496615 \h </w:instrText>
      </w:r>
      <w:r>
        <w:fldChar w:fldCharType="separate"/>
      </w:r>
      <w:r>
        <w:t>151</w:t>
      </w:r>
      <w:r>
        <w:fldChar w:fldCharType="end"/>
      </w:r>
    </w:p>
    <w:p>
      <w:pPr>
        <w:pStyle w:val="TOC2"/>
        <w:tabs>
          <w:tab w:val="right" w:leader="dot" w:pos="7076"/>
        </w:tabs>
        <w:rPr>
          <w:rFonts w:asciiTheme="minorHAnsi" w:eastAsiaTheme="minorEastAsia" w:hAnsiTheme="minorHAnsi" w:cstheme="minorBidi"/>
          <w:b w:val="0"/>
          <w:sz w:val="22"/>
          <w:szCs w:val="22"/>
        </w:rPr>
      </w:pPr>
      <w:r>
        <w:t>Part VIII — Contracts of guarantee</w:t>
      </w:r>
    </w:p>
    <w:p>
      <w:pPr>
        <w:pStyle w:val="TOC8"/>
        <w:rPr>
          <w:rFonts w:asciiTheme="minorHAnsi" w:eastAsiaTheme="minorEastAsia" w:hAnsiTheme="minorHAnsi" w:cstheme="minorBidi"/>
          <w:szCs w:val="22"/>
        </w:rPr>
      </w:pPr>
      <w:r>
        <w:t>136</w:t>
      </w:r>
      <w:r>
        <w:rPr>
          <w:snapToGrid w:val="0"/>
        </w:rPr>
        <w:t>.</w:t>
      </w:r>
      <w:r>
        <w:rPr>
          <w:snapToGrid w:val="0"/>
        </w:rPr>
        <w:tab/>
        <w:t>Guarantees to be in writing etc.</w:t>
      </w:r>
      <w:r>
        <w:tab/>
      </w:r>
      <w:r>
        <w:fldChar w:fldCharType="begin"/>
      </w:r>
      <w:r>
        <w:instrText xml:space="preserve"> PAGEREF _Toc392496617 \h </w:instrText>
      </w:r>
      <w:r>
        <w:fldChar w:fldCharType="separate"/>
      </w:r>
      <w:r>
        <w:t>153</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Guarantor’s liability, extent of</w:t>
      </w:r>
      <w:r>
        <w:tab/>
      </w:r>
      <w:r>
        <w:fldChar w:fldCharType="begin"/>
      </w:r>
      <w:r>
        <w:instrText xml:space="preserve"> PAGEREF _Toc392496618 \h </w:instrText>
      </w:r>
      <w:r>
        <w:fldChar w:fldCharType="separate"/>
      </w:r>
      <w:r>
        <w:t>153</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Proceedings against guarantor</w:t>
      </w:r>
      <w:r>
        <w:tab/>
      </w:r>
      <w:r>
        <w:fldChar w:fldCharType="begin"/>
      </w:r>
      <w:r>
        <w:instrText xml:space="preserve"> PAGEREF _Toc392496619 \h </w:instrText>
      </w:r>
      <w:r>
        <w:fldChar w:fldCharType="separate"/>
      </w:r>
      <w:r>
        <w:t>153</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Varying guarantees as to regulated contracts due to illness etc. of guarantor</w:t>
      </w:r>
      <w:r>
        <w:tab/>
      </w:r>
      <w:r>
        <w:fldChar w:fldCharType="begin"/>
      </w:r>
      <w:r>
        <w:instrText xml:space="preserve"> PAGEREF _Toc392496620 \h </w:instrText>
      </w:r>
      <w:r>
        <w:fldChar w:fldCharType="separate"/>
      </w:r>
      <w:r>
        <w:t>154</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Minors, guarantee for</w:t>
      </w:r>
      <w:r>
        <w:tab/>
      </w:r>
      <w:r>
        <w:fldChar w:fldCharType="begin"/>
      </w:r>
      <w:r>
        <w:instrText xml:space="preserve"> PAGEREF _Toc392496621 \h </w:instrText>
      </w:r>
      <w:r>
        <w:fldChar w:fldCharType="separate"/>
      </w:r>
      <w:r>
        <w:t>156</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Credit provider to give guarantor copy of guarantee</w:t>
      </w:r>
      <w:r>
        <w:tab/>
      </w:r>
      <w:r>
        <w:fldChar w:fldCharType="begin"/>
      </w:r>
      <w:r>
        <w:instrText xml:space="preserve"> PAGEREF _Toc392496622 \h </w:instrText>
      </w:r>
      <w:r>
        <w:fldChar w:fldCharType="separate"/>
      </w:r>
      <w:r>
        <w:t>156</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Credit provider to give guarantor prescribed statement</w:t>
      </w:r>
      <w:r>
        <w:tab/>
      </w:r>
      <w:r>
        <w:fldChar w:fldCharType="begin"/>
      </w:r>
      <w:r>
        <w:instrText xml:space="preserve"> PAGEREF _Toc392496623 \h </w:instrText>
      </w:r>
      <w:r>
        <w:fldChar w:fldCharType="separate"/>
      </w:r>
      <w:r>
        <w:t>156</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Discharge of guarantee by guarantor</w:t>
      </w:r>
      <w:r>
        <w:tab/>
      </w:r>
      <w:r>
        <w:fldChar w:fldCharType="begin"/>
      </w:r>
      <w:r>
        <w:instrText xml:space="preserve"> PAGEREF _Toc392496624 \h </w:instrText>
      </w:r>
      <w:r>
        <w:fldChar w:fldCharType="separate"/>
      </w:r>
      <w:r>
        <w:t>157</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Revocation of offer to guarantee, provisions in agreements as to</w:t>
      </w:r>
      <w:r>
        <w:tab/>
      </w:r>
      <w:r>
        <w:fldChar w:fldCharType="begin"/>
      </w:r>
      <w:r>
        <w:instrText xml:space="preserve"> PAGEREF _Toc392496625 \h </w:instrText>
      </w:r>
      <w:r>
        <w:fldChar w:fldCharType="separate"/>
      </w:r>
      <w:r>
        <w:t>157</w:t>
      </w:r>
      <w:r>
        <w:fldChar w:fldCharType="end"/>
      </w:r>
    </w:p>
    <w:p>
      <w:pPr>
        <w:pStyle w:val="TOC2"/>
        <w:tabs>
          <w:tab w:val="right" w:leader="dot" w:pos="7076"/>
        </w:tabs>
        <w:rPr>
          <w:rFonts w:asciiTheme="minorHAnsi" w:eastAsiaTheme="minorEastAsia" w:hAnsiTheme="minorHAnsi" w:cstheme="minorBidi"/>
          <w:b w:val="0"/>
          <w:sz w:val="22"/>
          <w:szCs w:val="22"/>
        </w:rPr>
      </w:pPr>
      <w:r>
        <w:t>Part IX — Re</w:t>
      </w:r>
      <w:r>
        <w:noBreakHyphen/>
        <w:t>opening of contracts</w:t>
      </w:r>
    </w:p>
    <w:p>
      <w:pPr>
        <w:pStyle w:val="TOC8"/>
        <w:rPr>
          <w:rFonts w:asciiTheme="minorHAnsi" w:eastAsiaTheme="minorEastAsia" w:hAnsiTheme="minorHAnsi" w:cstheme="minorBidi"/>
          <w:szCs w:val="22"/>
        </w:rPr>
      </w:pPr>
      <w:r>
        <w:t>145</w:t>
      </w:r>
      <w:r>
        <w:rPr>
          <w:snapToGrid w:val="0"/>
        </w:rPr>
        <w:t>.</w:t>
      </w:r>
      <w:r>
        <w:rPr>
          <w:snapToGrid w:val="0"/>
        </w:rPr>
        <w:tab/>
        <w:t>Unjust contracts and mortgages, meaning of</w:t>
      </w:r>
      <w:r>
        <w:tab/>
      </w:r>
      <w:r>
        <w:fldChar w:fldCharType="begin"/>
      </w:r>
      <w:r>
        <w:instrText xml:space="preserve"> PAGEREF _Toc392496627 \h </w:instrText>
      </w:r>
      <w:r>
        <w:fldChar w:fldCharType="separate"/>
      </w:r>
      <w:r>
        <w:t>158</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Tribunal may re</w:t>
      </w:r>
      <w:r>
        <w:rPr>
          <w:snapToGrid w:val="0"/>
        </w:rPr>
        <w:noBreakHyphen/>
        <w:t>open transactions for unjust contracts etc.</w:t>
      </w:r>
      <w:r>
        <w:tab/>
      </w:r>
      <w:r>
        <w:fldChar w:fldCharType="begin"/>
      </w:r>
      <w:r>
        <w:instrText xml:space="preserve"> PAGEREF _Toc392496628 \h </w:instrText>
      </w:r>
      <w:r>
        <w:fldChar w:fldCharType="separate"/>
      </w:r>
      <w:r>
        <w:t>158</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Determining if contract etc. is unjust, matters to be considered by Tribunal</w:t>
      </w:r>
      <w:r>
        <w:tab/>
      </w:r>
      <w:r>
        <w:fldChar w:fldCharType="begin"/>
      </w:r>
      <w:r>
        <w:instrText xml:space="preserve"> PAGEREF _Toc392496629 \h </w:instrText>
      </w:r>
      <w:r>
        <w:fldChar w:fldCharType="separate"/>
      </w:r>
      <w:r>
        <w:t>159</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Joinder of parties</w:t>
      </w:r>
      <w:r>
        <w:tab/>
      </w:r>
      <w:r>
        <w:fldChar w:fldCharType="begin"/>
      </w:r>
      <w:r>
        <w:instrText xml:space="preserve"> PAGEREF _Toc392496630 \h </w:instrText>
      </w:r>
      <w:r>
        <w:fldChar w:fldCharType="separate"/>
      </w:r>
      <w:r>
        <w:t>161</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Limitation on re</w:t>
      </w:r>
      <w:r>
        <w:rPr>
          <w:snapToGrid w:val="0"/>
        </w:rPr>
        <w:noBreakHyphen/>
        <w:t>opening transactions</w:t>
      </w:r>
      <w:r>
        <w:tab/>
      </w:r>
      <w:r>
        <w:fldChar w:fldCharType="begin"/>
      </w:r>
      <w:r>
        <w:instrText xml:space="preserve"> PAGEREF _Toc392496631 \h </w:instrText>
      </w:r>
      <w:r>
        <w:fldChar w:fldCharType="separate"/>
      </w:r>
      <w:r>
        <w:t>162</w:t>
      </w:r>
      <w:r>
        <w:fldChar w:fldCharType="end"/>
      </w:r>
    </w:p>
    <w:p>
      <w:pPr>
        <w:pStyle w:val="TOC2"/>
        <w:tabs>
          <w:tab w:val="right" w:leader="dot" w:pos="7076"/>
        </w:tabs>
        <w:rPr>
          <w:rFonts w:asciiTheme="minorHAnsi" w:eastAsiaTheme="minorEastAsia" w:hAnsiTheme="minorHAnsi" w:cstheme="minorBidi"/>
          <w:b w:val="0"/>
          <w:sz w:val="22"/>
          <w:szCs w:val="22"/>
        </w:rPr>
      </w:pPr>
      <w:r>
        <w:t>Part X — General</w:t>
      </w:r>
    </w:p>
    <w:p>
      <w:pPr>
        <w:pStyle w:val="TOC8"/>
        <w:rPr>
          <w:rFonts w:asciiTheme="minorHAnsi" w:eastAsiaTheme="minorEastAsia" w:hAnsiTheme="minorHAnsi" w:cstheme="minorBidi"/>
          <w:szCs w:val="22"/>
        </w:rPr>
      </w:pPr>
      <w:r>
        <w:t>150</w:t>
      </w:r>
      <w:r>
        <w:rPr>
          <w:snapToGrid w:val="0"/>
        </w:rPr>
        <w:t>.</w:t>
      </w:r>
      <w:r>
        <w:rPr>
          <w:snapToGrid w:val="0"/>
        </w:rPr>
        <w:tab/>
        <w:t>Assigning interests under wills etc. to credit providers</w:t>
      </w:r>
      <w:r>
        <w:tab/>
      </w:r>
      <w:r>
        <w:fldChar w:fldCharType="begin"/>
      </w:r>
      <w:r>
        <w:instrText xml:space="preserve"> PAGEREF _Toc392496633 \h </w:instrText>
      </w:r>
      <w:r>
        <w:fldChar w:fldCharType="separate"/>
      </w:r>
      <w:r>
        <w:t>163</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Legibility of documents</w:t>
      </w:r>
      <w:r>
        <w:tab/>
      </w:r>
      <w:r>
        <w:fldChar w:fldCharType="begin"/>
      </w:r>
      <w:r>
        <w:instrText xml:space="preserve"> PAGEREF _Toc392496634 \h </w:instrText>
      </w:r>
      <w:r>
        <w:fldChar w:fldCharType="separate"/>
      </w:r>
      <w:r>
        <w:t>164</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Tribunal may prohibit use of illegible etc. documents</w:t>
      </w:r>
      <w:r>
        <w:tab/>
      </w:r>
      <w:r>
        <w:fldChar w:fldCharType="begin"/>
      </w:r>
      <w:r>
        <w:instrText xml:space="preserve"> PAGEREF _Toc392496635 \h </w:instrText>
      </w:r>
      <w:r>
        <w:fldChar w:fldCharType="separate"/>
      </w:r>
      <w:r>
        <w:t>164</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Tribunal may determine document is readily legible etc.</w:t>
      </w:r>
      <w:r>
        <w:tab/>
      </w:r>
      <w:r>
        <w:fldChar w:fldCharType="begin"/>
      </w:r>
      <w:r>
        <w:instrText xml:space="preserve"> PAGEREF _Toc392496636 \h </w:instrText>
      </w:r>
      <w:r>
        <w:fldChar w:fldCharType="separate"/>
      </w:r>
      <w:r>
        <w:t>165</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Illegible etc. documents, use of</w:t>
      </w:r>
      <w:r>
        <w:tab/>
      </w:r>
      <w:r>
        <w:fldChar w:fldCharType="begin"/>
      </w:r>
      <w:r>
        <w:instrText xml:space="preserve"> PAGEREF _Toc392496637 \h </w:instrText>
      </w:r>
      <w:r>
        <w:fldChar w:fldCharType="separate"/>
      </w:r>
      <w:r>
        <w:t>165</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Separation of documents</w:t>
      </w:r>
      <w:r>
        <w:tab/>
      </w:r>
      <w:r>
        <w:fldChar w:fldCharType="begin"/>
      </w:r>
      <w:r>
        <w:instrText xml:space="preserve"> PAGEREF _Toc392496638 \h </w:instrText>
      </w:r>
      <w:r>
        <w:fldChar w:fldCharType="separate"/>
      </w:r>
      <w:r>
        <w:t>165</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Signatures on documents by agents</w:t>
      </w:r>
      <w:r>
        <w:tab/>
      </w:r>
      <w:r>
        <w:fldChar w:fldCharType="begin"/>
      </w:r>
      <w:r>
        <w:instrText xml:space="preserve"> PAGEREF _Toc392496639 \h </w:instrText>
      </w:r>
      <w:r>
        <w:fldChar w:fldCharType="separate"/>
      </w:r>
      <w:r>
        <w:t>166</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Contracting</w:t>
      </w:r>
      <w:r>
        <w:rPr>
          <w:snapToGrid w:val="0"/>
        </w:rPr>
        <w:noBreakHyphen/>
        <w:t>out of Act prohibited</w:t>
      </w:r>
      <w:r>
        <w:tab/>
      </w:r>
      <w:r>
        <w:fldChar w:fldCharType="begin"/>
      </w:r>
      <w:r>
        <w:instrText xml:space="preserve"> PAGEREF _Toc392496640 \h </w:instrText>
      </w:r>
      <w:r>
        <w:fldChar w:fldCharType="separate"/>
      </w:r>
      <w:r>
        <w:t>166</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General penalty</w:t>
      </w:r>
      <w:r>
        <w:tab/>
      </w:r>
      <w:r>
        <w:fldChar w:fldCharType="begin"/>
      </w:r>
      <w:r>
        <w:instrText xml:space="preserve"> PAGEREF _Toc392496641 \h </w:instrText>
      </w:r>
      <w:r>
        <w:fldChar w:fldCharType="separate"/>
      </w:r>
      <w:r>
        <w:t>166</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Offences, time limit for prosecuting</w:t>
      </w:r>
      <w:r>
        <w:tab/>
      </w:r>
      <w:r>
        <w:fldChar w:fldCharType="begin"/>
      </w:r>
      <w:r>
        <w:instrText xml:space="preserve"> PAGEREF _Toc392496642 \h </w:instrText>
      </w:r>
      <w:r>
        <w:fldChar w:fldCharType="separate"/>
      </w:r>
      <w:r>
        <w:t>166</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Directors etc. of corporations, liability of</w:t>
      </w:r>
      <w:r>
        <w:tab/>
      </w:r>
      <w:r>
        <w:fldChar w:fldCharType="begin"/>
      </w:r>
      <w:r>
        <w:instrText xml:space="preserve"> PAGEREF _Toc392496643 \h </w:instrText>
      </w:r>
      <w:r>
        <w:fldChar w:fldCharType="separate"/>
      </w:r>
      <w:r>
        <w:t>167</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Rights etc. under other laws saved</w:t>
      </w:r>
      <w:r>
        <w:tab/>
      </w:r>
      <w:r>
        <w:fldChar w:fldCharType="begin"/>
      </w:r>
      <w:r>
        <w:instrText xml:space="preserve"> PAGEREF _Toc392496644 \h </w:instrText>
      </w:r>
      <w:r>
        <w:fldChar w:fldCharType="separate"/>
      </w:r>
      <w:r>
        <w:t>167</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Time, computing</w:t>
      </w:r>
      <w:r>
        <w:tab/>
      </w:r>
      <w:r>
        <w:fldChar w:fldCharType="begin"/>
      </w:r>
      <w:r>
        <w:instrText xml:space="preserve"> PAGEREF _Toc392496645 \h </w:instrText>
      </w:r>
      <w:r>
        <w:fldChar w:fldCharType="separate"/>
      </w:r>
      <w:r>
        <w:t>167</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Court’s powers to extend time, exercise of</w:t>
      </w:r>
      <w:r>
        <w:tab/>
      </w:r>
      <w:r>
        <w:fldChar w:fldCharType="begin"/>
      </w:r>
      <w:r>
        <w:instrText xml:space="preserve"> PAGEREF _Toc392496646 \h </w:instrText>
      </w:r>
      <w:r>
        <w:fldChar w:fldCharType="separate"/>
      </w:r>
      <w:r>
        <w:t>167</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Service of documents</w:t>
      </w:r>
      <w:r>
        <w:tab/>
      </w:r>
      <w:r>
        <w:fldChar w:fldCharType="begin"/>
      </w:r>
      <w:r>
        <w:instrText xml:space="preserve"> PAGEREF _Toc392496647 \h </w:instrText>
      </w:r>
      <w:r>
        <w:fldChar w:fldCharType="separate"/>
      </w:r>
      <w:r>
        <w:t>167</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Service by post</w:t>
      </w:r>
      <w:r>
        <w:tab/>
      </w:r>
      <w:r>
        <w:fldChar w:fldCharType="begin"/>
      </w:r>
      <w:r>
        <w:instrText xml:space="preserve"> PAGEREF _Toc392496648 \h </w:instrText>
      </w:r>
      <w:r>
        <w:fldChar w:fldCharType="separate"/>
      </w:r>
      <w:r>
        <w:t>168</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Regulations</w:t>
      </w:r>
      <w:r>
        <w:tab/>
      </w:r>
      <w:r>
        <w:fldChar w:fldCharType="begin"/>
      </w:r>
      <w:r>
        <w:instrText xml:space="preserve"> PAGEREF _Toc392496649 \h </w:instrText>
      </w:r>
      <w:r>
        <w:fldChar w:fldCharType="separate"/>
      </w:r>
      <w:r>
        <w:t>169</w:t>
      </w:r>
      <w:r>
        <w:fldChar w:fldCharType="end"/>
      </w:r>
    </w:p>
    <w:p>
      <w:pPr>
        <w:pStyle w:val="TOC2"/>
        <w:tabs>
          <w:tab w:val="right" w:leader="dot" w:pos="7076"/>
        </w:tabs>
        <w:rPr>
          <w:rFonts w:asciiTheme="minorHAnsi" w:eastAsiaTheme="minorEastAsia" w:hAnsiTheme="minorHAnsi" w:cstheme="minorBidi"/>
          <w:b w:val="0"/>
          <w:sz w:val="22"/>
          <w:szCs w:val="22"/>
        </w:rPr>
      </w:pPr>
      <w:r>
        <w:t>Part XA — Transitional</w:t>
      </w:r>
    </w:p>
    <w:p>
      <w:pPr>
        <w:pStyle w:val="TOC8"/>
        <w:rPr>
          <w:rFonts w:asciiTheme="minorHAnsi" w:eastAsiaTheme="minorEastAsia" w:hAnsiTheme="minorHAnsi" w:cstheme="minorBidi"/>
          <w:szCs w:val="22"/>
        </w:rPr>
      </w:pPr>
      <w:r>
        <w:t>167A</w:t>
      </w:r>
      <w:r>
        <w:rPr>
          <w:snapToGrid w:val="0"/>
        </w:rPr>
        <w:t xml:space="preserve">. </w:t>
      </w:r>
      <w:r>
        <w:rPr>
          <w:snapToGrid w:val="0"/>
        </w:rPr>
        <w:tab/>
        <w:t>Non</w:t>
      </w:r>
      <w:r>
        <w:rPr>
          <w:snapToGrid w:val="0"/>
        </w:rPr>
        <w:noBreakHyphen/>
        <w:t>disclosures etc. before 11 Jan 1993 about insurance commission charges, effect of</w:t>
      </w:r>
      <w:r>
        <w:tab/>
      </w:r>
      <w:r>
        <w:fldChar w:fldCharType="begin"/>
      </w:r>
      <w:r>
        <w:instrText xml:space="preserve"> PAGEREF _Toc392496651 \h </w:instrText>
      </w:r>
      <w:r>
        <w:fldChar w:fldCharType="separate"/>
      </w:r>
      <w:r>
        <w:t>171</w:t>
      </w:r>
      <w:r>
        <w:fldChar w:fldCharType="end"/>
      </w:r>
    </w:p>
    <w:p>
      <w:pPr>
        <w:pStyle w:val="TOC8"/>
        <w:rPr>
          <w:rFonts w:asciiTheme="minorHAnsi" w:eastAsiaTheme="minorEastAsia" w:hAnsiTheme="minorHAnsi" w:cstheme="minorBidi"/>
          <w:szCs w:val="22"/>
        </w:rPr>
      </w:pPr>
      <w:r>
        <w:t>167B</w:t>
      </w:r>
      <w:r>
        <w:rPr>
          <w:snapToGrid w:val="0"/>
        </w:rPr>
        <w:t xml:space="preserve">. </w:t>
      </w:r>
      <w:r>
        <w:rPr>
          <w:snapToGrid w:val="0"/>
        </w:rPr>
        <w:tab/>
        <w:t>Amendments in 1992 as to description of consumer credit insurance, operation of</w:t>
      </w:r>
      <w:r>
        <w:tab/>
      </w:r>
      <w:r>
        <w:fldChar w:fldCharType="begin"/>
      </w:r>
      <w:r>
        <w:instrText xml:space="preserve"> PAGEREF _Toc392496652 \h </w:instrText>
      </w:r>
      <w:r>
        <w:fldChar w:fldCharType="separate"/>
      </w:r>
      <w:r>
        <w:t>172</w:t>
      </w:r>
      <w:r>
        <w:fldChar w:fldCharType="end"/>
      </w:r>
    </w:p>
    <w:p>
      <w:pPr>
        <w:pStyle w:val="TOC2"/>
        <w:tabs>
          <w:tab w:val="right" w:leader="dot" w:pos="7076"/>
        </w:tabs>
        <w:rPr>
          <w:rFonts w:asciiTheme="minorHAnsi" w:eastAsiaTheme="minorEastAsia" w:hAnsiTheme="minorHAnsi" w:cstheme="minorBidi"/>
          <w:b w:val="0"/>
          <w:sz w:val="22"/>
          <w:szCs w:val="22"/>
        </w:rPr>
      </w:pPr>
      <w:r>
        <w:t>Part XI — Miscellaneous</w:t>
      </w:r>
    </w:p>
    <w:p>
      <w:pPr>
        <w:pStyle w:val="TOC8"/>
        <w:rPr>
          <w:rFonts w:asciiTheme="minorHAnsi" w:eastAsiaTheme="minorEastAsia" w:hAnsiTheme="minorHAnsi" w:cstheme="minorBidi"/>
          <w:szCs w:val="22"/>
        </w:rPr>
      </w:pPr>
      <w:r>
        <w:t>168</w:t>
      </w:r>
      <w:r>
        <w:rPr>
          <w:snapToGrid w:val="0"/>
        </w:rPr>
        <w:t>.</w:t>
      </w:r>
      <w:r>
        <w:rPr>
          <w:snapToGrid w:val="0"/>
        </w:rPr>
        <w:tab/>
        <w:t>Notices required by mortgagee under other Acts</w:t>
      </w:r>
      <w:r>
        <w:tab/>
      </w:r>
      <w:r>
        <w:fldChar w:fldCharType="begin"/>
      </w:r>
      <w:r>
        <w:instrText xml:space="preserve"> PAGEREF _Toc392496654 \h </w:instrText>
      </w:r>
      <w:r>
        <w:fldChar w:fldCharType="separate"/>
      </w:r>
      <w:r>
        <w:t>174</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Land sales, application of Part II to etc.</w:t>
      </w:r>
      <w:r>
        <w:tab/>
      </w:r>
      <w:r>
        <w:fldChar w:fldCharType="begin"/>
      </w:r>
      <w:r>
        <w:instrText xml:space="preserve"> PAGEREF _Toc392496655 \h </w:instrText>
      </w:r>
      <w:r>
        <w:fldChar w:fldCharType="separate"/>
      </w:r>
      <w:r>
        <w:t>174</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Commissioner may fix maximum annual percentage rates</w:t>
      </w:r>
      <w:r>
        <w:tab/>
      </w:r>
      <w:r>
        <w:fldChar w:fldCharType="begin"/>
      </w:r>
      <w:r>
        <w:instrText xml:space="preserve"> PAGEREF _Toc392496656 \h </w:instrText>
      </w:r>
      <w:r>
        <w:fldChar w:fldCharType="separate"/>
      </w:r>
      <w:r>
        <w:t>175</w:t>
      </w:r>
      <w:r>
        <w:fldChar w:fldCharType="end"/>
      </w:r>
    </w:p>
    <w:p>
      <w:pPr>
        <w:pStyle w:val="TOC2"/>
        <w:tabs>
          <w:tab w:val="right" w:leader="dot" w:pos="7076"/>
        </w:tabs>
        <w:rPr>
          <w:rFonts w:asciiTheme="minorHAnsi" w:eastAsiaTheme="minorEastAsia" w:hAnsiTheme="minorHAnsi" w:cstheme="minorBidi"/>
          <w:b w:val="0"/>
          <w:sz w:val="22"/>
          <w:szCs w:val="22"/>
        </w:rPr>
      </w:pPr>
      <w:r>
        <w:t>Schedule 1 — Accrued credit charge</w:t>
      </w:r>
    </w:p>
    <w:p>
      <w:pPr>
        <w:pStyle w:val="TOC2"/>
        <w:tabs>
          <w:tab w:val="right" w:leader="dot" w:pos="7076"/>
        </w:tabs>
        <w:rPr>
          <w:rFonts w:asciiTheme="minorHAnsi" w:eastAsiaTheme="minorEastAsia" w:hAnsiTheme="minorHAnsi" w:cstheme="minorBidi"/>
          <w:b w:val="0"/>
          <w:sz w:val="22"/>
          <w:szCs w:val="22"/>
        </w:rPr>
      </w:pPr>
      <w:r>
        <w:t>Schedule 2 — Statement of amount financed in relation to credit sale contract</w:t>
      </w:r>
    </w:p>
    <w:p>
      <w:pPr>
        <w:pStyle w:val="TOC2"/>
        <w:tabs>
          <w:tab w:val="right" w:leader="dot" w:pos="7076"/>
        </w:tabs>
        <w:rPr>
          <w:rFonts w:asciiTheme="minorHAnsi" w:eastAsiaTheme="minorEastAsia" w:hAnsiTheme="minorHAnsi" w:cstheme="minorBidi"/>
          <w:b w:val="0"/>
          <w:sz w:val="22"/>
          <w:szCs w:val="22"/>
        </w:rPr>
      </w:pPr>
      <w:r>
        <w:t>Schedule 3 — Statement of credit charge in relation to credit sale contract</w:t>
      </w:r>
    </w:p>
    <w:p>
      <w:pPr>
        <w:pStyle w:val="TOC2"/>
        <w:tabs>
          <w:tab w:val="right" w:leader="dot" w:pos="7076"/>
        </w:tabs>
        <w:rPr>
          <w:rFonts w:asciiTheme="minorHAnsi" w:eastAsiaTheme="minorEastAsia" w:hAnsiTheme="minorHAnsi" w:cstheme="minorBidi"/>
          <w:b w:val="0"/>
          <w:sz w:val="22"/>
          <w:szCs w:val="22"/>
        </w:rPr>
      </w:pPr>
      <w:r>
        <w:t>Schedule 4 — Statement of amount financed in relation to loan contract</w:t>
      </w:r>
    </w:p>
    <w:p>
      <w:pPr>
        <w:pStyle w:val="TOC2"/>
        <w:tabs>
          <w:tab w:val="right" w:leader="dot" w:pos="7076"/>
        </w:tabs>
        <w:rPr>
          <w:rFonts w:asciiTheme="minorHAnsi" w:eastAsiaTheme="minorEastAsia" w:hAnsiTheme="minorHAnsi" w:cstheme="minorBidi"/>
          <w:b w:val="0"/>
          <w:sz w:val="22"/>
          <w:szCs w:val="22"/>
        </w:rPr>
      </w:pPr>
      <w:r>
        <w:t>Schedule 5 — Statement of credit charge in relation to loan contract</w:t>
      </w:r>
    </w:p>
    <w:p>
      <w:pPr>
        <w:pStyle w:val="TOC2"/>
        <w:tabs>
          <w:tab w:val="right" w:leader="dot" w:pos="7076"/>
        </w:tabs>
        <w:rPr>
          <w:rFonts w:asciiTheme="minorHAnsi" w:eastAsiaTheme="minorEastAsia" w:hAnsiTheme="minorHAnsi" w:cstheme="minorBidi"/>
          <w:b w:val="0"/>
          <w:sz w:val="22"/>
          <w:szCs w:val="22"/>
        </w:rPr>
      </w:pPr>
      <w:r>
        <w:t>Schedule 6 — Annual percentage rate</w:t>
      </w:r>
    </w:p>
    <w:p>
      <w:pPr>
        <w:pStyle w:val="TOC2"/>
        <w:tabs>
          <w:tab w:val="right" w:leader="dot" w:pos="7076"/>
        </w:tabs>
        <w:rPr>
          <w:rFonts w:asciiTheme="minorHAnsi" w:eastAsiaTheme="minorEastAsia" w:hAnsiTheme="minorHAnsi" w:cstheme="minorBidi"/>
          <w:b w:val="0"/>
          <w:sz w:val="22"/>
          <w:szCs w:val="22"/>
        </w:rPr>
      </w:pPr>
      <w:r>
        <w:t>Schedule 7 — Statement of account in relation to continuing credit contract</w:t>
      </w:r>
    </w:p>
    <w:p>
      <w:pPr>
        <w:pStyle w:val="TOC2"/>
        <w:tabs>
          <w:tab w:val="right" w:leader="dot" w:pos="707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_Toc392496665 \h </w:instrText>
      </w:r>
      <w:r>
        <w:fldChar w:fldCharType="separate"/>
      </w:r>
      <w:r>
        <w:t>194</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_Toc392496666 \h </w:instrText>
      </w:r>
      <w:r>
        <w:fldChar w:fldCharType="separate"/>
      </w:r>
      <w:r>
        <w:t>196</w:t>
      </w:r>
      <w:r>
        <w:fldChar w:fldCharType="end"/>
      </w:r>
    </w:p>
    <w:p>
      <w:pPr>
        <w:pStyle w:val="TOC2"/>
        <w:tabs>
          <w:tab w:val="right" w:leader="dot" w:pos="7076"/>
        </w:tabs>
        <w:rPr>
          <w:rFonts w:asciiTheme="minorHAnsi" w:eastAsiaTheme="minorEastAsia" w:hAnsiTheme="minorHAnsi" w:cstheme="minorBidi"/>
          <w:b w:val="0"/>
          <w:sz w:val="22"/>
          <w:szCs w:val="22"/>
        </w:rPr>
      </w:pPr>
      <w:r>
        <w:t>Defined terms</w:t>
      </w:r>
    </w:p>
    <w:p>
      <w:pPr>
        <w:pStyle w:val="TOC2"/>
        <w:tabs>
          <w:tab w:val="right" w:leader="dot" w:pos="7076"/>
        </w:tabs>
      </w:pPr>
      <w:r>
        <w:fldChar w:fldCharType="end"/>
      </w:r>
    </w:p>
    <w:p>
      <w:pPr>
        <w:pStyle w:val="NoteHeading"/>
        <w:rPr>
          <w:sz w:val="22"/>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rPr>
          <w:sz w:val="22"/>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10" w:bottom="3544" w:left="2410" w:header="720"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080"/>
      </w:pPr>
      <w:r>
        <w:t xml:space="preserve">Credit Act 1984 </w:t>
      </w:r>
    </w:p>
    <w:p>
      <w:pPr>
        <w:pStyle w:val="LongTitle"/>
        <w:spacing w:before="720"/>
        <w:outlineLvl w:val="0"/>
        <w:rPr>
          <w:snapToGrid w:val="0"/>
        </w:rPr>
      </w:pPr>
      <w:r>
        <w:rPr>
          <w:snapToGrid w:val="0"/>
        </w:rPr>
        <w:t xml:space="preserve">An Act relating to the provision of credit. </w:t>
      </w:r>
    </w:p>
    <w:p>
      <w:pPr>
        <w:pStyle w:val="Heading2"/>
      </w:pPr>
      <w:bookmarkStart w:id="1" w:name="_Toc378152539"/>
      <w:bookmarkStart w:id="2" w:name="_Toc392496463"/>
      <w:r>
        <w:rPr>
          <w:rStyle w:val="CharPartNo"/>
        </w:rPr>
        <w:t>Part I</w:t>
      </w:r>
      <w:r>
        <w:rPr>
          <w:rStyle w:val="CharDivNo"/>
        </w:rPr>
        <w:t> </w:t>
      </w:r>
      <w:r>
        <w:t>—</w:t>
      </w:r>
      <w:r>
        <w:rPr>
          <w:rStyle w:val="CharDivText"/>
        </w:rPr>
        <w:t> </w:t>
      </w:r>
      <w:r>
        <w:rPr>
          <w:rStyle w:val="CharPartText"/>
        </w:rPr>
        <w:t>Preliminary</w:t>
      </w:r>
      <w:bookmarkEnd w:id="1"/>
      <w:bookmarkEnd w:id="2"/>
    </w:p>
    <w:p>
      <w:pPr>
        <w:pStyle w:val="Heading5"/>
        <w:rPr>
          <w:snapToGrid w:val="0"/>
        </w:rPr>
      </w:pPr>
      <w:bookmarkStart w:id="3" w:name="_Toc392496464"/>
      <w:r>
        <w:rPr>
          <w:rStyle w:val="CharSectno"/>
        </w:rPr>
        <w:t>1</w:t>
      </w:r>
      <w:r>
        <w:rPr>
          <w:snapToGrid w:val="0"/>
        </w:rPr>
        <w:t>.</w:t>
      </w:r>
      <w:r>
        <w:rPr>
          <w:snapToGrid w:val="0"/>
        </w:rPr>
        <w:tab/>
        <w:t>Short title</w:t>
      </w:r>
      <w:bookmarkEnd w:id="3"/>
    </w:p>
    <w:p>
      <w:pPr>
        <w:pStyle w:val="Subsection"/>
        <w:spacing w:before="120"/>
        <w:rPr>
          <w:snapToGrid w:val="0"/>
        </w:rPr>
      </w:pPr>
      <w:r>
        <w:rPr>
          <w:snapToGrid w:val="0"/>
        </w:rPr>
        <w:tab/>
      </w:r>
      <w:r>
        <w:rPr>
          <w:snapToGrid w:val="0"/>
        </w:rPr>
        <w:tab/>
        <w:t xml:space="preserve">This Act may be cited as the </w:t>
      </w:r>
      <w:r>
        <w:rPr>
          <w:i/>
          <w:snapToGrid w:val="0"/>
        </w:rPr>
        <w:t>Credit Act 1984</w:t>
      </w:r>
      <w:r>
        <w:rPr>
          <w:snapToGrid w:val="0"/>
        </w:rPr>
        <w:t xml:space="preserve"> </w:t>
      </w:r>
      <w:r>
        <w:rPr>
          <w:snapToGrid w:val="0"/>
          <w:vertAlign w:val="superscript"/>
        </w:rPr>
        <w:t>1</w:t>
      </w:r>
      <w:r>
        <w:rPr>
          <w:snapToGrid w:val="0"/>
        </w:rPr>
        <w:t>.</w:t>
      </w:r>
    </w:p>
    <w:p>
      <w:pPr>
        <w:pStyle w:val="Heading5"/>
        <w:rPr>
          <w:snapToGrid w:val="0"/>
        </w:rPr>
      </w:pPr>
      <w:bookmarkStart w:id="4" w:name="_Toc392496465"/>
      <w:r>
        <w:rPr>
          <w:rStyle w:val="CharSectno"/>
        </w:rPr>
        <w:t>2</w:t>
      </w:r>
      <w:r>
        <w:rPr>
          <w:snapToGrid w:val="0"/>
        </w:rPr>
        <w:t>.</w:t>
      </w:r>
      <w:r>
        <w:rPr>
          <w:snapToGrid w:val="0"/>
        </w:rPr>
        <w:tab/>
        <w:t>Commencement</w:t>
      </w:r>
      <w:bookmarkEnd w:id="4"/>
    </w:p>
    <w:p>
      <w:pPr>
        <w:pStyle w:val="Subsection"/>
        <w:spacing w:before="120"/>
        <w:rPr>
          <w:snapToGrid w:val="0"/>
        </w:rPr>
      </w:pPr>
      <w:r>
        <w:rPr>
          <w:snapToGrid w:val="0"/>
        </w:rPr>
        <w:tab/>
      </w:r>
      <w:r>
        <w:rPr>
          <w:snapToGrid w:val="0"/>
        </w:rPr>
        <w:tab/>
        <w:t>The provisions</w:t>
      </w:r>
      <w:bookmarkStart w:id="5" w:name="RuleErr_87"/>
      <w:r>
        <w:rPr>
          <w:snapToGrid w:val="0"/>
        </w:rPr>
        <w:t xml:space="preserve"> of this Act</w:t>
      </w:r>
      <w:bookmarkEnd w:id="5"/>
      <w:r>
        <w:rPr>
          <w:snapToGrid w:val="0"/>
        </w:rPr>
        <w:t xml:space="preserve"> shall come into operation on such day or days as is or are respectively fixed by proclamation </w:t>
      </w:r>
      <w:r>
        <w:rPr>
          <w:snapToGrid w:val="0"/>
          <w:vertAlign w:val="superscript"/>
        </w:rPr>
        <w:t>1</w:t>
      </w:r>
      <w:r>
        <w:rPr>
          <w:snapToGrid w:val="0"/>
        </w:rPr>
        <w:t>.</w:t>
      </w:r>
    </w:p>
    <w:p>
      <w:pPr>
        <w:pStyle w:val="Heading5"/>
        <w:rPr>
          <w:snapToGrid w:val="0"/>
        </w:rPr>
      </w:pPr>
      <w:bookmarkStart w:id="6" w:name="_Toc392496466"/>
      <w:r>
        <w:rPr>
          <w:rStyle w:val="CharSectno"/>
        </w:rPr>
        <w:t>3</w:t>
      </w:r>
      <w:r>
        <w:rPr>
          <w:snapToGrid w:val="0"/>
        </w:rPr>
        <w:t>.</w:t>
      </w:r>
      <w:r>
        <w:rPr>
          <w:snapToGrid w:val="0"/>
        </w:rPr>
        <w:tab/>
        <w:t>Application of Act and transitional provisions</w:t>
      </w:r>
      <w:bookmarkEnd w:id="6"/>
    </w:p>
    <w:p>
      <w:pPr>
        <w:pStyle w:val="Subsection"/>
        <w:spacing w:before="120"/>
        <w:rPr>
          <w:snapToGrid w:val="0"/>
        </w:rPr>
      </w:pPr>
      <w:r>
        <w:rPr>
          <w:snapToGrid w:val="0"/>
        </w:rPr>
        <w:tab/>
        <w:t>(1)</w:t>
      </w:r>
      <w:r>
        <w:rPr>
          <w:snapToGrid w:val="0"/>
        </w:rPr>
        <w:tab/>
        <w:t>Except as otherwise expressly provided in or under this Act, this Act applies (notwithstanding anything to the contrary in any other Act or law) to and in respect of a contract of sale, credit contract or mortgage — </w:t>
      </w:r>
    </w:p>
    <w:p>
      <w:pPr>
        <w:pStyle w:val="Indenta"/>
        <w:spacing w:before="60"/>
        <w:rPr>
          <w:snapToGrid w:val="0"/>
        </w:rPr>
      </w:pPr>
      <w:r>
        <w:rPr>
          <w:snapToGrid w:val="0"/>
        </w:rPr>
        <w:tab/>
        <w:t>(a)</w:t>
      </w:r>
      <w:r>
        <w:rPr>
          <w:snapToGrid w:val="0"/>
        </w:rPr>
        <w:tab/>
        <w:t>if the contract of sale, credit contract or mortgage is in writing and is signed in Western Australia by the buyer, debtor or mortgagor; or</w:t>
      </w:r>
    </w:p>
    <w:p>
      <w:pPr>
        <w:pStyle w:val="Indenta"/>
        <w:spacing w:before="60"/>
        <w:rPr>
          <w:snapToGrid w:val="0"/>
        </w:rPr>
      </w:pPr>
      <w:r>
        <w:rPr>
          <w:snapToGrid w:val="0"/>
        </w:rPr>
        <w:tab/>
        <w:t>(b)</w:t>
      </w:r>
      <w:r>
        <w:rPr>
          <w:snapToGrid w:val="0"/>
        </w:rPr>
        <w:tab/>
        <w:t xml:space="preserve">where the contract of sale, credit contract or mortgage is not in writing or is in writing but is not signed by the buyer, debtor or mortgagor in </w:t>
      </w:r>
      <w:smartTag w:uri="urn:schemas-microsoft-com:office:smarttags" w:element="place">
        <w:smartTag w:uri="urn:schemas-microsoft-com:office:smarttags" w:element="State">
          <w:r>
            <w:rPr>
              <w:snapToGrid w:val="0"/>
            </w:rPr>
            <w:t>Western Australia</w:t>
          </w:r>
        </w:smartTag>
      </w:smartTag>
      <w:r>
        <w:rPr>
          <w:snapToGrid w:val="0"/>
        </w:rPr>
        <w:t xml:space="preserve"> or in a recognised State — </w:t>
      </w:r>
    </w:p>
    <w:p>
      <w:pPr>
        <w:pStyle w:val="Indenti"/>
        <w:spacing w:before="60"/>
        <w:rPr>
          <w:snapToGrid w:val="0"/>
        </w:rPr>
      </w:pPr>
      <w:r>
        <w:rPr>
          <w:snapToGrid w:val="0"/>
        </w:rPr>
        <w:tab/>
        <w:t>(i)</w:t>
      </w:r>
      <w:r>
        <w:rPr>
          <w:snapToGrid w:val="0"/>
        </w:rPr>
        <w:tab/>
        <w:t>in the case of a contract of sale, if the goods or services are, or are to be, delivered or supplied in Western Australia; or</w:t>
      </w:r>
    </w:p>
    <w:p>
      <w:pPr>
        <w:pStyle w:val="Indenti"/>
        <w:spacing w:before="60"/>
        <w:rPr>
          <w:snapToGrid w:val="0"/>
        </w:rPr>
      </w:pPr>
      <w:r>
        <w:rPr>
          <w:snapToGrid w:val="0"/>
        </w:rPr>
        <w:tab/>
        <w:t>(ii)</w:t>
      </w:r>
      <w:r>
        <w:rPr>
          <w:snapToGrid w:val="0"/>
        </w:rPr>
        <w:tab/>
        <w:t>in the case of a credit contract if the credit is, or is to be, provided to the debtor in Western Australia or the debtor has, or is to have, the use or benefit of the credit in Western Australia; or</w:t>
      </w:r>
    </w:p>
    <w:p>
      <w:pPr>
        <w:pStyle w:val="Indenti"/>
        <w:spacing w:before="60"/>
        <w:rPr>
          <w:snapToGrid w:val="0"/>
        </w:rPr>
      </w:pPr>
      <w:r>
        <w:rPr>
          <w:snapToGrid w:val="0"/>
        </w:rPr>
        <w:tab/>
        <w:t>(iii)</w:t>
      </w:r>
      <w:r>
        <w:rPr>
          <w:snapToGrid w:val="0"/>
        </w:rPr>
        <w:tab/>
        <w:t xml:space="preserve">in the case of a mortgage, if property subject to the mortgage is at the date of creation of the mortgage situated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spacing w:before="120"/>
        <w:rPr>
          <w:snapToGrid w:val="0"/>
        </w:rPr>
      </w:pPr>
      <w:r>
        <w:rPr>
          <w:snapToGrid w:val="0"/>
        </w:rPr>
        <w:tab/>
        <w:t>(2)</w:t>
      </w:r>
      <w:r>
        <w:rPr>
          <w:snapToGrid w:val="0"/>
        </w:rPr>
        <w:tab/>
        <w:t>Subject to subsection (3), a provision</w:t>
      </w:r>
      <w:bookmarkStart w:id="7" w:name="RuleErr_88"/>
      <w:r>
        <w:rPr>
          <w:snapToGrid w:val="0"/>
        </w:rPr>
        <w:t xml:space="preserve"> of this Act</w:t>
      </w:r>
      <w:bookmarkEnd w:id="7"/>
      <w:r>
        <w:rPr>
          <w:snapToGrid w:val="0"/>
        </w:rPr>
        <w:t> that relates to a contract of sale, credit contract, mortgage or contract for the hiring of goods, does not apply to or in relation to a contract of sale, credit contract, mortgage or contract for the hiring of goods, as the case may be, made before the commencement of the provision.</w:t>
      </w:r>
    </w:p>
    <w:p>
      <w:pPr>
        <w:pStyle w:val="Subsection"/>
        <w:rPr>
          <w:snapToGrid w:val="0"/>
        </w:rPr>
      </w:pPr>
      <w:r>
        <w:rPr>
          <w:snapToGrid w:val="0"/>
        </w:rPr>
        <w:tab/>
        <w:t>(3)</w:t>
      </w:r>
      <w:r>
        <w:rPr>
          <w:snapToGrid w:val="0"/>
        </w:rPr>
        <w:tab/>
        <w:t>This Act (except sections 58, 59 and 67(1)(c) and Parts II, VII, VIII and IX) applies to and in relation to a continuing credit contract made before the commencement of Part III that, if it had been made after that commencement, would have been a continuing credit contract to which that Part applies but nothing in this Act applies to or in relation to a billing cycle that commenced before the commencement of that Part.</w:t>
      </w:r>
    </w:p>
    <w:p>
      <w:pPr>
        <w:pStyle w:val="Subsection"/>
        <w:rPr>
          <w:snapToGrid w:val="0"/>
        </w:rPr>
      </w:pPr>
      <w:r>
        <w:rPr>
          <w:snapToGrid w:val="0"/>
        </w:rPr>
        <w:tab/>
        <w:t>(4)</w:t>
      </w:r>
      <w:r>
        <w:rPr>
          <w:snapToGrid w:val="0"/>
        </w:rPr>
        <w:tab/>
        <w:t>Where, by reason of subsection (3), this Act (except sections 58, 59 and 67(1)(c) and Parts II, VII, VIII and IX) applies to and in relation to a continuing credit contract, the credit provider shall, when he first gives a statement of account referred to in section 61 after the commencement of Part III, give to the debtor a statement in accordance with section 58 and a notice stating the matters required to be stated in a notice under section 59.</w:t>
      </w:r>
    </w:p>
    <w:p>
      <w:pPr>
        <w:pStyle w:val="Penstart"/>
        <w:rPr>
          <w:snapToGrid w:val="0"/>
        </w:rPr>
      </w:pPr>
      <w:r>
        <w:rPr>
          <w:snapToGrid w:val="0"/>
        </w:rPr>
        <w:tab/>
        <w:t>Penalty: $1 000.</w:t>
      </w:r>
    </w:p>
    <w:p>
      <w:pPr>
        <w:pStyle w:val="Heading5"/>
        <w:rPr>
          <w:snapToGrid w:val="0"/>
        </w:rPr>
      </w:pPr>
      <w:bookmarkStart w:id="8" w:name="_Toc392496467"/>
      <w:r>
        <w:rPr>
          <w:rStyle w:val="CharSectno"/>
        </w:rPr>
        <w:t>4</w:t>
      </w:r>
      <w:r>
        <w:rPr>
          <w:snapToGrid w:val="0"/>
        </w:rPr>
        <w:t>.</w:t>
      </w:r>
      <w:r>
        <w:rPr>
          <w:snapToGrid w:val="0"/>
        </w:rPr>
        <w:tab/>
        <w:t>Act binds Crown</w:t>
      </w:r>
      <w:bookmarkEnd w:id="8"/>
    </w:p>
    <w:p>
      <w:pPr>
        <w:pStyle w:val="Subsection"/>
        <w:spacing w:before="140"/>
        <w:rPr>
          <w:snapToGrid w:val="0"/>
        </w:rPr>
      </w:pPr>
      <w:r>
        <w:rPr>
          <w:snapToGrid w:val="0"/>
        </w:rPr>
        <w:tab/>
        <w:t>(1)</w:t>
      </w:r>
      <w:r>
        <w:rPr>
          <w:snapToGrid w:val="0"/>
        </w:rPr>
        <w:tab/>
        <w:t xml:space="preserve">Except where otherwise expressly provided by this Act, this Act binds the Crown not only in right of </w:t>
      </w:r>
      <w:smartTag w:uri="urn:schemas-microsoft-com:office:smarttags" w:element="place">
        <w:smartTag w:uri="urn:schemas-microsoft-com:office:smarttags" w:element="State">
          <w:r>
            <w:rPr>
              <w:snapToGrid w:val="0"/>
            </w:rPr>
            <w:t>Western Australia</w:t>
          </w:r>
        </w:smartTag>
      </w:smartTag>
      <w:r>
        <w:rPr>
          <w:snapToGrid w:val="0"/>
        </w:rPr>
        <w:t xml:space="preserve"> but also, so far as the legislative power of Parliament permits, the Crown in all its other capacities.</w:t>
      </w:r>
    </w:p>
    <w:p>
      <w:pPr>
        <w:pStyle w:val="Subsection"/>
        <w:spacing w:before="140"/>
        <w:rPr>
          <w:snapToGrid w:val="0"/>
        </w:rPr>
      </w:pPr>
      <w:r>
        <w:rPr>
          <w:snapToGrid w:val="0"/>
        </w:rPr>
        <w:tab/>
        <w:t>(2)</w:t>
      </w:r>
      <w:r>
        <w:rPr>
          <w:snapToGrid w:val="0"/>
        </w:rPr>
        <w:tab/>
        <w:t>This Act applies to and in respect of the Crown in any of its capacities to the same extent as if the Crown were, in that capacity, a body corporate.</w:t>
      </w:r>
    </w:p>
    <w:p>
      <w:pPr>
        <w:pStyle w:val="Heading5"/>
        <w:rPr>
          <w:snapToGrid w:val="0"/>
        </w:rPr>
      </w:pPr>
      <w:bookmarkStart w:id="9" w:name="_Toc392496468"/>
      <w:r>
        <w:rPr>
          <w:rStyle w:val="CharSectno"/>
        </w:rPr>
        <w:t>5</w:t>
      </w:r>
      <w:r>
        <w:rPr>
          <w:snapToGrid w:val="0"/>
        </w:rPr>
        <w:t>.</w:t>
      </w:r>
      <w:r>
        <w:rPr>
          <w:snapToGrid w:val="0"/>
        </w:rPr>
        <w:tab/>
        <w:t>Terms used</w:t>
      </w:r>
      <w:bookmarkEnd w:id="9"/>
    </w:p>
    <w:p>
      <w:pPr>
        <w:pStyle w:val="Subsection"/>
        <w:spacing w:before="140"/>
        <w:rPr>
          <w:snapToGrid w:val="0"/>
        </w:rPr>
      </w:pPr>
      <w:r>
        <w:rPr>
          <w:snapToGrid w:val="0"/>
        </w:rPr>
        <w:tab/>
        <w:t>(1)</w:t>
      </w:r>
      <w:r>
        <w:rPr>
          <w:snapToGrid w:val="0"/>
        </w:rPr>
        <w:tab/>
        <w:t>In this Act, unless the contrary intention appears — </w:t>
      </w:r>
    </w:p>
    <w:p>
      <w:pPr>
        <w:pStyle w:val="Defstart"/>
      </w:pPr>
      <w:r>
        <w:rPr>
          <w:b/>
        </w:rPr>
        <w:tab/>
      </w:r>
      <w:r>
        <w:rPr>
          <w:rStyle w:val="CharDefText"/>
        </w:rPr>
        <w:t>acceptable rate of interest</w:t>
      </w:r>
      <w:r>
        <w:t>, in relation to a loan contract or a continuing credit contract, means an annual percentage rate that the credit provider agrees to accept so long as the debtor duly observes and performs the terms of the contract;</w:t>
      </w:r>
    </w:p>
    <w:p>
      <w:pPr>
        <w:pStyle w:val="Defstart"/>
      </w:pPr>
      <w:r>
        <w:rPr>
          <w:b/>
        </w:rPr>
        <w:tab/>
      </w:r>
      <w:r>
        <w:rPr>
          <w:rStyle w:val="CharDefText"/>
        </w:rPr>
        <w:t>account charge</w:t>
      </w:r>
      <w:r>
        <w:t>, in relation to a continuing credit contract, means — </w:t>
      </w:r>
    </w:p>
    <w:p>
      <w:pPr>
        <w:pStyle w:val="Defpara"/>
        <w:spacing w:before="60"/>
      </w:pPr>
      <w:r>
        <w:tab/>
        <w:t>(a)</w:t>
      </w:r>
      <w:r>
        <w:tab/>
        <w:t>in relation to the period of 12 months after the contract is made — the sum (not exceeding $100 or, where some other amount is prescribed, that other amount) of — </w:t>
      </w:r>
    </w:p>
    <w:p>
      <w:pPr>
        <w:pStyle w:val="Defsubpara"/>
        <w:spacing w:before="60"/>
        <w:rPr>
          <w:snapToGrid w:val="0"/>
        </w:rPr>
      </w:pPr>
      <w:r>
        <w:rPr>
          <w:snapToGrid w:val="0"/>
        </w:rPr>
        <w:tab/>
        <w:t>(i)</w:t>
      </w:r>
      <w:r>
        <w:rPr>
          <w:snapToGrid w:val="0"/>
        </w:rPr>
        <w:tab/>
        <w:t>any amount that, under the contract, is payable by the debtor to the credit provider as the fixed fee or other charge for entering into the contract; and</w:t>
      </w:r>
    </w:p>
    <w:p>
      <w:pPr>
        <w:pStyle w:val="Defsubpara"/>
        <w:spacing w:before="60"/>
        <w:rPr>
          <w:snapToGrid w:val="0"/>
        </w:rPr>
      </w:pPr>
      <w:r>
        <w:rPr>
          <w:snapToGrid w:val="0"/>
        </w:rPr>
        <w:tab/>
        <w:t>(ii)</w:t>
      </w:r>
      <w:r>
        <w:rPr>
          <w:snapToGrid w:val="0"/>
        </w:rPr>
        <w:tab/>
        <w:t xml:space="preserve">any amount that, under the contract, is payable by the debtor to the credit provider as the fixed annual fee or other annual charge in respect of that period; </w:t>
      </w:r>
    </w:p>
    <w:p>
      <w:pPr>
        <w:pStyle w:val="Defpara"/>
        <w:spacing w:before="60"/>
      </w:pPr>
      <w:r>
        <w:tab/>
      </w:r>
      <w:r>
        <w:tab/>
        <w:t>or</w:t>
      </w:r>
    </w:p>
    <w:p>
      <w:pPr>
        <w:pStyle w:val="Defpara"/>
        <w:spacing w:before="60"/>
      </w:pPr>
      <w:r>
        <w:tab/>
        <w:t>(b)</w:t>
      </w:r>
      <w:r>
        <w:tab/>
        <w:t>in relation to any other period of 12 months — any amount (not exceeding $50 or, where some other amount is prescribed, that other amount) that, under the contract, is payable by the debtor to the credit provider as the fixed annual fee or other annual charge in respect of that period;</w:t>
      </w:r>
    </w:p>
    <w:p>
      <w:pPr>
        <w:pStyle w:val="Defstart"/>
      </w:pPr>
      <w:r>
        <w:rPr>
          <w:b/>
        </w:rPr>
        <w:tab/>
      </w:r>
      <w:r>
        <w:rPr>
          <w:rStyle w:val="CharDefText"/>
        </w:rPr>
        <w:t>accrued credit charge</w:t>
      </w:r>
      <w:r>
        <w:t>, in relation to a credit sale contract or a loan contract at a particular time, means — </w:t>
      </w:r>
    </w:p>
    <w:p>
      <w:pPr>
        <w:pStyle w:val="Defpara"/>
        <w:spacing w:before="60"/>
      </w:pPr>
      <w:r>
        <w:tab/>
        <w:t>(a)</w:t>
      </w:r>
      <w:r>
        <w:tab/>
        <w:t>the minimum credit charge; or</w:t>
      </w:r>
    </w:p>
    <w:p>
      <w:pPr>
        <w:pStyle w:val="Defpara"/>
        <w:spacing w:before="60"/>
      </w:pPr>
      <w:r>
        <w:tab/>
        <w:t>(b)</w:t>
      </w:r>
      <w:r>
        <w:tab/>
        <w:t>the amount of any credit charge which, under the contract, has accrued at that time calculated as provided in section 11,</w:t>
      </w:r>
    </w:p>
    <w:p>
      <w:pPr>
        <w:pStyle w:val="Defstart"/>
        <w:spacing w:before="60"/>
      </w:pPr>
      <w:r>
        <w:tab/>
        <w:t>whichever is the greater;</w:t>
      </w:r>
    </w:p>
    <w:p>
      <w:pPr>
        <w:pStyle w:val="Defstart"/>
        <w:keepNext/>
      </w:pPr>
      <w:r>
        <w:rPr>
          <w:b/>
        </w:rPr>
        <w:tab/>
      </w:r>
      <w:r>
        <w:rPr>
          <w:rStyle w:val="CharDefText"/>
        </w:rPr>
        <w:t>actuarial method</w:t>
      </w:r>
      <w:r>
        <w:t>, in relation to a calculation for the purposes of a credit sale contract or a loan contract, means the method under which — </w:t>
      </w:r>
    </w:p>
    <w:p>
      <w:pPr>
        <w:pStyle w:val="Defpara"/>
        <w:spacing w:before="60"/>
      </w:pPr>
      <w:r>
        <w:tab/>
        <w:t>(a)</w:t>
      </w:r>
      <w:r>
        <w:tab/>
        <w:t>it is assumed that all payments by the debtor under the contract will be made on the respective dates on which they fall due and that credit will be provided at the time or times determined under the contract; and</w:t>
      </w:r>
    </w:p>
    <w:p>
      <w:pPr>
        <w:pStyle w:val="Defpara"/>
      </w:pPr>
      <w:r>
        <w:tab/>
        <w:t>(b)</w:t>
      </w:r>
      <w:r>
        <w:tab/>
        <w:t>payments by the debtor under the contract are allocated between the amount of the credit charge and the amount financed so that each payment is applied first to the accrued credit charge at the date on which the payment is due and — </w:t>
      </w:r>
    </w:p>
    <w:p>
      <w:pPr>
        <w:pStyle w:val="Defsubpara"/>
        <w:rPr>
          <w:snapToGrid w:val="0"/>
        </w:rPr>
      </w:pPr>
      <w:r>
        <w:rPr>
          <w:snapToGrid w:val="0"/>
        </w:rPr>
        <w:tab/>
        <w:t>(i)</w:t>
      </w:r>
      <w:r>
        <w:rPr>
          <w:snapToGrid w:val="0"/>
        </w:rPr>
        <w:tab/>
        <w:t>if the amount of the payment is greater than the amount of the accrued credit charge on the date on which the payment is made, the remaining amount of the payment is applied to the unpaid balance of the amount financed; or</w:t>
      </w:r>
    </w:p>
    <w:p>
      <w:pPr>
        <w:pStyle w:val="Defsubpara"/>
        <w:rPr>
          <w:snapToGrid w:val="0"/>
        </w:rPr>
      </w:pPr>
      <w:r>
        <w:rPr>
          <w:snapToGrid w:val="0"/>
        </w:rPr>
        <w:tab/>
        <w:t>(ii)</w:t>
      </w:r>
      <w:r>
        <w:rPr>
          <w:snapToGrid w:val="0"/>
        </w:rPr>
        <w:tab/>
        <w:t>if the amount of the payment is less than the amount of the accrued credit charge on the date on which the payment is made, the amount of the difference between the payment and the accrued credit charge is added to the unpaid balance of the amount financed;</w:t>
      </w:r>
    </w:p>
    <w:p>
      <w:pPr>
        <w:pStyle w:val="Defstart"/>
      </w:pPr>
      <w:r>
        <w:rPr>
          <w:b/>
        </w:rPr>
        <w:tab/>
      </w:r>
      <w:r>
        <w:rPr>
          <w:rStyle w:val="CharDefText"/>
        </w:rPr>
        <w:t>amount financed</w:t>
      </w:r>
      <w:r>
        <w:t xml:space="preserve"> means — </w:t>
      </w:r>
    </w:p>
    <w:p>
      <w:pPr>
        <w:pStyle w:val="Defpara"/>
      </w:pPr>
      <w:r>
        <w:tab/>
        <w:t>(a)</w:t>
      </w:r>
      <w:r>
        <w:tab/>
        <w:t>in relation to a regulated credit sale contract — the sum of the balance of the cash price required to be stated in accordance with clause 1(c) of Schedule 2 and the total of the amounts required to be stated in accordance with clause 1(d) to clause 1(i) of Schedule 2; or</w:t>
      </w:r>
    </w:p>
    <w:p>
      <w:pPr>
        <w:pStyle w:val="Defpara"/>
      </w:pPr>
      <w:r>
        <w:tab/>
        <w:t>(b)</w:t>
      </w:r>
      <w:r>
        <w:tab/>
        <w:t>in relation to any other credit sale contract — the sum of the cash price (less the deposit, if any) and amounts payable under the contract by the debtor to the credit provider that, if the contract were a regulated credit sale contract, would be required to be stated in accordance with clause 1(d) to clause 1(i) of Schedule 2; or</w:t>
      </w:r>
    </w:p>
    <w:p>
      <w:pPr>
        <w:pStyle w:val="Defpara"/>
      </w:pPr>
      <w:r>
        <w:tab/>
        <w:t>(c)</w:t>
      </w:r>
      <w:r>
        <w:tab/>
        <w:t>in relation to a regulated loan contract — the sum of the amounts required to be stated in accordance with clause 1 of Schedule 4; or</w:t>
      </w:r>
    </w:p>
    <w:p>
      <w:pPr>
        <w:pStyle w:val="Defpara"/>
      </w:pPr>
      <w:r>
        <w:tab/>
        <w:t>(d)</w:t>
      </w:r>
      <w:r>
        <w:tab/>
        <w:t>in relation to any other loan contract the sum of the amount agreed under the contract to be lent and amounts payable under the contract by the debtor to the credit provider that, if the contract were a regulated loan contract, would be required to be stated in accordance with clause 1(b) to clause 1(f) of Schedule 4;</w:t>
      </w:r>
    </w:p>
    <w:p>
      <w:pPr>
        <w:pStyle w:val="Defstart"/>
      </w:pPr>
      <w:r>
        <w:rPr>
          <w:b/>
        </w:rPr>
        <w:tab/>
      </w:r>
      <w:r>
        <w:rPr>
          <w:rStyle w:val="CharDefText"/>
        </w:rPr>
        <w:t>annual percentage rate</w:t>
      </w:r>
      <w:r>
        <w:t xml:space="preserve"> means annual percentage rate within the meaning of section 10;</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rPr>
          <w:b/>
        </w:rPr>
      </w:pPr>
      <w:r>
        <w:tab/>
        <w:t>(b)</w:t>
      </w:r>
      <w:r>
        <w:tab/>
        <w:t>a bank constituted by a law of a State, a Territory or the Commonwealth;</w:t>
      </w:r>
    </w:p>
    <w:p>
      <w:pPr>
        <w:pStyle w:val="Defstart"/>
      </w:pPr>
      <w:r>
        <w:rPr>
          <w:b/>
        </w:rPr>
        <w:tab/>
      </w:r>
      <w:r>
        <w:rPr>
          <w:rStyle w:val="CharDefText"/>
        </w:rPr>
        <w:t>billing cycle</w:t>
      </w:r>
      <w:r>
        <w:t xml:space="preserve"> means billing cycle as referred to in section 50;</w:t>
      </w:r>
    </w:p>
    <w:p>
      <w:pPr>
        <w:pStyle w:val="Defstart"/>
      </w:pPr>
      <w:r>
        <w:rPr>
          <w:b/>
        </w:rPr>
        <w:tab/>
      </w:r>
      <w:r>
        <w:rPr>
          <w:rStyle w:val="CharDefText"/>
        </w:rPr>
        <w:t>body corporate</w:t>
      </w:r>
      <w:r>
        <w:t xml:space="preserve"> does not, except in the case of a credit provider that is a body corporate, include — </w:t>
      </w:r>
    </w:p>
    <w:p>
      <w:pPr>
        <w:pStyle w:val="Defpara"/>
      </w:pPr>
      <w:r>
        <w:tab/>
        <w:t>(a)</w:t>
      </w:r>
      <w:r>
        <w:tab/>
        <w:t xml:space="preserve">a body corporate constituted under the </w:t>
      </w:r>
      <w:r>
        <w:rPr>
          <w:i/>
        </w:rPr>
        <w:t>Strata Titles Act 1966</w:t>
      </w:r>
      <w:r>
        <w:t xml:space="preserve"> </w:t>
      </w:r>
      <w:r>
        <w:rPr>
          <w:vertAlign w:val="superscript"/>
        </w:rPr>
        <w:t>2</w:t>
      </w:r>
      <w:r>
        <w:t>, by the proprietor or proprietors of lots within the meaning of that Act; or</w:t>
      </w:r>
    </w:p>
    <w:p>
      <w:pPr>
        <w:pStyle w:val="Defpara"/>
      </w:pPr>
      <w:r>
        <w:tab/>
        <w:t>(b)</w:t>
      </w:r>
      <w:r>
        <w:tab/>
        <w:t>a company owning an interest in land and having a memorandum or articles of association conferring on owners of shares in the company the right to occupy certain parts of a building erected on that land,</w:t>
      </w:r>
    </w:p>
    <w:p>
      <w:pPr>
        <w:pStyle w:val="Defstart"/>
      </w:pPr>
      <w:r>
        <w:tab/>
        <w:t>all or the majority of which lots or parts, as the case may be, are intended to be occupied as dwellings;</w:t>
      </w:r>
    </w:p>
    <w:p>
      <w:pPr>
        <w:pStyle w:val="Defstart"/>
      </w:pPr>
      <w:r>
        <w:rPr>
          <w:b/>
        </w:rPr>
        <w:tab/>
      </w:r>
      <w:r>
        <w:rPr>
          <w:rStyle w:val="CharDefText"/>
        </w:rPr>
        <w:t>cash</w:t>
      </w:r>
      <w:r>
        <w:t xml:space="preserve"> includes cheques;</w:t>
      </w:r>
    </w:p>
    <w:p>
      <w:pPr>
        <w:pStyle w:val="Defstart"/>
      </w:pPr>
      <w:r>
        <w:rPr>
          <w:b/>
        </w:rPr>
        <w:tab/>
      </w:r>
      <w:r>
        <w:rPr>
          <w:rStyle w:val="CharDefText"/>
        </w:rPr>
        <w:t>cash price</w:t>
      </w:r>
      <w:r>
        <w:t>, in relation to a contract of sale of, or credit sale contract relating to, goods or services — </w:t>
      </w:r>
    </w:p>
    <w:p>
      <w:pPr>
        <w:pStyle w:val="Defpara"/>
      </w:pPr>
      <w:r>
        <w:tab/>
        <w:t>(a)</w:t>
      </w:r>
      <w:r>
        <w:tab/>
        <w:t>unless the contract is one to which paragraph (b), (c) or (d) applies — means the price payable under the contract for the goods or services; or</w:t>
      </w:r>
    </w:p>
    <w:p>
      <w:pPr>
        <w:pStyle w:val="Defpara"/>
      </w:pPr>
      <w:r>
        <w:tab/>
        <w:t>(b)</w:t>
      </w:r>
      <w:r>
        <w:tab/>
        <w:t>where, under the contract, credit for the payment for the goods or services is, or is to be, provided by the supplier or by a linked credit provider of the supplier and, at the time at which the contract is made, the goods or services are available for purchase from the supplier for cash — means the lowest price at which at that time the buyer might have bought the goods or services from the supplier for cash; or</w:t>
      </w:r>
    </w:p>
    <w:p>
      <w:pPr>
        <w:pStyle w:val="Defpara"/>
      </w:pPr>
      <w:r>
        <w:tab/>
        <w:t>(c)</w:t>
      </w:r>
      <w:r>
        <w:tab/>
        <w:t>where, under the contract, credit for the payment for the goods or services is, or is to be, provided by the supplier or by a linked credit provider of the supplier and, at the time at which the contract is made, the goods or services are reasonably available for purchase for cash but are not available for purchase from the supplier for cash — means the price at which at that time the buyer might reasonably have bought goods or services of that kind for cash; or</w:t>
      </w:r>
    </w:p>
    <w:p>
      <w:pPr>
        <w:pStyle w:val="Defpara"/>
      </w:pPr>
      <w:r>
        <w:tab/>
        <w:t>(d)</w:t>
      </w:r>
      <w:r>
        <w:tab/>
        <w:t>where, under the contract, credit for the payment for the goods or services is, or is to be, provided by the supplier or by a linked credit provider of the supplier and, at the time at which the contract is made, the goods or services are not reasonably available for purchase for cash — means the amount that is — </w:t>
      </w:r>
    </w:p>
    <w:p>
      <w:pPr>
        <w:pStyle w:val="Defsubpara"/>
        <w:rPr>
          <w:snapToGrid w:val="0"/>
        </w:rPr>
      </w:pPr>
      <w:r>
        <w:rPr>
          <w:snapToGrid w:val="0"/>
        </w:rPr>
        <w:tab/>
        <w:t>(i)</w:t>
      </w:r>
      <w:r>
        <w:rPr>
          <w:snapToGrid w:val="0"/>
        </w:rPr>
        <w:tab/>
        <w:t>in the case of a sale of goods, the reasonable value of the goods at that time; or</w:t>
      </w:r>
    </w:p>
    <w:p>
      <w:pPr>
        <w:pStyle w:val="Defsubpara"/>
        <w:rPr>
          <w:snapToGrid w:val="0"/>
        </w:rPr>
      </w:pPr>
      <w:r>
        <w:rPr>
          <w:snapToGrid w:val="0"/>
        </w:rPr>
        <w:tab/>
        <w:t>(ii)</w:t>
      </w:r>
      <w:r>
        <w:rPr>
          <w:snapToGrid w:val="0"/>
        </w:rPr>
        <w:tab/>
        <w:t>in the case of a sale of services, the reasonable value at that time of the services (whether or not they have been supplied); or</w:t>
      </w:r>
    </w:p>
    <w:p>
      <w:pPr>
        <w:pStyle w:val="Defsubpara"/>
        <w:keepLines w:val="0"/>
        <w:rPr>
          <w:snapToGrid w:val="0"/>
        </w:rPr>
      </w:pPr>
      <w:r>
        <w:rPr>
          <w:snapToGrid w:val="0"/>
        </w:rPr>
        <w:tab/>
        <w:t>(iii)</w:t>
      </w:r>
      <w:r>
        <w:rPr>
          <w:snapToGrid w:val="0"/>
        </w:rPr>
        <w:tab/>
        <w:t xml:space="preserve">in the case of a contract of sale that is a contract of sale of both goods and services, the sum of the reasonable value of the goods at that time and the reasonable value at that time of the services (whether or not they have been supplied); </w:t>
      </w:r>
    </w:p>
    <w:p>
      <w:pPr>
        <w:pStyle w:val="Defpara"/>
      </w:pPr>
      <w:r>
        <w:tab/>
      </w:r>
      <w:r>
        <w:tab/>
        <w:t>or</w:t>
      </w:r>
    </w:p>
    <w:p>
      <w:pPr>
        <w:pStyle w:val="Defpara"/>
      </w:pPr>
      <w:r>
        <w:tab/>
        <w:t>(e)</w:t>
      </w:r>
      <w:r>
        <w:tab/>
        <w:t>where some other price is prescribed in relation to the contract — means that price;</w:t>
      </w:r>
    </w:p>
    <w:p>
      <w:pPr>
        <w:pStyle w:val="Defstart"/>
        <w:keepNext/>
      </w:pPr>
      <w:r>
        <w:rPr>
          <w:b/>
        </w:rPr>
        <w:tab/>
      </w:r>
      <w:r>
        <w:rPr>
          <w:rStyle w:val="CharDefText"/>
        </w:rPr>
        <w:t>commercial vehicle</w:t>
      </w:r>
      <w:r>
        <w:t xml:space="preserve"> means — </w:t>
      </w:r>
    </w:p>
    <w:p>
      <w:pPr>
        <w:pStyle w:val="Defpara"/>
      </w:pPr>
      <w:r>
        <w:tab/>
        <w:t>(a)</w:t>
      </w:r>
      <w:r>
        <w:tab/>
        <w:t xml:space="preserve">a motor vehicle within the meaning of the </w:t>
      </w:r>
      <w:r>
        <w:rPr>
          <w:i/>
        </w:rPr>
        <w:t>Road Traffic Act 1974</w:t>
      </w:r>
      <w:r>
        <w:t>, constructed or adapted principally for the carriage of goods but does not, include a motor vehicle of the kind known as a utility, a station wagon or a panel van; or</w:t>
      </w:r>
    </w:p>
    <w:p>
      <w:pPr>
        <w:pStyle w:val="Defpara"/>
      </w:pPr>
      <w:r>
        <w:tab/>
        <w:t>(b)</w:t>
      </w:r>
      <w:r>
        <w:tab/>
        <w:t>a vehicle without motive power of its own and constructed or adapted principally for the carriage of goods and for being drawn by a motor vehicle within the meaning of that Act;</w:t>
      </w:r>
    </w:p>
    <w:p>
      <w:pPr>
        <w:pStyle w:val="Defstart"/>
      </w:pPr>
      <w:r>
        <w:rPr>
          <w:b/>
        </w:rPr>
        <w:tab/>
      </w:r>
      <w:r>
        <w:rPr>
          <w:rStyle w:val="CharDefText"/>
        </w:rPr>
        <w:t>commission charge</w:t>
      </w:r>
      <w:r>
        <w:t>, in relation to a regulated credit sale contract or a regulated loan contract, means an amount paid or payable (whether directly or indirectly and whether or not pursuant to an agreement or undertaking) by way of commission or as a payment in the nature of a commission (however described) being an amount — </w:t>
      </w:r>
    </w:p>
    <w:p>
      <w:pPr>
        <w:pStyle w:val="Defpara"/>
        <w:spacing w:before="70"/>
      </w:pPr>
      <w:r>
        <w:tab/>
        <w:t>(a)</w:t>
      </w:r>
      <w:r>
        <w:tab/>
        <w:t xml:space="preserve">that is paid or payable in respect of the introduction of the debtor to the credit provider and paid or payable by the credit provider or the spouse or de facto partner of the credit provider or, where the credit provider is a body corporate the credit provider or any other corporation that is a related body corporate of the credit provider for the purposes of the </w:t>
      </w:r>
      <w:r>
        <w:rPr>
          <w:i/>
        </w:rPr>
        <w:t>Corporations Act 2001</w:t>
      </w:r>
      <w:r>
        <w:t xml:space="preserve"> of the Commonwealth; or</w:t>
      </w:r>
    </w:p>
    <w:p>
      <w:pPr>
        <w:pStyle w:val="Defpara"/>
        <w:keepNext/>
        <w:spacing w:before="70"/>
      </w:pPr>
      <w:r>
        <w:tab/>
        <w:t>(b)</w:t>
      </w:r>
      <w:r>
        <w:tab/>
        <w:t>that is paid or payable in connection with a contract — </w:t>
      </w:r>
    </w:p>
    <w:p>
      <w:pPr>
        <w:pStyle w:val="Defsubpara"/>
        <w:spacing w:before="70"/>
        <w:rPr>
          <w:snapToGrid w:val="0"/>
        </w:rPr>
      </w:pPr>
      <w:r>
        <w:rPr>
          <w:snapToGrid w:val="0"/>
        </w:rPr>
        <w:tab/>
        <w:t>(i)</w:t>
      </w:r>
      <w:r>
        <w:rPr>
          <w:snapToGrid w:val="0"/>
        </w:rPr>
        <w:tab/>
        <w:t>that is connected with the regulated credit sale contract or regulated loan contract; and</w:t>
      </w:r>
    </w:p>
    <w:p>
      <w:pPr>
        <w:pStyle w:val="Defsubpara"/>
        <w:spacing w:before="70"/>
        <w:rPr>
          <w:snapToGrid w:val="0"/>
        </w:rPr>
      </w:pPr>
      <w:r>
        <w:rPr>
          <w:snapToGrid w:val="0"/>
        </w:rPr>
        <w:tab/>
        <w:t>(ii)</w:t>
      </w:r>
      <w:r>
        <w:rPr>
          <w:snapToGrid w:val="0"/>
        </w:rPr>
        <w:tab/>
        <w:t>the consideration for which is wholly or partly included within the amount financed;</w:t>
      </w:r>
    </w:p>
    <w:p>
      <w:pPr>
        <w:pStyle w:val="Defstart"/>
      </w:pPr>
      <w:r>
        <w:tab/>
      </w:r>
      <w:r>
        <w:rPr>
          <w:rStyle w:val="CharDefText"/>
        </w:rPr>
        <w:t>Commissioner</w:t>
      </w:r>
      <w:r>
        <w:t xml:space="preserve"> has the meaning given by section 4 of the </w:t>
      </w:r>
      <w:r>
        <w:rPr>
          <w:i/>
        </w:rPr>
        <w:t>Credit (Administration) Act 1984</w:t>
      </w:r>
      <w:r>
        <w:t>;</w:t>
      </w:r>
    </w:p>
    <w:p>
      <w:pPr>
        <w:pStyle w:val="Defstart"/>
      </w:pPr>
      <w:r>
        <w:rPr>
          <w:b/>
        </w:rPr>
        <w:tab/>
      </w:r>
      <w:r>
        <w:rPr>
          <w:rStyle w:val="CharDefText"/>
        </w:rPr>
        <w:t>compulsory insurance</w:t>
      </w:r>
      <w:r>
        <w:t>, in relation to goods, means any insurance in relation to liability in respect of death or bodily injury caused by or arising out of the use of the goods, being insurance required by the law of the place where the goods are or are being or are to be used;</w:t>
      </w:r>
    </w:p>
    <w:p>
      <w:pPr>
        <w:pStyle w:val="Defstart"/>
      </w:pPr>
      <w:r>
        <w:rPr>
          <w:b/>
        </w:rPr>
        <w:tab/>
      </w:r>
      <w:r>
        <w:rPr>
          <w:rStyle w:val="CharDefText"/>
        </w:rPr>
        <w:t>continuing credit contract</w:t>
      </w:r>
      <w:r>
        <w:t xml:space="preserve"> means a continuing credit contract within the meaning of section 48;</w:t>
      </w:r>
    </w:p>
    <w:p>
      <w:pPr>
        <w:pStyle w:val="Defstart"/>
      </w:pPr>
      <w:r>
        <w:rPr>
          <w:b/>
        </w:rPr>
        <w:tab/>
      </w:r>
      <w:r>
        <w:rPr>
          <w:rStyle w:val="CharDefText"/>
        </w:rPr>
        <w:t>contract for the hiring of goods</w:t>
      </w:r>
      <w:r>
        <w:t xml:space="preserve"> includes a contract for the lease of goods or for the grant of a licence to use goods and any other contract for the bailment of goods;</w:t>
      </w:r>
    </w:p>
    <w:p>
      <w:pPr>
        <w:pStyle w:val="Defstart"/>
      </w:pPr>
      <w:r>
        <w:rPr>
          <w:b/>
        </w:rPr>
        <w:tab/>
      </w:r>
      <w:r>
        <w:rPr>
          <w:rStyle w:val="CharDefText"/>
        </w:rPr>
        <w:t>credit</w:t>
      </w:r>
      <w:r>
        <w:t xml:space="preserve"> includes any form of financial accommodation other than — </w:t>
      </w:r>
    </w:p>
    <w:p>
      <w:pPr>
        <w:pStyle w:val="Defpara"/>
      </w:pPr>
      <w:r>
        <w:tab/>
        <w:t>(a)</w:t>
      </w:r>
      <w:r>
        <w:tab/>
        <w:t>credit provided to a debtor, for the purposes of a business carried on by him, by — </w:t>
      </w:r>
    </w:p>
    <w:p>
      <w:pPr>
        <w:pStyle w:val="Defsubpara"/>
        <w:keepLines w:val="0"/>
        <w:rPr>
          <w:snapToGrid w:val="0"/>
        </w:rPr>
      </w:pPr>
      <w:r>
        <w:rPr>
          <w:snapToGrid w:val="0"/>
        </w:rPr>
        <w:tab/>
        <w:t>(i)</w:t>
      </w:r>
      <w:r>
        <w:rPr>
          <w:snapToGrid w:val="0"/>
        </w:rPr>
        <w:tab/>
        <w:t>a documentary letter of credit; or</w:t>
      </w:r>
    </w:p>
    <w:p>
      <w:pPr>
        <w:pStyle w:val="Defsubpara"/>
        <w:keepLines w:val="0"/>
        <w:rPr>
          <w:snapToGrid w:val="0"/>
        </w:rPr>
      </w:pPr>
      <w:r>
        <w:rPr>
          <w:snapToGrid w:val="0"/>
        </w:rPr>
        <w:tab/>
        <w:t>(ii)</w:t>
      </w:r>
      <w:r>
        <w:rPr>
          <w:snapToGrid w:val="0"/>
        </w:rPr>
        <w:tab/>
        <w:t>discounting, or becoming a party to or the holder of, a bill of exchange or other negotiable instrument; or</w:t>
      </w:r>
    </w:p>
    <w:p>
      <w:pPr>
        <w:pStyle w:val="Defsubpara"/>
        <w:keepLines w:val="0"/>
        <w:rPr>
          <w:snapToGrid w:val="0"/>
        </w:rPr>
      </w:pPr>
      <w:r>
        <w:rPr>
          <w:snapToGrid w:val="0"/>
        </w:rPr>
        <w:tab/>
        <w:t>(iii)</w:t>
      </w:r>
      <w:r>
        <w:rPr>
          <w:snapToGrid w:val="0"/>
        </w:rPr>
        <w:tab/>
        <w:t>becoming surety for a debtor;</w:t>
      </w:r>
    </w:p>
    <w:p>
      <w:pPr>
        <w:pStyle w:val="Defpara"/>
      </w:pPr>
      <w:r>
        <w:tab/>
      </w:r>
      <w:r>
        <w:tab/>
        <w:t>or</w:t>
      </w:r>
    </w:p>
    <w:p>
      <w:pPr>
        <w:pStyle w:val="Defpara"/>
      </w:pPr>
      <w:r>
        <w:tab/>
        <w:t>(b)</w:t>
      </w:r>
      <w:r>
        <w:tab/>
        <w:t>credit provided for the purchase of goods for re</w:t>
      </w:r>
      <w:r>
        <w:noBreakHyphen/>
        <w:t>supply; or</w:t>
      </w:r>
    </w:p>
    <w:p>
      <w:pPr>
        <w:pStyle w:val="Defpara"/>
      </w:pPr>
      <w:r>
        <w:tab/>
        <w:t>(c)</w:t>
      </w:r>
      <w:r>
        <w:tab/>
        <w:t>credit provided for the purchase of goods that — </w:t>
      </w:r>
    </w:p>
    <w:p>
      <w:pPr>
        <w:pStyle w:val="Defsubpara"/>
        <w:keepLines w:val="0"/>
        <w:rPr>
          <w:snapToGrid w:val="0"/>
        </w:rPr>
      </w:pPr>
      <w:r>
        <w:rPr>
          <w:snapToGrid w:val="0"/>
        </w:rPr>
        <w:tab/>
        <w:t>(i)</w:t>
      </w:r>
      <w:r>
        <w:rPr>
          <w:snapToGrid w:val="0"/>
        </w:rPr>
        <w:tab/>
        <w:t>are raw materials; or</w:t>
      </w:r>
    </w:p>
    <w:p>
      <w:pPr>
        <w:pStyle w:val="Defsubpara"/>
        <w:keepLines w:val="0"/>
        <w:rPr>
          <w:snapToGrid w:val="0"/>
        </w:rPr>
      </w:pPr>
      <w:r>
        <w:rPr>
          <w:snapToGrid w:val="0"/>
        </w:rPr>
        <w:tab/>
        <w:t>(ii)</w:t>
      </w:r>
      <w:r>
        <w:rPr>
          <w:snapToGrid w:val="0"/>
        </w:rPr>
        <w:tab/>
        <w:t>are ordinarily acquired for the purpose of treating or repairing other goods or fixtures on land or of being incorporated in other goods,</w:t>
      </w:r>
    </w:p>
    <w:p>
      <w:pPr>
        <w:pStyle w:val="Defpara"/>
      </w:pPr>
      <w:r>
        <w:tab/>
      </w:r>
      <w:r>
        <w:tab/>
        <w:t>for the purposes of transforming them, or incorporating them in other goods — </w:t>
      </w:r>
    </w:p>
    <w:p>
      <w:pPr>
        <w:pStyle w:val="Defsubpara"/>
        <w:keepLines w:val="0"/>
        <w:rPr>
          <w:snapToGrid w:val="0"/>
        </w:rPr>
      </w:pPr>
      <w:r>
        <w:rPr>
          <w:snapToGrid w:val="0"/>
        </w:rPr>
        <w:tab/>
        <w:t>(iii)</w:t>
      </w:r>
      <w:r>
        <w:rPr>
          <w:snapToGrid w:val="0"/>
        </w:rPr>
        <w:tab/>
        <w:t>in trade or commerce; or</w:t>
      </w:r>
    </w:p>
    <w:p>
      <w:pPr>
        <w:pStyle w:val="Defsubpara"/>
        <w:keepLines w:val="0"/>
        <w:rPr>
          <w:snapToGrid w:val="0"/>
        </w:rPr>
      </w:pPr>
      <w:r>
        <w:rPr>
          <w:snapToGrid w:val="0"/>
        </w:rPr>
        <w:tab/>
        <w:t>(iv)</w:t>
      </w:r>
      <w:r>
        <w:rPr>
          <w:snapToGrid w:val="0"/>
        </w:rPr>
        <w:tab/>
        <w:t>in the course of a process of production or manufacture; or</w:t>
      </w:r>
    </w:p>
    <w:p>
      <w:pPr>
        <w:pStyle w:val="Defsubpara"/>
        <w:keepLines w:val="0"/>
        <w:rPr>
          <w:snapToGrid w:val="0"/>
        </w:rPr>
      </w:pPr>
      <w:r>
        <w:rPr>
          <w:snapToGrid w:val="0"/>
        </w:rPr>
        <w:tab/>
        <w:t>(v)</w:t>
      </w:r>
      <w:r>
        <w:rPr>
          <w:snapToGrid w:val="0"/>
        </w:rPr>
        <w:tab/>
        <w:t>in the course of repairing or treating other goods or fixtures on land;</w:t>
      </w:r>
    </w:p>
    <w:p>
      <w:pPr>
        <w:pStyle w:val="Defpara"/>
      </w:pPr>
      <w:r>
        <w:tab/>
      </w:r>
      <w:r>
        <w:tab/>
        <w:t>or</w:t>
      </w:r>
    </w:p>
    <w:p>
      <w:pPr>
        <w:pStyle w:val="Defpara"/>
      </w:pPr>
      <w:r>
        <w:tab/>
        <w:t>(d)</w:t>
      </w:r>
      <w:r>
        <w:tab/>
        <w:t>credit provided for the purchase of services, where the buyer has contracted to provide those services, or goods and services that include those services, to a third person; or</w:t>
      </w:r>
    </w:p>
    <w:p>
      <w:pPr>
        <w:pStyle w:val="Defpara"/>
      </w:pPr>
      <w:r>
        <w:tab/>
        <w:t>(e)</w:t>
      </w:r>
      <w:r>
        <w:tab/>
        <w:t>any transaction prescribed as being a transaction that is not credit within the meaning</w:t>
      </w:r>
      <w:bookmarkStart w:id="10" w:name="RuleErr_89"/>
      <w:r>
        <w:t xml:space="preserve"> of this Act</w:t>
      </w:r>
      <w:bookmarkEnd w:id="10"/>
      <w:r>
        <w:t>;</w:t>
      </w:r>
    </w:p>
    <w:p>
      <w:pPr>
        <w:pStyle w:val="Defstart"/>
      </w:pPr>
      <w:r>
        <w:rPr>
          <w:b/>
        </w:rPr>
        <w:tab/>
      </w:r>
      <w:r>
        <w:rPr>
          <w:rStyle w:val="CharDefText"/>
        </w:rPr>
        <w:t>credit charge</w:t>
      </w:r>
      <w:r>
        <w:t xml:space="preserve"> means credit charge within the meaning of section 11(1);</w:t>
      </w:r>
    </w:p>
    <w:p>
      <w:pPr>
        <w:pStyle w:val="Defstart"/>
      </w:pPr>
      <w:r>
        <w:rPr>
          <w:b/>
        </w:rPr>
        <w:tab/>
      </w:r>
      <w:r>
        <w:rPr>
          <w:rStyle w:val="CharDefText"/>
        </w:rPr>
        <w:t>credit contract</w:t>
      </w:r>
      <w:r>
        <w:t xml:space="preserve"> means — </w:t>
      </w:r>
    </w:p>
    <w:p>
      <w:pPr>
        <w:pStyle w:val="Defpara"/>
      </w:pPr>
      <w:r>
        <w:tab/>
        <w:t>(a)</w:t>
      </w:r>
      <w:r>
        <w:tab/>
        <w:t>a credit sale contract; or</w:t>
      </w:r>
    </w:p>
    <w:p>
      <w:pPr>
        <w:pStyle w:val="Defpara"/>
      </w:pPr>
      <w:r>
        <w:tab/>
        <w:t>(b)</w:t>
      </w:r>
      <w:r>
        <w:tab/>
        <w:t>a loan contract; or</w:t>
      </w:r>
    </w:p>
    <w:p>
      <w:pPr>
        <w:pStyle w:val="Defpara"/>
      </w:pPr>
      <w:r>
        <w:tab/>
        <w:t>(c)</w:t>
      </w:r>
      <w:r>
        <w:tab/>
        <w:t>a continuing credit contract;</w:t>
      </w:r>
    </w:p>
    <w:p>
      <w:pPr>
        <w:pStyle w:val="Defstart"/>
      </w:pPr>
      <w:r>
        <w:rPr>
          <w:b/>
        </w:rPr>
        <w:tab/>
      </w:r>
      <w:r>
        <w:rPr>
          <w:rStyle w:val="CharDefText"/>
        </w:rPr>
        <w:t>credit provider</w:t>
      </w:r>
      <w:r>
        <w:t xml:space="preserve"> means — </w:t>
      </w:r>
    </w:p>
    <w:p>
      <w:pPr>
        <w:pStyle w:val="Defpara"/>
      </w:pPr>
      <w:r>
        <w:tab/>
        <w:t>(a)</w:t>
      </w:r>
      <w:r>
        <w:tab/>
        <w:t>in relation to a credit contract, the person providing credit under the contract in the course of a business carried on by him; or</w:t>
      </w:r>
    </w:p>
    <w:p>
      <w:pPr>
        <w:pStyle w:val="Defpara"/>
      </w:pPr>
      <w:r>
        <w:tab/>
        <w:t>(b)</w:t>
      </w:r>
      <w:r>
        <w:tab/>
        <w:t>in relation to a proposed credit contract, the person by whom credit is to be provided under the contract in the course of a business carried on by him;</w:t>
      </w:r>
    </w:p>
    <w:p>
      <w:pPr>
        <w:pStyle w:val="Defstart"/>
      </w:pPr>
      <w:r>
        <w:rPr>
          <w:b/>
        </w:rPr>
        <w:tab/>
      </w:r>
      <w:r>
        <w:rPr>
          <w:rStyle w:val="CharDefText"/>
        </w:rPr>
        <w:t>credit sale contract</w:t>
      </w:r>
      <w:r>
        <w:t xml:space="preserve"> means, subject to sections 13 and 14, a contract of sale of goods or services where in respect of the payment for the goods or services credit is, or is to be, provided to a debtor, being a buyer but not being a body corporate, by a supplier in the course of a business carried on by the supplier and, under the contract — </w:t>
      </w:r>
    </w:p>
    <w:p>
      <w:pPr>
        <w:pStyle w:val="Defpara"/>
      </w:pPr>
      <w:r>
        <w:tab/>
        <w:t>(a)</w:t>
      </w:r>
      <w:r>
        <w:tab/>
        <w:t>a charge is made for the provision of credit; or</w:t>
      </w:r>
    </w:p>
    <w:p>
      <w:pPr>
        <w:pStyle w:val="Defpara"/>
      </w:pPr>
      <w:r>
        <w:tab/>
        <w:t>(b)</w:t>
      </w:r>
      <w:r>
        <w:tab/>
        <w:t>the amount payable by the debtor is not required to be paid within the period of 4 months after credit is provided under the contract; or</w:t>
      </w:r>
    </w:p>
    <w:p>
      <w:pPr>
        <w:pStyle w:val="Defpara"/>
      </w:pPr>
      <w:r>
        <w:tab/>
        <w:t>(c)</w:t>
      </w:r>
      <w:r>
        <w:tab/>
        <w:t>the amount payable by the debtor may be paid by 5 or more instalments or by a deposit and 4 or more instalments,</w:t>
      </w:r>
    </w:p>
    <w:p>
      <w:pPr>
        <w:pStyle w:val="Defstart"/>
      </w:pPr>
      <w:r>
        <w:tab/>
        <w:t>but does not include any contract of a class or description of contracts prescribed as being credit sale contracts that are not credit sale contracts within the meaning</w:t>
      </w:r>
      <w:bookmarkStart w:id="11" w:name="RuleErr_90"/>
      <w:r>
        <w:t xml:space="preserve"> of this Act</w:t>
      </w:r>
      <w:bookmarkEnd w:id="11"/>
      <w:r>
        <w:t>;</w:t>
      </w:r>
    </w:p>
    <w:p>
      <w:pPr>
        <w:pStyle w:val="Defstart"/>
      </w:pPr>
      <w:r>
        <w:rPr>
          <w:b/>
        </w:rPr>
        <w:tab/>
      </w:r>
      <w:r>
        <w:rPr>
          <w:rStyle w:val="CharDefText"/>
        </w:rPr>
        <w:t>cross</w:t>
      </w:r>
      <w:r>
        <w:rPr>
          <w:rStyle w:val="CharDefText"/>
        </w:rPr>
        <w:noBreakHyphen/>
        <w:t>claim</w:t>
      </w:r>
      <w:r>
        <w:t xml:space="preserve"> includes counter</w:t>
      </w:r>
      <w:r>
        <w:noBreakHyphen/>
        <w:t>claim, set</w:t>
      </w:r>
      <w:r>
        <w:noBreakHyphen/>
        <w:t>off and third party claim;</w:t>
      </w:r>
    </w:p>
    <w:p>
      <w:pPr>
        <w:pStyle w:val="Defstart"/>
      </w:pPr>
      <w:r>
        <w:rPr>
          <w:b/>
        </w:rPr>
        <w:tab/>
      </w:r>
      <w:r>
        <w:rPr>
          <w:rStyle w:val="CharDefText"/>
        </w:rPr>
        <w:t>daily percentage rate</w:t>
      </w:r>
      <w:r>
        <w:t>, in relation to a credit sale contract or a loan contract, means the rate determined by dividing the annual percentage rate under the contract by 365;</w:t>
      </w:r>
    </w:p>
    <w:p>
      <w:pPr>
        <w:pStyle w:val="Defstart"/>
      </w:pPr>
      <w:r>
        <w:rPr>
          <w:b/>
        </w:rPr>
        <w:tab/>
      </w:r>
      <w:r>
        <w:rPr>
          <w:rStyle w:val="CharDefText"/>
        </w:rPr>
        <w:t>debtor</w:t>
      </w:r>
      <w:r>
        <w:t xml:space="preserve"> means — </w:t>
      </w:r>
    </w:p>
    <w:p>
      <w:pPr>
        <w:pStyle w:val="Defpara"/>
      </w:pPr>
      <w:r>
        <w:tab/>
        <w:t>(a)</w:t>
      </w:r>
      <w:r>
        <w:tab/>
        <w:t>in relation to a credit contract, the person to whom credit is provided under the contract; or</w:t>
      </w:r>
    </w:p>
    <w:p>
      <w:pPr>
        <w:pStyle w:val="Defpara"/>
      </w:pPr>
      <w:r>
        <w:tab/>
        <w:t>(b)</w:t>
      </w:r>
      <w:r>
        <w:tab/>
        <w:t>in relation to a proposed credit contract, the person to whom credit is to be provided under the contract;</w:t>
      </w:r>
    </w:p>
    <w:p>
      <w:pPr>
        <w:pStyle w:val="Defstart"/>
      </w:pPr>
      <w:r>
        <w:rPr>
          <w:b/>
        </w:rPr>
        <w:tab/>
      </w:r>
      <w:r>
        <w:rPr>
          <w:rStyle w:val="CharDefText"/>
        </w:rPr>
        <w:t>default charge</w:t>
      </w:r>
      <w:r>
        <w:t xml:space="preserve"> means — </w:t>
      </w:r>
    </w:p>
    <w:p>
      <w:pPr>
        <w:pStyle w:val="Defpara"/>
      </w:pPr>
      <w:r>
        <w:tab/>
        <w:t>(a)</w:t>
      </w:r>
      <w:r>
        <w:tab/>
        <w:t>in relation to a regulated credit sale contract or a regulated loan contract, a charge made by a credit, provider in accordance with section 72; or</w:t>
      </w:r>
    </w:p>
    <w:p>
      <w:pPr>
        <w:pStyle w:val="Defpara"/>
      </w:pPr>
      <w:r>
        <w:tab/>
        <w:t>(b)</w:t>
      </w:r>
      <w:r>
        <w:tab/>
        <w:t>in relation to any other credit contract, an amount payable under the contract by the debtor by reason of his failure to fulfil his obligations under the contract, other than an amount payable under the contract otherwise than by reason of that failure;</w:t>
      </w:r>
    </w:p>
    <w:p>
      <w:pPr>
        <w:pStyle w:val="Defstart"/>
        <w:keepNext/>
        <w:spacing w:before="52"/>
      </w:pPr>
      <w:r>
        <w:rPr>
          <w:b/>
        </w:rPr>
        <w:tab/>
      </w:r>
      <w:r>
        <w:rPr>
          <w:rStyle w:val="CharDefText"/>
        </w:rPr>
        <w:t>deferral charge</w:t>
      </w:r>
      <w:r>
        <w:t xml:space="preserve"> means — </w:t>
      </w:r>
    </w:p>
    <w:p>
      <w:pPr>
        <w:pStyle w:val="Defpara"/>
        <w:spacing w:before="52"/>
      </w:pPr>
      <w:r>
        <w:tab/>
        <w:t>(a)</w:t>
      </w:r>
      <w:r>
        <w:tab/>
        <w:t>in relation to a regulated credit sale contract or a regulated loan contract, a charge made by a credit provider in respect of the deferral of the payment of an amount in accordance with section 71; or</w:t>
      </w:r>
    </w:p>
    <w:p>
      <w:pPr>
        <w:pStyle w:val="Defpara"/>
        <w:spacing w:before="52"/>
      </w:pPr>
      <w:r>
        <w:tab/>
        <w:t>(b)</w:t>
      </w:r>
      <w:r>
        <w:tab/>
        <w:t>in relation to any other credit sale contract or loan contract, a charge made by a credit provider in respect of the deferral of the payment of an amount payable under the contract by the debtor;</w:t>
      </w:r>
    </w:p>
    <w:p>
      <w:pPr>
        <w:pStyle w:val="Defstart"/>
      </w:pPr>
      <w:r>
        <w:tab/>
      </w:r>
      <w:r>
        <w:rPr>
          <w:rStyle w:val="CharDefText"/>
        </w:rPr>
        <w:t>Department</w:t>
      </w:r>
      <w:r>
        <w:t xml:space="preserve"> has the meaning given by section 4 of the </w:t>
      </w:r>
      <w:r>
        <w:rPr>
          <w:i/>
        </w:rPr>
        <w:t>Credit (Administration) Act 1984</w:t>
      </w:r>
      <w:r>
        <w:t>;</w:t>
      </w:r>
    </w:p>
    <w:p>
      <w:pPr>
        <w:pStyle w:val="Defstart"/>
        <w:spacing w:before="52"/>
      </w:pPr>
      <w:r>
        <w:rPr>
          <w:b/>
        </w:rPr>
        <w:tab/>
      </w:r>
      <w:r>
        <w:rPr>
          <w:rStyle w:val="CharDefText"/>
        </w:rPr>
        <w:t>deposit</w:t>
      </w:r>
      <w:r>
        <w:t xml:space="preserve"> means — </w:t>
      </w:r>
    </w:p>
    <w:p>
      <w:pPr>
        <w:pStyle w:val="Defpara"/>
        <w:spacing w:before="52"/>
      </w:pPr>
      <w:r>
        <w:tab/>
        <w:t>(a)</w:t>
      </w:r>
      <w:r>
        <w:tab/>
        <w:t>in relation to a credit sale contract relating to goods — an amount that, under the contract, was paid or payable by the buyer to the supplier on or before the delivery of the goods or, where the delivery is not completed on one day, on or before the commencement of the delivery; or</w:t>
      </w:r>
    </w:p>
    <w:p>
      <w:pPr>
        <w:pStyle w:val="Defpara"/>
        <w:spacing w:before="52"/>
      </w:pPr>
      <w:r>
        <w:tab/>
        <w:t>(b)</w:t>
      </w:r>
      <w:r>
        <w:tab/>
        <w:t>in relation to a credit sale contract relating to services — an amount that, under the contract, was paid or payable by the buyer to the supplier on or before the commencement of the supply of the services; or</w:t>
      </w:r>
    </w:p>
    <w:p>
      <w:pPr>
        <w:pStyle w:val="Defpara"/>
        <w:spacing w:before="52"/>
      </w:pPr>
      <w:r>
        <w:tab/>
        <w:t>(c)</w:t>
      </w:r>
      <w:r>
        <w:tab/>
        <w:t>in relation to a credit sale contract relating to goods and services — an amount that, under the contract, was paid or payable by the buyer to the supplier on or before the commencement of the delivery or supply of the goods and services,</w:t>
      </w:r>
    </w:p>
    <w:p>
      <w:pPr>
        <w:pStyle w:val="Defstart"/>
        <w:spacing w:before="52"/>
      </w:pPr>
      <w:r>
        <w:tab/>
        <w:t>and, where there is a trade</w:t>
      </w:r>
      <w:r>
        <w:noBreakHyphen/>
        <w:t>in allowance, includes the trade</w:t>
      </w:r>
      <w:r>
        <w:noBreakHyphen/>
        <w:t>in allowance;</w:t>
      </w:r>
    </w:p>
    <w:p>
      <w:pPr>
        <w:pStyle w:val="Defstart"/>
        <w:spacing w:before="52"/>
      </w:pPr>
      <w:r>
        <w:rPr>
          <w:b/>
        </w:rPr>
        <w:tab/>
      </w:r>
      <w:r>
        <w:rPr>
          <w:rStyle w:val="CharDefText"/>
        </w:rPr>
        <w:t>determination</w:t>
      </w:r>
      <w:r>
        <w:t>, in relation to a court or the Tribunal, includes order, direction, decision and declaration;</w:t>
      </w:r>
    </w:p>
    <w:p>
      <w:pPr>
        <w:pStyle w:val="Defstart"/>
        <w:spacing w:before="52"/>
      </w:pPr>
      <w:r>
        <w:rPr>
          <w:b/>
        </w:rPr>
        <w:tab/>
      </w:r>
      <w:r>
        <w:rPr>
          <w:rStyle w:val="CharDefText"/>
        </w:rPr>
        <w:t>discharge</w:t>
      </w:r>
      <w:r>
        <w:t>, in relation to a contract, means discharge of the contract, so far as it is executory, otherwise than by frustration;</w:t>
      </w:r>
    </w:p>
    <w:p>
      <w:pPr>
        <w:pStyle w:val="Defstart"/>
        <w:keepNext/>
      </w:pPr>
      <w:r>
        <w:rPr>
          <w:b/>
        </w:rPr>
        <w:tab/>
      </w:r>
      <w:r>
        <w:rPr>
          <w:rStyle w:val="CharDefText"/>
        </w:rPr>
        <w:t>enforcement expense</w:t>
      </w:r>
      <w:r>
        <w:t xml:space="preserve"> means — </w:t>
      </w:r>
    </w:p>
    <w:p>
      <w:pPr>
        <w:pStyle w:val="Defpara"/>
        <w:spacing w:before="60"/>
      </w:pPr>
      <w:r>
        <w:tab/>
        <w:t>(a)</w:t>
      </w:r>
      <w:r>
        <w:tab/>
        <w:t>in relation to a regulated contract — an amount that, subject to section 76, the debtor is liable to pay to the credit provider in relation to the exercise of a right under the contract arising from the default of the debtor; or</w:t>
      </w:r>
    </w:p>
    <w:p>
      <w:pPr>
        <w:pStyle w:val="Defpara"/>
        <w:spacing w:before="60"/>
      </w:pPr>
      <w:r>
        <w:tab/>
        <w:t>(b)</w:t>
      </w:r>
      <w:r>
        <w:tab/>
        <w:t>in relation to a regulated mortgage — an amount that, subject to section 93, the mortgagor is liable to pay to the mortgagee in relation to the exercise of a right under the mortgage arising from the default of the mortgagor; or</w:t>
      </w:r>
    </w:p>
    <w:p>
      <w:pPr>
        <w:pStyle w:val="Defpara"/>
        <w:spacing w:before="60"/>
      </w:pPr>
      <w:r>
        <w:tab/>
        <w:t>(c)</w:t>
      </w:r>
      <w:r>
        <w:tab/>
        <w:t>in relation to any other credit contract or mortgage —an amount expended or the amount of a liability incurred by the credit provider or mortgagee under the contract or mortgage to remedy a default of the debtor or mortgagor or in the exercise of rights of the credit provider or mortgagee under the contract or mortgage arising by reason of the default;</w:t>
      </w:r>
    </w:p>
    <w:p>
      <w:pPr>
        <w:pStyle w:val="Defstart"/>
        <w:spacing w:before="60"/>
      </w:pPr>
      <w:r>
        <w:rPr>
          <w:b/>
        </w:rPr>
        <w:tab/>
      </w:r>
      <w:r>
        <w:rPr>
          <w:rStyle w:val="CharDefText"/>
        </w:rPr>
        <w:t>estimated credit charge</w:t>
      </w:r>
      <w:r>
        <w:t>, in relation to a credit sale contract or a loan contract under which the whole or a part of the credit charge is a credit charge other than a pre</w:t>
      </w:r>
      <w:r>
        <w:noBreakHyphen/>
        <w:t>determined credit charge or a minimum credit charge, means the amount of that whole or part that, when the contract is made, is an amount that can be calculated — </w:t>
      </w:r>
    </w:p>
    <w:p>
      <w:pPr>
        <w:pStyle w:val="Defpara"/>
        <w:spacing w:before="60"/>
      </w:pPr>
      <w:r>
        <w:tab/>
        <w:t>(a)</w:t>
      </w:r>
      <w:r>
        <w:tab/>
        <w:t>on the assumption that all amounts payable under the contract are paid on the respective dates on which, under the contract, they are required to be paid; or</w:t>
      </w:r>
    </w:p>
    <w:p>
      <w:pPr>
        <w:pStyle w:val="Defpara"/>
        <w:spacing w:before="60"/>
      </w:pPr>
      <w:r>
        <w:tab/>
        <w:t>(b)</w:t>
      </w:r>
      <w:r>
        <w:tab/>
        <w:t>in accordance with an applicable method prescribed for the purposes of calculating estimated credit charges;</w:t>
      </w:r>
    </w:p>
    <w:p>
      <w:pPr>
        <w:pStyle w:val="Defstart"/>
        <w:spacing w:before="60"/>
      </w:pPr>
      <w:r>
        <w:rPr>
          <w:b/>
        </w:rPr>
        <w:tab/>
      </w:r>
      <w:r>
        <w:rPr>
          <w:rStyle w:val="CharDefText"/>
        </w:rPr>
        <w:t>exempt credit provider</w:t>
      </w:r>
      <w:r>
        <w:t xml:space="preserve"> has the same meaning as it has in the </w:t>
      </w:r>
      <w:r>
        <w:rPr>
          <w:i/>
        </w:rPr>
        <w:t>Credit (Administration) Act 1984</w:t>
      </w:r>
      <w:r>
        <w:t>;</w:t>
      </w:r>
    </w:p>
    <w:p>
      <w:pPr>
        <w:pStyle w:val="Defstart"/>
        <w:spacing w:before="60"/>
      </w:pPr>
      <w:r>
        <w:rPr>
          <w:b/>
        </w:rPr>
        <w:tab/>
      </w:r>
      <w:r>
        <w:rPr>
          <w:rStyle w:val="CharDefText"/>
        </w:rPr>
        <w:t>farm machinery</w:t>
      </w:r>
      <w:r>
        <w:t xml:space="preserve"> means — </w:t>
      </w:r>
    </w:p>
    <w:p>
      <w:pPr>
        <w:pStyle w:val="Defpara"/>
        <w:spacing w:before="60"/>
      </w:pPr>
      <w:r>
        <w:tab/>
        <w:t>(a)</w:t>
      </w:r>
      <w:r>
        <w:tab/>
        <w:t>a harvester, binder, tractor, plough or other agricultural implement; or</w:t>
      </w:r>
    </w:p>
    <w:p>
      <w:pPr>
        <w:pStyle w:val="Defpara"/>
      </w:pPr>
      <w:r>
        <w:tab/>
        <w:t>(b)</w:t>
      </w:r>
      <w:r>
        <w:tab/>
        <w:t>any other goods of a class commonly used for the purposes of a farming undertaking that are prescribed as being farm machinery for the purposes</w:t>
      </w:r>
      <w:bookmarkStart w:id="12" w:name="RuleErr_91"/>
      <w:r>
        <w:t xml:space="preserve"> of this Act</w:t>
      </w:r>
      <w:bookmarkEnd w:id="12"/>
      <w:r>
        <w:t>,</w:t>
      </w:r>
    </w:p>
    <w:p>
      <w:pPr>
        <w:pStyle w:val="Defstart"/>
      </w:pPr>
      <w:r>
        <w:tab/>
        <w:t>where the goods are acquired for the purposes of a farming undertaking;</w:t>
      </w:r>
    </w:p>
    <w:p>
      <w:pPr>
        <w:pStyle w:val="Defstart"/>
      </w:pPr>
      <w:r>
        <w:rPr>
          <w:b/>
        </w:rPr>
        <w:tab/>
      </w:r>
      <w:r>
        <w:rPr>
          <w:rStyle w:val="CharDefText"/>
        </w:rPr>
        <w:t>farming undertaking</w:t>
      </w:r>
      <w:r>
        <w:t xml:space="preserve"> includes — </w:t>
      </w:r>
    </w:p>
    <w:p>
      <w:pPr>
        <w:pStyle w:val="Defpara"/>
      </w:pPr>
      <w:r>
        <w:tab/>
        <w:t>(a)</w:t>
      </w:r>
      <w:r>
        <w:tab/>
        <w:t>any agricultural, agricultural, dairy farming, horticultural, orcharding, pastoral, poultry keeping, viticultural or other business involving the cultivation of the soil, the gathering of crops or the rearing of livestock; and</w:t>
      </w:r>
    </w:p>
    <w:p>
      <w:pPr>
        <w:pStyle w:val="Defpara"/>
      </w:pPr>
      <w:r>
        <w:tab/>
        <w:t>(b)</w:t>
      </w:r>
      <w:r>
        <w:tab/>
        <w:t>the business of taking fish, crustacea, oysters or any other marine, estuarine or fresh</w:t>
      </w:r>
      <w:r>
        <w:noBreakHyphen/>
        <w:t>water animal life; and</w:t>
      </w:r>
    </w:p>
    <w:p>
      <w:pPr>
        <w:pStyle w:val="Defpara"/>
      </w:pPr>
      <w:r>
        <w:tab/>
        <w:t>(c)</w:t>
      </w:r>
      <w:r>
        <w:tab/>
        <w:t>the cutting of timber for sale; and</w:t>
      </w:r>
    </w:p>
    <w:p>
      <w:pPr>
        <w:pStyle w:val="Defpara"/>
      </w:pPr>
      <w:r>
        <w:tab/>
        <w:t>(d)</w:t>
      </w:r>
      <w:r>
        <w:tab/>
        <w:t>any class of business prescribed as a farming undertaking;</w:t>
      </w:r>
    </w:p>
    <w:p>
      <w:pPr>
        <w:pStyle w:val="Defstart"/>
      </w:pPr>
      <w:r>
        <w:rPr>
          <w:b/>
        </w:rPr>
        <w:tab/>
      </w:r>
      <w:r>
        <w:rPr>
          <w:rStyle w:val="CharDefText"/>
        </w:rPr>
        <w:t>goods</w:t>
      </w:r>
      <w:r>
        <w:t xml:space="preserve"> includes — </w:t>
      </w:r>
    </w:p>
    <w:p>
      <w:pPr>
        <w:pStyle w:val="Defpara"/>
      </w:pPr>
      <w:r>
        <w:tab/>
        <w:t>(a)</w:t>
      </w:r>
      <w:r>
        <w:tab/>
        <w:t>all chattels personal other than things in action and money; and</w:t>
      </w:r>
    </w:p>
    <w:p>
      <w:pPr>
        <w:pStyle w:val="Defpara"/>
      </w:pPr>
      <w:r>
        <w:tab/>
        <w:t>(b)</w:t>
      </w:r>
      <w:r>
        <w:tab/>
        <w:t>fixtures severable from the realty; and</w:t>
      </w:r>
    </w:p>
    <w:p>
      <w:pPr>
        <w:pStyle w:val="Defpara"/>
      </w:pPr>
      <w:r>
        <w:tab/>
        <w:t>(c)</w:t>
      </w:r>
      <w:r>
        <w:tab/>
        <w:t>any present or future product of a farming undertaking, including any agricultural or horticultural produce, wool and the increase or progeny of stock,</w:t>
      </w:r>
    </w:p>
    <w:p>
      <w:pPr>
        <w:pStyle w:val="Defstart"/>
      </w:pPr>
      <w:r>
        <w:tab/>
        <w:t>but does not include any goods of a class or description prescribed as being goods that are not goods within the meaning</w:t>
      </w:r>
      <w:bookmarkStart w:id="13" w:name="RuleErr_92"/>
      <w:r>
        <w:t xml:space="preserve"> of this Act</w:t>
      </w:r>
      <w:bookmarkEnd w:id="13"/>
      <w:r>
        <w:t>;</w:t>
      </w:r>
    </w:p>
    <w:p>
      <w:pPr>
        <w:pStyle w:val="Defstart"/>
      </w:pPr>
      <w:r>
        <w:rPr>
          <w:b/>
        </w:rPr>
        <w:tab/>
      </w:r>
      <w:r>
        <w:rPr>
          <w:rStyle w:val="CharDefText"/>
        </w:rPr>
        <w:t>guarantee</w:t>
      </w:r>
      <w:r>
        <w:t xml:space="preserve"> includes indemnity;</w:t>
      </w:r>
    </w:p>
    <w:p>
      <w:pPr>
        <w:pStyle w:val="Defstart"/>
      </w:pPr>
      <w:r>
        <w:rPr>
          <w:b/>
        </w:rPr>
        <w:tab/>
      </w:r>
      <w:r>
        <w:rPr>
          <w:rStyle w:val="CharDefText"/>
        </w:rPr>
        <w:t>guarantor</w:t>
      </w:r>
      <w:r>
        <w:t xml:space="preserve"> means a person who enters into a contract of guarantee in respect of the performance by a debtor or mortgagor of his obligations under a credit contract or mortgage or a person who enters into a contract of indemnity in relation to a credit contract or mortgage but does not include a body corporate or — </w:t>
      </w:r>
    </w:p>
    <w:p>
      <w:pPr>
        <w:pStyle w:val="Defpara"/>
        <w:spacing w:before="70"/>
      </w:pPr>
      <w:r>
        <w:tab/>
        <w:t>(a)</w:t>
      </w:r>
      <w:r>
        <w:tab/>
        <w:t xml:space="preserve">a person who is the supplier, or spouse or de facto partner of the supplier, of goods or services to which the contract or mortgage, relates or, where the supplier is a body corporate, any other corporation that is a related body corporate of the supplier for the purposes of the </w:t>
      </w:r>
      <w:r>
        <w:rPr>
          <w:i/>
        </w:rPr>
        <w:t>Corporations Act 2001</w:t>
      </w:r>
      <w:r>
        <w:t xml:space="preserve"> of the Commonwealth or a person who is a director or officer of the body corporate or of such a related corporation or who is the spouse or de facto partner of such a director or officer; or</w:t>
      </w:r>
    </w:p>
    <w:p>
      <w:pPr>
        <w:pStyle w:val="Defpara"/>
        <w:spacing w:before="70"/>
      </w:pPr>
      <w:r>
        <w:tab/>
        <w:t>(b)</w:t>
      </w:r>
      <w:r>
        <w:tab/>
        <w:t>a person who enters into a contract of guarantee or a contract of indemnity — </w:t>
      </w:r>
    </w:p>
    <w:p>
      <w:pPr>
        <w:pStyle w:val="Defsubpara"/>
        <w:spacing w:before="70"/>
        <w:rPr>
          <w:snapToGrid w:val="0"/>
        </w:rPr>
      </w:pPr>
      <w:r>
        <w:rPr>
          <w:snapToGrid w:val="0"/>
        </w:rPr>
        <w:tab/>
        <w:t>(i)</w:t>
      </w:r>
      <w:r>
        <w:rPr>
          <w:snapToGrid w:val="0"/>
        </w:rPr>
        <w:tab/>
        <w:t>in respect of the obligations under a credit contract of a person who deals in goods or services of the kind to which the contract relates; or</w:t>
      </w:r>
    </w:p>
    <w:p>
      <w:pPr>
        <w:pStyle w:val="Defsubpara"/>
        <w:spacing w:before="70"/>
        <w:rPr>
          <w:snapToGrid w:val="0"/>
        </w:rPr>
      </w:pPr>
      <w:r>
        <w:rPr>
          <w:snapToGrid w:val="0"/>
        </w:rPr>
        <w:tab/>
        <w:t>(ii)</w:t>
      </w:r>
      <w:r>
        <w:rPr>
          <w:snapToGrid w:val="0"/>
        </w:rPr>
        <w:tab/>
        <w:t>in respect of the obligations of a debtor under a loan contract made for the purposes of the acquisition of goods of a kind in which the debtor deals;</w:t>
      </w:r>
    </w:p>
    <w:p>
      <w:pPr>
        <w:pStyle w:val="Defstart"/>
        <w:spacing w:before="70"/>
      </w:pPr>
      <w:r>
        <w:rPr>
          <w:b/>
        </w:rPr>
        <w:tab/>
      </w:r>
      <w:r>
        <w:rPr>
          <w:rStyle w:val="CharDefText"/>
        </w:rPr>
        <w:t>instalment</w:t>
      </w:r>
      <w:r>
        <w:t xml:space="preserve"> does not include a deposit;</w:t>
      </w:r>
    </w:p>
    <w:p>
      <w:pPr>
        <w:pStyle w:val="Defstart"/>
        <w:spacing w:before="70"/>
      </w:pPr>
      <w:r>
        <w:rPr>
          <w:b/>
        </w:rPr>
        <w:tab/>
      </w:r>
      <w:r>
        <w:rPr>
          <w:rStyle w:val="CharDefText"/>
        </w:rPr>
        <w:t>judgment</w:t>
      </w:r>
      <w:r>
        <w:t xml:space="preserve"> includes order;</w:t>
      </w:r>
    </w:p>
    <w:p>
      <w:pPr>
        <w:pStyle w:val="Defstart"/>
        <w:spacing w:before="70"/>
      </w:pPr>
      <w:r>
        <w:rPr>
          <w:b/>
        </w:rPr>
        <w:tab/>
      </w:r>
      <w:r>
        <w:rPr>
          <w:rStyle w:val="CharDefText"/>
        </w:rPr>
        <w:t>land</w:t>
      </w:r>
      <w:r>
        <w:t xml:space="preserve"> has the same meaning as it has in the </w:t>
      </w:r>
      <w:r>
        <w:rPr>
          <w:i/>
        </w:rPr>
        <w:t>Transfer of Land Act 1893</w:t>
      </w:r>
      <w:r>
        <w:t>;</w:t>
      </w:r>
    </w:p>
    <w:p>
      <w:pPr>
        <w:pStyle w:val="Defstart"/>
      </w:pPr>
      <w:r>
        <w:rPr>
          <w:b/>
          <w:bCs/>
          <w:i/>
          <w:iCs/>
        </w:rPr>
        <w:tab/>
      </w:r>
      <w:r>
        <w:rPr>
          <w:rStyle w:val="CharDefText"/>
        </w:rPr>
        <w:t>licensed credit provider</w:t>
      </w:r>
      <w:r>
        <w:t xml:space="preserve"> means the holder of an Australian credit licence for the time being in force under the </w:t>
      </w:r>
      <w:r>
        <w:rPr>
          <w:i/>
          <w:iCs/>
        </w:rPr>
        <w:t>National Consumer Credit Protection Act 200</w:t>
      </w:r>
      <w:bookmarkStart w:id="14" w:name="RuleErr_1"/>
      <w:r>
        <w:rPr>
          <w:i/>
          <w:iCs/>
        </w:rPr>
        <w:t xml:space="preserve">9 </w:t>
      </w:r>
      <w:r>
        <w:t>(</w:t>
      </w:r>
      <w:bookmarkEnd w:id="14"/>
      <w:r>
        <w:t>Commonwealth);</w:t>
      </w:r>
    </w:p>
    <w:p>
      <w:pPr>
        <w:pStyle w:val="Defstart"/>
        <w:spacing w:before="70"/>
      </w:pPr>
      <w:r>
        <w:rPr>
          <w:b/>
        </w:rPr>
        <w:tab/>
      </w:r>
      <w:r>
        <w:rPr>
          <w:rStyle w:val="CharDefText"/>
        </w:rPr>
        <w:t>linked credit provider</w:t>
      </w:r>
      <w:r>
        <w:t>, in relation to a supplier, means a credit provider — </w:t>
      </w:r>
    </w:p>
    <w:p>
      <w:pPr>
        <w:pStyle w:val="Defpara"/>
        <w:spacing w:before="70"/>
      </w:pPr>
      <w:r>
        <w:tab/>
        <w:t>(a)</w:t>
      </w:r>
      <w:r>
        <w:tab/>
        <w:t>with whom the supplier has a trade or tie agreement; or</w:t>
      </w:r>
    </w:p>
    <w:p>
      <w:pPr>
        <w:pStyle w:val="Defpara"/>
        <w:spacing w:before="70"/>
      </w:pPr>
      <w:r>
        <w:tab/>
        <w:t>(b)</w:t>
      </w:r>
      <w:r>
        <w:tab/>
        <w:t>to whom the supplier, by arrangement with the credit provider, regularly refers persons for the purpose of obtaining credit; or</w:t>
      </w:r>
    </w:p>
    <w:p>
      <w:pPr>
        <w:pStyle w:val="Defpara"/>
      </w:pPr>
      <w:r>
        <w:tab/>
        <w:t>(c)</w:t>
      </w:r>
      <w:r>
        <w:tab/>
        <w:t>whose forms of contract or forms of application or offers for credit are, by arrangement with the credit provider, made available to persons by the supplier; or</w:t>
      </w:r>
    </w:p>
    <w:p>
      <w:pPr>
        <w:pStyle w:val="Defpara"/>
        <w:spacing w:before="60"/>
      </w:pPr>
      <w:r>
        <w:tab/>
        <w:t>(d)</w:t>
      </w:r>
      <w:r>
        <w:tab/>
        <w:t>with whom the supplier has an agreement or arrangement, whether formal or informal, under which contracts or applications or offers for credit from the credit provider may be signed by persons at the premises of the supplier;</w:t>
      </w:r>
    </w:p>
    <w:p>
      <w:pPr>
        <w:pStyle w:val="Defstart"/>
        <w:spacing w:before="60"/>
      </w:pPr>
      <w:r>
        <w:rPr>
          <w:b/>
        </w:rPr>
        <w:tab/>
      </w:r>
      <w:r>
        <w:rPr>
          <w:rStyle w:val="CharDefText"/>
        </w:rPr>
        <w:t>loan contract</w:t>
      </w:r>
      <w:r>
        <w:t>, subject to section 15, means a contract under which a person in the course of a business carried on by him provides or agrees to provide, whether on one or more occasions, credit to another person, not being a body corporate, in one or more of the following ways — </w:t>
      </w:r>
    </w:p>
    <w:p>
      <w:pPr>
        <w:pStyle w:val="Defpara"/>
        <w:spacing w:before="60"/>
      </w:pPr>
      <w:r>
        <w:tab/>
        <w:t>(a)</w:t>
      </w:r>
      <w:r>
        <w:tab/>
        <w:t>by paying an amount to or in accordance with the instructions of that other person;</w:t>
      </w:r>
    </w:p>
    <w:p>
      <w:pPr>
        <w:pStyle w:val="Defpara"/>
        <w:spacing w:before="60"/>
      </w:pPr>
      <w:r>
        <w:tab/>
        <w:t>(b)</w:t>
      </w:r>
      <w:r>
        <w:tab/>
        <w:t>by applying an amount in satisfaction or reduction of an amount owed to him by that other person;</w:t>
      </w:r>
    </w:p>
    <w:p>
      <w:pPr>
        <w:pStyle w:val="Defpara"/>
        <w:spacing w:before="60"/>
      </w:pPr>
      <w:r>
        <w:tab/>
        <w:t>(c)</w:t>
      </w:r>
      <w:r>
        <w:tab/>
        <w:t>by varying the terms of a contract under which moneys owed to him by that other person are payable;</w:t>
      </w:r>
    </w:p>
    <w:p>
      <w:pPr>
        <w:pStyle w:val="Defpara"/>
        <w:spacing w:before="60"/>
      </w:pPr>
      <w:r>
        <w:tab/>
        <w:t>(d)</w:t>
      </w:r>
      <w:r>
        <w:tab/>
        <w:t>by deferring an obligation of that other person to pay an amount to him;</w:t>
      </w:r>
    </w:p>
    <w:p>
      <w:pPr>
        <w:pStyle w:val="Defpara"/>
        <w:spacing w:before="60"/>
      </w:pPr>
      <w:r>
        <w:tab/>
        <w:t>(e)</w:t>
      </w:r>
      <w:r>
        <w:tab/>
        <w:t>by taking from that other person a bill of exchange or other negotiable instrument on which that other person (whether alone or with another person or other persons) is liable as drawer, acceptor or endorser,</w:t>
      </w:r>
    </w:p>
    <w:p>
      <w:pPr>
        <w:pStyle w:val="Defstart"/>
        <w:spacing w:before="70"/>
      </w:pPr>
      <w:r>
        <w:tab/>
        <w:t>but does not include any contract of a class or description of contracts prescribed as being loan contracts that are not loan contracts within the meaning</w:t>
      </w:r>
      <w:bookmarkStart w:id="15" w:name="RuleErr_93"/>
      <w:r>
        <w:t xml:space="preserve"> of this Act</w:t>
      </w:r>
      <w:bookmarkEnd w:id="15"/>
      <w:r>
        <w:t>;</w:t>
      </w:r>
    </w:p>
    <w:p>
      <w:pPr>
        <w:pStyle w:val="Defstart"/>
        <w:spacing w:before="70"/>
      </w:pPr>
      <w:r>
        <w:rPr>
          <w:b/>
        </w:rPr>
        <w:tab/>
      </w:r>
      <w:r>
        <w:rPr>
          <w:rStyle w:val="CharDefText"/>
        </w:rPr>
        <w:t>minimum credit charge</w:t>
      </w:r>
      <w:r>
        <w:t>, in relation to a credit sale contract or a loan contract, means the amount (if any) that, under the contract, is the minimum amount payable to the credit provider by the debtor under the contract as a credit charge;</w:t>
      </w:r>
    </w:p>
    <w:p>
      <w:pPr>
        <w:pStyle w:val="Defstart"/>
        <w:spacing w:before="70"/>
      </w:pPr>
      <w:r>
        <w:rPr>
          <w:b/>
        </w:rPr>
        <w:tab/>
      </w:r>
      <w:r>
        <w:rPr>
          <w:rStyle w:val="CharDefText"/>
        </w:rPr>
        <w:t>mortgage</w:t>
      </w:r>
      <w:r>
        <w:t xml:space="preserve"> means an instrument or transaction by or under which a security interest is reserved or created or otherwise arises;</w:t>
      </w:r>
    </w:p>
    <w:p>
      <w:pPr>
        <w:pStyle w:val="Defstart"/>
        <w:spacing w:before="70"/>
      </w:pPr>
      <w:r>
        <w:rPr>
          <w:b/>
        </w:rPr>
        <w:tab/>
      </w:r>
      <w:r>
        <w:rPr>
          <w:rStyle w:val="CharDefText"/>
        </w:rPr>
        <w:t>officer</w:t>
      </w:r>
      <w:r>
        <w:t>, in relation to a body corporate, includes a person who is an officer of the body corporate for the purposes of the</w:t>
      </w:r>
      <w:r>
        <w:rPr>
          <w:i/>
        </w:rPr>
        <w:t xml:space="preserve"> Corporations Act 2001</w:t>
      </w:r>
      <w:r>
        <w:t xml:space="preserve"> of the Commonwealth;</w:t>
      </w:r>
    </w:p>
    <w:p>
      <w:pPr>
        <w:pStyle w:val="Defstart"/>
        <w:spacing w:before="70"/>
      </w:pPr>
      <w:r>
        <w:rPr>
          <w:b/>
        </w:rPr>
        <w:tab/>
      </w:r>
      <w:r>
        <w:rPr>
          <w:rStyle w:val="CharDefText"/>
        </w:rPr>
        <w:t>pastoral finance company</w:t>
      </w:r>
      <w:r>
        <w:t xml:space="preserve"> means a person carrying on a business of financing pastoral pursuits or a business of stock or station agents to whom an order in force under section 11 of the </w:t>
      </w:r>
      <w:r>
        <w:rPr>
          <w:i/>
        </w:rPr>
        <w:t>Banking Act 1959</w:t>
      </w:r>
      <w:r>
        <w:t xml:space="preserve"> of the Commonwealth as amended and in force for the time being applies;</w:t>
      </w:r>
    </w:p>
    <w:p>
      <w:pPr>
        <w:pStyle w:val="Defstart"/>
        <w:spacing w:before="70"/>
      </w:pPr>
      <w:r>
        <w:rPr>
          <w:b/>
        </w:rPr>
        <w:tab/>
      </w:r>
      <w:r>
        <w:rPr>
          <w:rStyle w:val="CharDefText"/>
        </w:rPr>
        <w:t>pre</w:t>
      </w:r>
      <w:r>
        <w:rPr>
          <w:rStyle w:val="CharDefText"/>
        </w:rPr>
        <w:noBreakHyphen/>
        <w:t>determined credit charge</w:t>
      </w:r>
      <w:r>
        <w:t>, in relation to a credit contract that specifies a fixed amount as the whole or part of the credit charge (not being a minimum credit charge), means that fixed amount;</w:t>
      </w:r>
    </w:p>
    <w:p>
      <w:pPr>
        <w:pStyle w:val="Defstart"/>
        <w:spacing w:before="70"/>
      </w:pPr>
      <w:r>
        <w:rPr>
          <w:b/>
        </w:rPr>
        <w:tab/>
      </w:r>
      <w:r>
        <w:rPr>
          <w:rStyle w:val="CharDefText"/>
        </w:rPr>
        <w:t>property</w:t>
      </w:r>
      <w:r>
        <w:t xml:space="preserve"> includes any thing in action and any interest in real or personal property;</w:t>
      </w:r>
    </w:p>
    <w:p>
      <w:pPr>
        <w:pStyle w:val="Defstart"/>
        <w:spacing w:before="70"/>
      </w:pPr>
      <w:r>
        <w:rPr>
          <w:b/>
        </w:rPr>
        <w:tab/>
      </w:r>
      <w:r>
        <w:rPr>
          <w:rStyle w:val="CharDefText"/>
        </w:rPr>
        <w:t>recognised State</w:t>
      </w:r>
      <w:r>
        <w:t xml:space="preserve"> means a State or Territory in respect of which a declaration referred to in section 17 is in force;</w:t>
      </w:r>
    </w:p>
    <w:p>
      <w:pPr>
        <w:pStyle w:val="Defstart"/>
        <w:spacing w:before="70"/>
      </w:pPr>
      <w:r>
        <w:rPr>
          <w:b/>
        </w:rPr>
        <w:tab/>
      </w:r>
      <w:r>
        <w:rPr>
          <w:rStyle w:val="CharDefText"/>
        </w:rPr>
        <w:t>record</w:t>
      </w:r>
      <w:r>
        <w:t xml:space="preserve"> includes any book, account, document, paper or other source of information compiled, recorded or stored in written form, or on microfilm, or by electronic process, or in any other manner or by any other means;</w:t>
      </w:r>
    </w:p>
    <w:p>
      <w:pPr>
        <w:pStyle w:val="Defstart"/>
        <w:spacing w:before="70"/>
      </w:pPr>
      <w:r>
        <w:rPr>
          <w:b/>
        </w:rPr>
        <w:tab/>
      </w:r>
      <w:r>
        <w:rPr>
          <w:rStyle w:val="CharDefText"/>
        </w:rPr>
        <w:t>registration fees</w:t>
      </w:r>
      <w:r>
        <w:t>, in relation to goods, means an amount payable under the law of a State or Territory in connection with the registration or use of the goods including any amount payable for compulsory insurance;</w:t>
      </w:r>
    </w:p>
    <w:p>
      <w:pPr>
        <w:pStyle w:val="Defstart"/>
      </w:pPr>
      <w:r>
        <w:rPr>
          <w:b/>
        </w:rPr>
        <w:tab/>
      </w:r>
      <w:r>
        <w:rPr>
          <w:rStyle w:val="CharDefText"/>
        </w:rPr>
        <w:t>regulated continuing credit contract</w:t>
      </w:r>
      <w:r>
        <w:t xml:space="preserve"> means a continuing credit contract to which Part III applies;</w:t>
      </w:r>
    </w:p>
    <w:p>
      <w:pPr>
        <w:pStyle w:val="Defstart"/>
      </w:pPr>
      <w:r>
        <w:rPr>
          <w:b/>
        </w:rPr>
        <w:tab/>
      </w:r>
      <w:r>
        <w:rPr>
          <w:rStyle w:val="CharDefText"/>
        </w:rPr>
        <w:t>regulated contract</w:t>
      </w:r>
      <w:r>
        <w:t xml:space="preserve"> means a regulated credit sale contract, regulated loan contract or regulated continuing credit contract;</w:t>
      </w:r>
    </w:p>
    <w:p>
      <w:pPr>
        <w:pStyle w:val="Defstart"/>
      </w:pPr>
      <w:r>
        <w:rPr>
          <w:b/>
        </w:rPr>
        <w:tab/>
      </w:r>
      <w:r>
        <w:rPr>
          <w:rStyle w:val="CharDefText"/>
        </w:rPr>
        <w:t>regulated credit sale contract</w:t>
      </w:r>
      <w:r>
        <w:t xml:space="preserve"> means a credit sale contract to which Part III applies;</w:t>
      </w:r>
    </w:p>
    <w:p>
      <w:pPr>
        <w:pStyle w:val="Defstart"/>
      </w:pPr>
      <w:r>
        <w:rPr>
          <w:b/>
        </w:rPr>
        <w:tab/>
      </w:r>
      <w:r>
        <w:rPr>
          <w:rStyle w:val="CharDefText"/>
        </w:rPr>
        <w:t>regulated loan contract</w:t>
      </w:r>
      <w:r>
        <w:t xml:space="preserve"> means a loan contract to which Part III applies;</w:t>
      </w:r>
    </w:p>
    <w:p>
      <w:pPr>
        <w:pStyle w:val="Defstart"/>
      </w:pPr>
      <w:r>
        <w:rPr>
          <w:b/>
        </w:rPr>
        <w:tab/>
      </w:r>
      <w:r>
        <w:rPr>
          <w:rStyle w:val="CharDefText"/>
        </w:rPr>
        <w:t>regulated mortgage</w:t>
      </w:r>
      <w:r>
        <w:t xml:space="preserve"> means a mortgage to which Part IV applies;</w:t>
      </w:r>
    </w:p>
    <w:p>
      <w:pPr>
        <w:pStyle w:val="Defstart"/>
      </w:pPr>
      <w:r>
        <w:rPr>
          <w:b/>
        </w:rPr>
        <w:tab/>
      </w:r>
      <w:r>
        <w:rPr>
          <w:rStyle w:val="CharDefText"/>
        </w:rPr>
        <w:t>rescission</w:t>
      </w:r>
      <w:r>
        <w:t>, in relation to a contract, means avoidance of the contract as from its beginning;</w:t>
      </w:r>
    </w:p>
    <w:p>
      <w:pPr>
        <w:pStyle w:val="Defstart"/>
      </w:pPr>
      <w:r>
        <w:rPr>
          <w:b/>
        </w:rPr>
        <w:tab/>
      </w:r>
      <w:r>
        <w:rPr>
          <w:rStyle w:val="CharDefText"/>
        </w:rPr>
        <w:t>security interest</w:t>
      </w:r>
      <w:r>
        <w:t xml:space="preserve"> means an interest or power — </w:t>
      </w:r>
    </w:p>
    <w:p>
      <w:pPr>
        <w:pStyle w:val="Defpara"/>
      </w:pPr>
      <w:r>
        <w:tab/>
        <w:t>(a)</w:t>
      </w:r>
      <w:r>
        <w:tab/>
        <w:t>reserved in or over an interest in goods or other property; or</w:t>
      </w:r>
    </w:p>
    <w:p>
      <w:pPr>
        <w:pStyle w:val="Defpara"/>
      </w:pPr>
      <w:r>
        <w:tab/>
        <w:t>(b)</w:t>
      </w:r>
      <w:r>
        <w:tab/>
        <w:t>created or otherwise arising in or over an interest in goods or other property under a bill of sale, mortgage, charge, lien, pledge, trust or power,</w:t>
      </w:r>
    </w:p>
    <w:p>
      <w:pPr>
        <w:pStyle w:val="Defstart"/>
      </w:pPr>
      <w:r>
        <w:tab/>
        <w:t>by way of security for the payment of a debt or other pecuniary obligation or the performance of any other obligation but does not include an interest or a power reserved, created or otherwise arising under a contract for the hiring of goods that is not by section 13 deemed to be a credit sale contract;</w:t>
      </w:r>
    </w:p>
    <w:p>
      <w:pPr>
        <w:pStyle w:val="Defstart"/>
      </w:pPr>
      <w:r>
        <w:rPr>
          <w:b/>
        </w:rPr>
        <w:tab/>
      </w:r>
      <w:r>
        <w:rPr>
          <w:rStyle w:val="CharDefText"/>
        </w:rPr>
        <w:t>services</w:t>
      </w:r>
      <w:r>
        <w:t xml:space="preserve"> includes the rights and benefits that are, or are to be, supplied under — </w:t>
      </w:r>
    </w:p>
    <w:p>
      <w:pPr>
        <w:pStyle w:val="Defpara"/>
      </w:pPr>
      <w:r>
        <w:tab/>
        <w:t>(a)</w:t>
      </w:r>
      <w:r>
        <w:tab/>
        <w:t>a contract for or involving — </w:t>
      </w:r>
    </w:p>
    <w:p>
      <w:pPr>
        <w:pStyle w:val="Defsubpara"/>
        <w:rPr>
          <w:snapToGrid w:val="0"/>
        </w:rPr>
      </w:pPr>
      <w:r>
        <w:rPr>
          <w:snapToGrid w:val="0"/>
        </w:rPr>
        <w:tab/>
        <w:t>(i)</w:t>
      </w:r>
      <w:r>
        <w:rPr>
          <w:snapToGrid w:val="0"/>
        </w:rPr>
        <w:tab/>
        <w:t>the performance of work (including work of a professional nature); or</w:t>
      </w:r>
    </w:p>
    <w:p>
      <w:pPr>
        <w:pStyle w:val="Defsubpara"/>
        <w:rPr>
          <w:snapToGrid w:val="0"/>
        </w:rPr>
      </w:pPr>
      <w:r>
        <w:rPr>
          <w:snapToGrid w:val="0"/>
        </w:rPr>
        <w:tab/>
        <w:t>(ii)</w:t>
      </w:r>
      <w:r>
        <w:rPr>
          <w:snapToGrid w:val="0"/>
        </w:rPr>
        <w:tab/>
        <w:t>the provision of, or the use or enjoyment of, facilities for amusement, entertainment, recreation or instruction;</w:t>
      </w:r>
    </w:p>
    <w:p>
      <w:pPr>
        <w:pStyle w:val="Defpara"/>
      </w:pPr>
      <w:r>
        <w:tab/>
      </w:r>
      <w:r>
        <w:tab/>
        <w:t>or</w:t>
      </w:r>
    </w:p>
    <w:p>
      <w:pPr>
        <w:pStyle w:val="Defpara"/>
      </w:pPr>
      <w:r>
        <w:tab/>
        <w:t>(b)</w:t>
      </w:r>
      <w:r>
        <w:tab/>
        <w:t>a contract of insurance (including life assurance); or</w:t>
      </w:r>
    </w:p>
    <w:p>
      <w:pPr>
        <w:pStyle w:val="Defpara"/>
      </w:pPr>
      <w:r>
        <w:tab/>
        <w:t>(c)</w:t>
      </w:r>
      <w:r>
        <w:tab/>
        <w:t>a contract under which one person grants or confers, or purports to grant or confer, a franchise or other right, benefit or privilege to one or more other persons in consideration of the investment by that other person, or those other persons, of money and the performance by him or them of work associated with that investment,</w:t>
      </w:r>
    </w:p>
    <w:p>
      <w:pPr>
        <w:pStyle w:val="Defstart"/>
      </w:pPr>
      <w:r>
        <w:tab/>
        <w:t>whether the contract is express or implied and, if it is express, whether it is oral or in writing and whether the services are supplied to order or by making them available to potential users, but does not include — </w:t>
      </w:r>
    </w:p>
    <w:p>
      <w:pPr>
        <w:pStyle w:val="Defpara"/>
      </w:pPr>
      <w:r>
        <w:tab/>
        <w:t>(d)</w:t>
      </w:r>
      <w:r>
        <w:tab/>
        <w:t>the provision of credit; or</w:t>
      </w:r>
    </w:p>
    <w:p>
      <w:pPr>
        <w:pStyle w:val="Defpara"/>
      </w:pPr>
      <w:r>
        <w:tab/>
        <w:t>(e)</w:t>
      </w:r>
      <w:r>
        <w:tab/>
        <w:t>any rights or benefits of a prescribed class or description that are prescribed as being rights or benefits that are not services within the meaning</w:t>
      </w:r>
      <w:bookmarkStart w:id="16" w:name="RuleErr_94"/>
      <w:r>
        <w:t xml:space="preserve"> of this Act</w:t>
      </w:r>
      <w:bookmarkEnd w:id="16"/>
      <w:r>
        <w:t>; or</w:t>
      </w:r>
    </w:p>
    <w:p>
      <w:pPr>
        <w:pStyle w:val="Defpara"/>
      </w:pPr>
      <w:r>
        <w:tab/>
        <w:t>(f)</w:t>
      </w:r>
      <w:r>
        <w:tab/>
        <w:t>any rights or benefits that are, or are to be, supplied under a contract of a prescribed class or description and are prescribed as being rights or benefits that are not services within the meaning</w:t>
      </w:r>
      <w:bookmarkStart w:id="17" w:name="RuleErr_95"/>
      <w:r>
        <w:t xml:space="preserve"> of this Act</w:t>
      </w:r>
      <w:bookmarkEnd w:id="17"/>
      <w:r>
        <w:t>;</w:t>
      </w:r>
    </w:p>
    <w:p>
      <w:pPr>
        <w:pStyle w:val="Defstart"/>
      </w:pPr>
      <w:r>
        <w:rPr>
          <w:b/>
        </w:rPr>
        <w:tab/>
      </w:r>
      <w:r>
        <w:rPr>
          <w:rStyle w:val="CharDefText"/>
        </w:rPr>
        <w:t>statutory rebate</w:t>
      </w:r>
      <w:r>
        <w:t xml:space="preserve"> means — </w:t>
      </w:r>
    </w:p>
    <w:p>
      <w:pPr>
        <w:pStyle w:val="Defpara"/>
      </w:pPr>
      <w:r>
        <w:tab/>
        <w:t>(a)</w:t>
      </w:r>
      <w:r>
        <w:tab/>
        <w:t>in relation to insurance charges (other than prescribed insurance charges) included in the amount financed under a regulated contract, the sum of — </w:t>
      </w:r>
    </w:p>
    <w:p>
      <w:pPr>
        <w:pStyle w:val="Defsubpara"/>
        <w:rPr>
          <w:snapToGrid w:val="0"/>
        </w:rPr>
      </w:pPr>
      <w:r>
        <w:rPr>
          <w:snapToGrid w:val="0"/>
        </w:rPr>
        <w:tab/>
        <w:t>(i)</w:t>
      </w:r>
      <w:r>
        <w:rPr>
          <w:snapToGrid w:val="0"/>
        </w:rPr>
        <w:tab/>
        <w:t>the amount of premium paid in respect of a period of the insurance contract not yet commenced; and</w:t>
      </w:r>
    </w:p>
    <w:p>
      <w:pPr>
        <w:pStyle w:val="Defsubpara"/>
        <w:rPr>
          <w:snapToGrid w:val="0"/>
        </w:rPr>
      </w:pPr>
      <w:r>
        <w:rPr>
          <w:snapToGrid w:val="0"/>
        </w:rPr>
        <w:tab/>
        <w:t>(ii)</w:t>
      </w:r>
      <w:r>
        <w:rPr>
          <w:snapToGrid w:val="0"/>
        </w:rPr>
        <w:tab/>
        <w:t>90% of the proportion of the amount of the premium for insurance paid in respect of the current period of the insurance contract attributable to the unexpired portion of that period consisting of whole months;</w:t>
      </w:r>
    </w:p>
    <w:p>
      <w:pPr>
        <w:pStyle w:val="Defpara"/>
      </w:pPr>
      <w:r>
        <w:tab/>
      </w:r>
      <w:r>
        <w:tab/>
        <w:t>and</w:t>
      </w:r>
    </w:p>
    <w:p>
      <w:pPr>
        <w:pStyle w:val="Defpara"/>
      </w:pPr>
      <w:r>
        <w:tab/>
        <w:t>(b)</w:t>
      </w:r>
      <w:r>
        <w:tab/>
        <w:t>in relation to prescribed insurance charges included in the amount financed under a regulated contract — the amount ascertained in the prescribed manner; and</w:t>
      </w:r>
    </w:p>
    <w:p>
      <w:pPr>
        <w:pStyle w:val="Defpara"/>
      </w:pPr>
      <w:r>
        <w:tab/>
        <w:t>(c)</w:t>
      </w:r>
      <w:r>
        <w:tab/>
        <w:t>in relation to maintenance charges included in the amount financed under a regulated contract in respect of maintenance of goods — the amount derived by multiplying the amount of maintenance charges by the number of whole months in the unexpired portion of the period for which maintenance is agreed to be provided and dividing the product so obtained by the number of whole months for which maintenance is agreed to be provided;</w:t>
      </w:r>
    </w:p>
    <w:p>
      <w:pPr>
        <w:pStyle w:val="Defstart"/>
      </w:pPr>
      <w:r>
        <w:rPr>
          <w:b/>
        </w:rPr>
        <w:tab/>
      </w:r>
      <w:r>
        <w:rPr>
          <w:rStyle w:val="CharDefText"/>
        </w:rPr>
        <w:t>supplier</w:t>
      </w:r>
      <w:r>
        <w:t> — </w:t>
      </w:r>
    </w:p>
    <w:p>
      <w:pPr>
        <w:pStyle w:val="Defpara"/>
      </w:pPr>
      <w:r>
        <w:tab/>
        <w:t>(a)</w:t>
      </w:r>
      <w:r>
        <w:tab/>
        <w:t xml:space="preserve">in relation to a contract of sale, credit sale contract or contract for the hiring of goods, means a person who supplies goods or services; or </w:t>
      </w:r>
    </w:p>
    <w:p>
      <w:pPr>
        <w:pStyle w:val="Defpara"/>
      </w:pPr>
      <w:r>
        <w:tab/>
        <w:t>(b)</w:t>
      </w:r>
      <w:r>
        <w:tab/>
        <w:t>in relation to a continuing credit contract, means a person who supplies goods or services or cash;</w:t>
      </w:r>
    </w:p>
    <w:p>
      <w:pPr>
        <w:pStyle w:val="Defstart"/>
      </w:pPr>
      <w:r>
        <w:rPr>
          <w:b/>
        </w:rPr>
        <w:tab/>
      </w:r>
      <w:r>
        <w:rPr>
          <w:rStyle w:val="CharDefText"/>
        </w:rPr>
        <w:t>supply</w:t>
      </w:r>
      <w:r>
        <w:t xml:space="preserve"> includes — </w:t>
      </w:r>
    </w:p>
    <w:p>
      <w:pPr>
        <w:pStyle w:val="Defpara"/>
      </w:pPr>
      <w:r>
        <w:tab/>
        <w:t>(a)</w:t>
      </w:r>
      <w:r>
        <w:tab/>
        <w:t>in relation to goods, supply (including re</w:t>
      </w:r>
      <w:r>
        <w:noBreakHyphen/>
        <w:t>supply within the meaning of subsection (2)) by way of sale or exchange; or</w:t>
      </w:r>
    </w:p>
    <w:p>
      <w:pPr>
        <w:pStyle w:val="Defpara"/>
      </w:pPr>
      <w:r>
        <w:tab/>
        <w:t>(b)</w:t>
      </w:r>
      <w:r>
        <w:tab/>
        <w:t>in relation to services, provide, grant or confer;</w:t>
      </w:r>
    </w:p>
    <w:p>
      <w:pPr>
        <w:pStyle w:val="Defstart"/>
      </w:pPr>
      <w:r>
        <w:rPr>
          <w:b/>
        </w:rPr>
        <w:tab/>
      </w:r>
      <w:r>
        <w:rPr>
          <w:rStyle w:val="CharDefText"/>
        </w:rPr>
        <w:t>tied continuing credit contract</w:t>
      </w:r>
      <w:r>
        <w:t xml:space="preserve"> means tied continuing credit contract within the meaning of section 12(2);</w:t>
      </w:r>
    </w:p>
    <w:p>
      <w:pPr>
        <w:pStyle w:val="Defstart"/>
      </w:pPr>
      <w:r>
        <w:rPr>
          <w:b/>
        </w:rPr>
        <w:tab/>
      </w:r>
      <w:r>
        <w:rPr>
          <w:rStyle w:val="CharDefText"/>
        </w:rPr>
        <w:t>tied loan contract</w:t>
      </w:r>
      <w:r>
        <w:t xml:space="preserve"> means tied loan contract within the meaning of section 12(1);</w:t>
      </w:r>
    </w:p>
    <w:p>
      <w:pPr>
        <w:pStyle w:val="Defstart"/>
      </w:pPr>
      <w:r>
        <w:rPr>
          <w:b/>
        </w:rPr>
        <w:tab/>
      </w:r>
      <w:r>
        <w:rPr>
          <w:rStyle w:val="CharDefText"/>
        </w:rPr>
        <w:t>trade</w:t>
      </w:r>
      <w:r>
        <w:rPr>
          <w:rStyle w:val="CharDefText"/>
        </w:rPr>
        <w:noBreakHyphen/>
        <w:t>in allowance</w:t>
      </w:r>
      <w:r>
        <w:t>, in relation to a contract of sale of goods or services, means an amount by which the cash price or amount payable under the contract is, or is to be, reduced in respect of an interest in property sold or transferred or agreed to be sold or transferred to the supplier or another person;</w:t>
      </w:r>
    </w:p>
    <w:p>
      <w:pPr>
        <w:pStyle w:val="Defstart"/>
      </w:pPr>
      <w:r>
        <w:rPr>
          <w:b/>
        </w:rPr>
        <w:tab/>
      </w:r>
      <w:r>
        <w:rPr>
          <w:rStyle w:val="CharDefText"/>
        </w:rPr>
        <w:t>trade or tie agreement</w:t>
      </w:r>
      <w:r>
        <w:t>, in relation to a credit provider and a supplier, means an agreement or arrangement, whether formal or informal, relating to — </w:t>
      </w:r>
    </w:p>
    <w:p>
      <w:pPr>
        <w:pStyle w:val="Defpara"/>
      </w:pPr>
      <w:r>
        <w:tab/>
        <w:t>(a)</w:t>
      </w:r>
      <w:r>
        <w:tab/>
        <w:t>the supply to the supplier of goods or services in which the supplier deals; or</w:t>
      </w:r>
    </w:p>
    <w:p>
      <w:pPr>
        <w:pStyle w:val="Defpara"/>
      </w:pPr>
      <w:r>
        <w:tab/>
        <w:t>(b)</w:t>
      </w:r>
      <w:r>
        <w:tab/>
        <w:t>the business of supplying goods or services carried on by the supplier; or</w:t>
      </w:r>
    </w:p>
    <w:p>
      <w:pPr>
        <w:pStyle w:val="Defpara"/>
      </w:pPr>
      <w:r>
        <w:tab/>
        <w:t>(c)</w:t>
      </w:r>
      <w:r>
        <w:tab/>
        <w:t>the provision of credit to purchasers in respect of the payment for goods or services supplied by the supplier;</w:t>
      </w:r>
    </w:p>
    <w:p>
      <w:pPr>
        <w:pStyle w:val="Defstart"/>
      </w:pPr>
      <w:r>
        <w:rPr>
          <w:b/>
        </w:rPr>
        <w:tab/>
      </w:r>
      <w:r>
        <w:rPr>
          <w:rStyle w:val="CharDefText"/>
        </w:rPr>
        <w:t>Tribunal</w:t>
      </w:r>
      <w:r>
        <w:t xml:space="preserve"> means the State Administrative Tribunal.</w:t>
      </w:r>
    </w:p>
    <w:p>
      <w:pPr>
        <w:pStyle w:val="Subsection"/>
        <w:rPr>
          <w:snapToGrid w:val="0"/>
        </w:rPr>
      </w:pPr>
      <w:r>
        <w:rPr>
          <w:snapToGrid w:val="0"/>
        </w:rPr>
        <w:tab/>
        <w:t>(2)</w:t>
      </w:r>
      <w:r>
        <w:rPr>
          <w:snapToGrid w:val="0"/>
        </w:rPr>
        <w:tab/>
        <w:t>In this Act, unless the contrary intention appears — </w:t>
      </w:r>
    </w:p>
    <w:p>
      <w:pPr>
        <w:pStyle w:val="Indenta"/>
        <w:rPr>
          <w:snapToGrid w:val="0"/>
        </w:rPr>
      </w:pPr>
      <w:r>
        <w:rPr>
          <w:snapToGrid w:val="0"/>
        </w:rPr>
        <w:tab/>
        <w:t>(a)</w:t>
      </w:r>
      <w:r>
        <w:rPr>
          <w:snapToGrid w:val="0"/>
        </w:rPr>
        <w:tab/>
        <w:t>a reference to goods or services includes a reference to goods and services; and</w:t>
      </w:r>
    </w:p>
    <w:p>
      <w:pPr>
        <w:pStyle w:val="Indenta"/>
        <w:rPr>
          <w:snapToGrid w:val="0"/>
        </w:rPr>
      </w:pPr>
      <w:r>
        <w:rPr>
          <w:snapToGrid w:val="0"/>
        </w:rPr>
        <w:tab/>
        <w:t>(b)</w:t>
      </w:r>
      <w:r>
        <w:rPr>
          <w:snapToGrid w:val="0"/>
        </w:rPr>
        <w:tab/>
        <w:t>a reference to the re</w:t>
      </w:r>
      <w:r>
        <w:rPr>
          <w:snapToGrid w:val="0"/>
        </w:rPr>
        <w:noBreakHyphen/>
        <w:t>supply of goods bought from a person includes a reference to — </w:t>
      </w:r>
    </w:p>
    <w:p>
      <w:pPr>
        <w:pStyle w:val="Indenti"/>
        <w:rPr>
          <w:snapToGrid w:val="0"/>
        </w:rPr>
      </w:pPr>
      <w:r>
        <w:rPr>
          <w:snapToGrid w:val="0"/>
        </w:rPr>
        <w:tab/>
        <w:t>(i)</w:t>
      </w:r>
      <w:r>
        <w:rPr>
          <w:snapToGrid w:val="0"/>
        </w:rPr>
        <w:tab/>
        <w:t>a supply of the goods to another person in an altered form or condition; and</w:t>
      </w:r>
    </w:p>
    <w:p>
      <w:pPr>
        <w:pStyle w:val="Indenti"/>
        <w:rPr>
          <w:snapToGrid w:val="0"/>
        </w:rPr>
      </w:pPr>
      <w:r>
        <w:rPr>
          <w:snapToGrid w:val="0"/>
        </w:rPr>
        <w:tab/>
        <w:t>(ii)</w:t>
      </w:r>
      <w:r>
        <w:rPr>
          <w:snapToGrid w:val="0"/>
        </w:rPr>
        <w:tab/>
        <w:t>a supply to another person of goods in which the first</w:t>
      </w:r>
      <w:r>
        <w:rPr>
          <w:snapToGrid w:val="0"/>
        </w:rPr>
        <w:noBreakHyphen/>
      </w:r>
      <w:bookmarkStart w:id="18" w:name="RuleErr_136"/>
      <w:r>
        <w:rPr>
          <w:snapToGrid w:val="0"/>
        </w:rPr>
        <w:t>mentioned</w:t>
      </w:r>
      <w:bookmarkEnd w:id="18"/>
      <w:r>
        <w:rPr>
          <w:snapToGrid w:val="0"/>
        </w:rPr>
        <w:t xml:space="preserve"> goods have been incorporated.</w:t>
      </w:r>
    </w:p>
    <w:p>
      <w:pPr>
        <w:pStyle w:val="Subsection"/>
        <w:rPr>
          <w:snapToGrid w:val="0"/>
        </w:rPr>
      </w:pPr>
      <w:r>
        <w:rPr>
          <w:snapToGrid w:val="0"/>
        </w:rPr>
        <w:tab/>
        <w:t>(3)</w:t>
      </w:r>
      <w:r>
        <w:rPr>
          <w:snapToGrid w:val="0"/>
        </w:rPr>
        <w:tab/>
        <w:t>In this Act, unless the contrary intention appears, where a word or phrase is given a particular meaning, other parts of speech and grammatical forms of that word or phrase have corresponding meanings.</w:t>
      </w:r>
    </w:p>
    <w:p>
      <w:pPr>
        <w:pStyle w:val="Subsection"/>
        <w:rPr>
          <w:snapToGrid w:val="0"/>
        </w:rPr>
      </w:pPr>
      <w:r>
        <w:rPr>
          <w:snapToGrid w:val="0"/>
        </w:rPr>
        <w:tab/>
        <w:t>(4)</w:t>
      </w:r>
      <w:r>
        <w:rPr>
          <w:snapToGrid w:val="0"/>
        </w:rPr>
        <w:tab/>
        <w:t>Where a regulation made for the purposes</w:t>
      </w:r>
      <w:bookmarkStart w:id="19" w:name="RuleErr_42"/>
      <w:r>
        <w:rPr>
          <w:snapToGrid w:val="0"/>
        </w:rPr>
        <w:t xml:space="preserve"> of this section</w:t>
      </w:r>
      <w:bookmarkEnd w:id="19"/>
      <w:r>
        <w:rPr>
          <w:snapToGrid w:val="0"/>
        </w:rPr>
        <w:t> — </w:t>
      </w:r>
    </w:p>
    <w:p>
      <w:pPr>
        <w:pStyle w:val="Indenta"/>
        <w:rPr>
          <w:snapToGrid w:val="0"/>
        </w:rPr>
      </w:pPr>
      <w:r>
        <w:rPr>
          <w:snapToGrid w:val="0"/>
        </w:rPr>
        <w:tab/>
        <w:t>(a)</w:t>
      </w:r>
      <w:r>
        <w:rPr>
          <w:snapToGrid w:val="0"/>
        </w:rPr>
        <w:tab/>
        <w:t>prescribes an amount other than $20 000 as the monetary limit for the purposes</w:t>
      </w:r>
      <w:bookmarkStart w:id="20" w:name="RuleErr_96"/>
      <w:r>
        <w:rPr>
          <w:snapToGrid w:val="0"/>
        </w:rPr>
        <w:t xml:space="preserve"> of this Act</w:t>
      </w:r>
      <w:bookmarkEnd w:id="20"/>
      <w:r>
        <w:rPr>
          <w:snapToGrid w:val="0"/>
        </w:rPr>
        <w:t>, a reference in this Act (including this section) to $20 000 shall be construed as a reference to the amount so prescribed; or</w:t>
      </w:r>
    </w:p>
    <w:p>
      <w:pPr>
        <w:pStyle w:val="Indenta"/>
        <w:rPr>
          <w:snapToGrid w:val="0"/>
        </w:rPr>
      </w:pPr>
      <w:r>
        <w:rPr>
          <w:snapToGrid w:val="0"/>
        </w:rPr>
        <w:tab/>
        <w:t>(b)</w:t>
      </w:r>
      <w:r>
        <w:rPr>
          <w:snapToGrid w:val="0"/>
        </w:rPr>
        <w:tab/>
        <w:t>prescribes an annual percentage rate other than 14% as the annual percentage rate for the purposes</w:t>
      </w:r>
      <w:bookmarkStart w:id="21" w:name="RuleErr_97"/>
      <w:r>
        <w:rPr>
          <w:snapToGrid w:val="0"/>
        </w:rPr>
        <w:t xml:space="preserve"> of this Act</w:t>
      </w:r>
      <w:bookmarkEnd w:id="21"/>
      <w:r>
        <w:rPr>
          <w:snapToGrid w:val="0"/>
        </w:rPr>
        <w:t>, a reference in this Act (including this section) to a rate of 14% shall be construed as a reference to the annual percentage rate so prescribed.</w:t>
      </w:r>
    </w:p>
    <w:p>
      <w:pPr>
        <w:pStyle w:val="Footnotesection"/>
      </w:pPr>
      <w:r>
        <w:tab/>
        <w:t>[Section 5 amended by No. 57 of 1997 s. 39(10); No. 26 of 1999 s. 70(2); No. 10 of 2001 s. 53; No. 28 of 2003 s. 31; No. 55 of 2004 s. 173; No. 28 of 2006 s. 83; No. 14 of 2010 s. 36.]</w:t>
      </w:r>
    </w:p>
    <w:p>
      <w:pPr>
        <w:pStyle w:val="Heading5"/>
        <w:rPr>
          <w:snapToGrid w:val="0"/>
        </w:rPr>
      </w:pPr>
      <w:bookmarkStart w:id="22" w:name="_Toc392496469"/>
      <w:r>
        <w:rPr>
          <w:rStyle w:val="CharSectno"/>
        </w:rPr>
        <w:t>6</w:t>
      </w:r>
      <w:r>
        <w:rPr>
          <w:snapToGrid w:val="0"/>
        </w:rPr>
        <w:t>.</w:t>
      </w:r>
      <w:r>
        <w:rPr>
          <w:snapToGrid w:val="0"/>
        </w:rPr>
        <w:tab/>
        <w:t>Jurisdiction of courts and Tribunal</w:t>
      </w:r>
      <w:bookmarkEnd w:id="22"/>
    </w:p>
    <w:p>
      <w:pPr>
        <w:pStyle w:val="Subsection"/>
        <w:rPr>
          <w:snapToGrid w:val="0"/>
        </w:rPr>
      </w:pPr>
      <w:r>
        <w:rPr>
          <w:snapToGrid w:val="0"/>
        </w:rPr>
        <w:tab/>
        <w:t>(1)</w:t>
      </w:r>
      <w:r>
        <w:rPr>
          <w:snapToGrid w:val="0"/>
        </w:rPr>
        <w:tab/>
        <w:t>In this Act, except in so far as the context or subject</w:t>
      </w:r>
      <w:r>
        <w:rPr>
          <w:snapToGrid w:val="0"/>
        </w:rPr>
        <w:noBreakHyphen/>
        <w:t>matter otherwise indicates or requires, a reference to a court in relation to any contract or other matter — </w:t>
      </w:r>
    </w:p>
    <w:p>
      <w:pPr>
        <w:pStyle w:val="Indenta"/>
        <w:rPr>
          <w:snapToGrid w:val="0"/>
        </w:rPr>
      </w:pPr>
      <w:r>
        <w:rPr>
          <w:snapToGrid w:val="0"/>
        </w:rPr>
        <w:tab/>
        <w:t>(a)</w:t>
      </w:r>
      <w:r>
        <w:rPr>
          <w:snapToGrid w:val="0"/>
        </w:rPr>
        <w:tab/>
        <w:t>where proceedings in relation to the contract or matter have been instituted in, or are before, a court — is a reference to that court; or</w:t>
      </w:r>
    </w:p>
    <w:p>
      <w:pPr>
        <w:pStyle w:val="Indenta"/>
        <w:rPr>
          <w:snapToGrid w:val="0"/>
        </w:rPr>
      </w:pPr>
      <w:r>
        <w:rPr>
          <w:snapToGrid w:val="0"/>
        </w:rPr>
        <w:tab/>
        <w:t>(b)</w:t>
      </w:r>
      <w:r>
        <w:rPr>
          <w:snapToGrid w:val="0"/>
        </w:rPr>
        <w:tab/>
        <w:t>where proceedings in relation to that contract or matter have been instituted in, or are before, the Tribunal — is a reference to the Tribunal; or</w:t>
      </w:r>
    </w:p>
    <w:p>
      <w:pPr>
        <w:pStyle w:val="Indenta"/>
        <w:rPr>
          <w:snapToGrid w:val="0"/>
        </w:rPr>
      </w:pPr>
      <w:r>
        <w:rPr>
          <w:snapToGrid w:val="0"/>
        </w:rPr>
        <w:tab/>
        <w:t>(c)</w:t>
      </w:r>
      <w:r>
        <w:rPr>
          <w:snapToGrid w:val="0"/>
        </w:rPr>
        <w:tab/>
        <w:t>in any other case is a reference to — </w:t>
      </w:r>
    </w:p>
    <w:p>
      <w:pPr>
        <w:pStyle w:val="Indenti"/>
        <w:rPr>
          <w:snapToGrid w:val="0"/>
        </w:rPr>
      </w:pPr>
      <w:r>
        <w:rPr>
          <w:snapToGrid w:val="0"/>
        </w:rPr>
        <w:tab/>
        <w:t>(i)</w:t>
      </w:r>
      <w:r>
        <w:rPr>
          <w:snapToGrid w:val="0"/>
        </w:rPr>
        <w:tab/>
        <w:t>the Tribunal; or</w:t>
      </w:r>
    </w:p>
    <w:p>
      <w:pPr>
        <w:pStyle w:val="Indenti"/>
        <w:rPr>
          <w:snapToGrid w:val="0"/>
        </w:rPr>
      </w:pPr>
      <w:r>
        <w:tab/>
        <w:t>(ii)</w:t>
      </w:r>
      <w:r>
        <w:tab/>
        <w:t xml:space="preserve">the </w:t>
      </w:r>
      <w:smartTag w:uri="urn:schemas-microsoft-com:office:smarttags" w:element="Street">
        <w:smartTag w:uri="urn:schemas-microsoft-com:office:smarttags" w:element="address">
          <w:r>
            <w:t>Magistrates Court</w:t>
          </w:r>
        </w:smartTag>
      </w:smartTag>
      <w:r>
        <w:t>.</w:t>
      </w:r>
    </w:p>
    <w:p>
      <w:pPr>
        <w:pStyle w:val="Subsection"/>
        <w:rPr>
          <w:snapToGrid w:val="0"/>
        </w:rPr>
      </w:pPr>
      <w:r>
        <w:rPr>
          <w:snapToGrid w:val="0"/>
        </w:rPr>
        <w:tab/>
        <w:t>(2)</w:t>
      </w:r>
      <w:r>
        <w:rPr>
          <w:snapToGrid w:val="0"/>
        </w:rPr>
        <w:tab/>
        <w:t>Where a court and the Tribunal each have jurisdiction to determine the same matter, proceedings to determine the matter may be instituted before the court or the Tribunal but not before both.</w:t>
      </w:r>
    </w:p>
    <w:p>
      <w:pPr>
        <w:pStyle w:val="Subsection"/>
        <w:rPr>
          <w:snapToGrid w:val="0"/>
        </w:rPr>
      </w:pPr>
      <w:r>
        <w:rPr>
          <w:snapToGrid w:val="0"/>
        </w:rPr>
        <w:tab/>
        <w:t>(3)</w:t>
      </w:r>
      <w:r>
        <w:rPr>
          <w:snapToGrid w:val="0"/>
        </w:rPr>
        <w:tab/>
        <w:t>Where proceedings are instituted in, or are before, a court in a matter for the determination of which the Tribunal and the court each have jurisdiction, the proceedings shall — </w:t>
      </w:r>
    </w:p>
    <w:p>
      <w:pPr>
        <w:pStyle w:val="Indenta"/>
        <w:rPr>
          <w:snapToGrid w:val="0"/>
        </w:rPr>
      </w:pPr>
      <w:r>
        <w:rPr>
          <w:snapToGrid w:val="0"/>
        </w:rPr>
        <w:tab/>
        <w:t>(a)</w:t>
      </w:r>
      <w:r>
        <w:rPr>
          <w:snapToGrid w:val="0"/>
        </w:rPr>
        <w:tab/>
        <w:t>if all the parties to the proceedings so agree; or</w:t>
      </w:r>
    </w:p>
    <w:p>
      <w:pPr>
        <w:pStyle w:val="Indenta"/>
        <w:rPr>
          <w:snapToGrid w:val="0"/>
        </w:rPr>
      </w:pPr>
      <w:r>
        <w:rPr>
          <w:snapToGrid w:val="0"/>
        </w:rPr>
        <w:tab/>
        <w:t>(b)</w:t>
      </w:r>
      <w:r>
        <w:rPr>
          <w:snapToGrid w:val="0"/>
        </w:rPr>
        <w:tab/>
        <w:t>if the court of its own motion or on the application of a party so directs,</w:t>
      </w:r>
    </w:p>
    <w:p>
      <w:pPr>
        <w:pStyle w:val="Subsection"/>
        <w:rPr>
          <w:snapToGrid w:val="0"/>
        </w:rPr>
      </w:pPr>
      <w:r>
        <w:rPr>
          <w:snapToGrid w:val="0"/>
        </w:rPr>
        <w:tab/>
      </w:r>
      <w:r>
        <w:rPr>
          <w:snapToGrid w:val="0"/>
        </w:rPr>
        <w:tab/>
        <w:t>be transferred to the Tribunal in accordance with the rules of the Tribunal and shall continue before the Tribunal as if they had been instituted there.</w:t>
      </w:r>
    </w:p>
    <w:p>
      <w:pPr>
        <w:pStyle w:val="Subsection"/>
        <w:rPr>
          <w:snapToGrid w:val="0"/>
        </w:rPr>
      </w:pPr>
      <w:r>
        <w:rPr>
          <w:snapToGrid w:val="0"/>
        </w:rPr>
        <w:tab/>
        <w:t>(4)</w:t>
      </w:r>
      <w:r>
        <w:rPr>
          <w:snapToGrid w:val="0"/>
        </w:rPr>
        <w:tab/>
        <w:t>Where proceedings are instituted in, or are before, the Tribunal in a matter for the determination of which the Tribunal and a court each have jurisdiction, the proceedings shall — </w:t>
      </w:r>
    </w:p>
    <w:p>
      <w:pPr>
        <w:pStyle w:val="Indenta"/>
        <w:rPr>
          <w:snapToGrid w:val="0"/>
        </w:rPr>
      </w:pPr>
      <w:r>
        <w:rPr>
          <w:snapToGrid w:val="0"/>
        </w:rPr>
        <w:tab/>
        <w:t>(a)</w:t>
      </w:r>
      <w:r>
        <w:rPr>
          <w:snapToGrid w:val="0"/>
        </w:rPr>
        <w:tab/>
        <w:t>if all the parties so agree; or</w:t>
      </w:r>
    </w:p>
    <w:p>
      <w:pPr>
        <w:pStyle w:val="Indenta"/>
        <w:keepNext/>
        <w:rPr>
          <w:snapToGrid w:val="0"/>
        </w:rPr>
      </w:pPr>
      <w:r>
        <w:rPr>
          <w:snapToGrid w:val="0"/>
        </w:rPr>
        <w:tab/>
        <w:t>(b)</w:t>
      </w:r>
      <w:r>
        <w:rPr>
          <w:snapToGrid w:val="0"/>
        </w:rPr>
        <w:tab/>
        <w:t>if the Tribunal of its own motion or on the application of a party so directs,</w:t>
      </w:r>
    </w:p>
    <w:p>
      <w:pPr>
        <w:pStyle w:val="Subsection"/>
        <w:rPr>
          <w:snapToGrid w:val="0"/>
        </w:rPr>
      </w:pPr>
      <w:r>
        <w:rPr>
          <w:snapToGrid w:val="0"/>
        </w:rPr>
        <w:tab/>
      </w:r>
      <w:r>
        <w:rPr>
          <w:snapToGrid w:val="0"/>
        </w:rPr>
        <w:tab/>
        <w:t>be transferred to the court in accordance with rules of the court or, if the court is not empowered to make those rules, as prescribed, and shall continue before the court as if they had been instituted there.</w:t>
      </w:r>
    </w:p>
    <w:p>
      <w:pPr>
        <w:pStyle w:val="Footnotesection"/>
      </w:pPr>
      <w:r>
        <w:tab/>
        <w:t xml:space="preserve">[Section 6 amended by No. 59 of 2004 s. 141.] </w:t>
      </w:r>
    </w:p>
    <w:p>
      <w:pPr>
        <w:pStyle w:val="Heading5"/>
        <w:rPr>
          <w:snapToGrid w:val="0"/>
        </w:rPr>
      </w:pPr>
      <w:bookmarkStart w:id="23" w:name="_Toc392496470"/>
      <w:r>
        <w:rPr>
          <w:rStyle w:val="CharSectno"/>
        </w:rPr>
        <w:t>7</w:t>
      </w:r>
      <w:r>
        <w:rPr>
          <w:snapToGrid w:val="0"/>
        </w:rPr>
        <w:t>.</w:t>
      </w:r>
      <w:r>
        <w:rPr>
          <w:snapToGrid w:val="0"/>
        </w:rPr>
        <w:tab/>
        <w:t>Credit contracts deemed to be regulated contracts</w:t>
      </w:r>
      <w:bookmarkEnd w:id="23"/>
    </w:p>
    <w:p>
      <w:pPr>
        <w:pStyle w:val="Subsection"/>
        <w:rPr>
          <w:snapToGrid w:val="0"/>
        </w:rPr>
      </w:pPr>
      <w:r>
        <w:rPr>
          <w:snapToGrid w:val="0"/>
        </w:rPr>
        <w:tab/>
      </w:r>
      <w:r>
        <w:rPr>
          <w:snapToGrid w:val="0"/>
        </w:rPr>
        <w:tab/>
        <w:t>Where it is alleged in any proceeding under this Act or in any other proceeding in respect of a matter arising under this Act that — </w:t>
      </w:r>
    </w:p>
    <w:p>
      <w:pPr>
        <w:pStyle w:val="Indenta"/>
        <w:rPr>
          <w:snapToGrid w:val="0"/>
        </w:rPr>
      </w:pPr>
      <w:r>
        <w:rPr>
          <w:snapToGrid w:val="0"/>
        </w:rPr>
        <w:tab/>
        <w:t>(a)</w:t>
      </w:r>
      <w:r>
        <w:rPr>
          <w:snapToGrid w:val="0"/>
        </w:rPr>
        <w:tab/>
        <w:t>a credit sale contract or a loan contract is a credit sale contract or loan contract to which Part III applies; or</w:t>
      </w:r>
    </w:p>
    <w:p>
      <w:pPr>
        <w:pStyle w:val="Indenta"/>
        <w:rPr>
          <w:snapToGrid w:val="0"/>
        </w:rPr>
      </w:pPr>
      <w:r>
        <w:rPr>
          <w:snapToGrid w:val="0"/>
        </w:rPr>
        <w:tab/>
        <w:t>(b)</w:t>
      </w:r>
      <w:r>
        <w:rPr>
          <w:snapToGrid w:val="0"/>
        </w:rPr>
        <w:tab/>
        <w:t>a continuing credit contract is a continuing credit contract to which Part III applies,</w:t>
      </w:r>
    </w:p>
    <w:p>
      <w:pPr>
        <w:pStyle w:val="Subsection"/>
        <w:rPr>
          <w:snapToGrid w:val="0"/>
        </w:rPr>
      </w:pPr>
      <w:r>
        <w:rPr>
          <w:snapToGrid w:val="0"/>
        </w:rPr>
        <w:tab/>
      </w:r>
      <w:r>
        <w:rPr>
          <w:snapToGrid w:val="0"/>
        </w:rPr>
        <w:tab/>
        <w:t>it shall be presumed, unless the contrary is established, that Part II applies to the credit sale contract or loan contract or that Part III applies to the continuing credit contract.</w:t>
      </w:r>
    </w:p>
    <w:p>
      <w:pPr>
        <w:pStyle w:val="Heading5"/>
        <w:rPr>
          <w:snapToGrid w:val="0"/>
        </w:rPr>
      </w:pPr>
      <w:bookmarkStart w:id="24" w:name="_Toc392496471"/>
      <w:r>
        <w:rPr>
          <w:rStyle w:val="CharSectno"/>
        </w:rPr>
        <w:t>8</w:t>
      </w:r>
      <w:r>
        <w:rPr>
          <w:snapToGrid w:val="0"/>
        </w:rPr>
        <w:t>.</w:t>
      </w:r>
      <w:r>
        <w:rPr>
          <w:snapToGrid w:val="0"/>
        </w:rPr>
        <w:tab/>
        <w:t>Act applies to assignees etc. of rights and obligations</w:t>
      </w:r>
      <w:bookmarkEnd w:id="24"/>
    </w:p>
    <w:p>
      <w:pPr>
        <w:pStyle w:val="Subsection"/>
        <w:rPr>
          <w:snapToGrid w:val="0"/>
        </w:rPr>
      </w:pPr>
      <w:r>
        <w:rPr>
          <w:snapToGrid w:val="0"/>
        </w:rPr>
        <w:tab/>
        <w:t>(1)</w:t>
      </w:r>
      <w:r>
        <w:rPr>
          <w:snapToGrid w:val="0"/>
        </w:rPr>
        <w:tab/>
        <w:t>This Act applies to a person to whom the rights and obligations of — </w:t>
      </w:r>
    </w:p>
    <w:p>
      <w:pPr>
        <w:pStyle w:val="Indenta"/>
        <w:rPr>
          <w:snapToGrid w:val="0"/>
        </w:rPr>
      </w:pPr>
      <w:r>
        <w:rPr>
          <w:snapToGrid w:val="0"/>
        </w:rPr>
        <w:tab/>
        <w:t>(a)</w:t>
      </w:r>
      <w:r>
        <w:rPr>
          <w:snapToGrid w:val="0"/>
        </w:rPr>
        <w:tab/>
        <w:t>a credit provider under a credit contract; or</w:t>
      </w:r>
    </w:p>
    <w:p>
      <w:pPr>
        <w:pStyle w:val="Indenta"/>
        <w:rPr>
          <w:snapToGrid w:val="0"/>
        </w:rPr>
      </w:pPr>
      <w:r>
        <w:rPr>
          <w:snapToGrid w:val="0"/>
        </w:rPr>
        <w:tab/>
        <w:t>(b)</w:t>
      </w:r>
      <w:r>
        <w:rPr>
          <w:snapToGrid w:val="0"/>
        </w:rPr>
        <w:tab/>
        <w:t>a debtor under a credit contract; or</w:t>
      </w:r>
    </w:p>
    <w:p>
      <w:pPr>
        <w:pStyle w:val="Indenta"/>
        <w:rPr>
          <w:snapToGrid w:val="0"/>
        </w:rPr>
      </w:pPr>
      <w:r>
        <w:rPr>
          <w:snapToGrid w:val="0"/>
        </w:rPr>
        <w:tab/>
        <w:t>(c)</w:t>
      </w:r>
      <w:r>
        <w:rPr>
          <w:snapToGrid w:val="0"/>
        </w:rPr>
        <w:tab/>
        <w:t>a guarantor under a contract of guarantee; or</w:t>
      </w:r>
    </w:p>
    <w:p>
      <w:pPr>
        <w:pStyle w:val="Indenta"/>
        <w:rPr>
          <w:snapToGrid w:val="0"/>
        </w:rPr>
      </w:pPr>
      <w:r>
        <w:rPr>
          <w:snapToGrid w:val="0"/>
        </w:rPr>
        <w:tab/>
        <w:t>(d)</w:t>
      </w:r>
      <w:r>
        <w:rPr>
          <w:snapToGrid w:val="0"/>
        </w:rPr>
        <w:tab/>
        <w:t>a credit provider under a contract of guarantee; or</w:t>
      </w:r>
    </w:p>
    <w:p>
      <w:pPr>
        <w:pStyle w:val="Indenta"/>
        <w:rPr>
          <w:snapToGrid w:val="0"/>
        </w:rPr>
      </w:pPr>
      <w:r>
        <w:rPr>
          <w:snapToGrid w:val="0"/>
        </w:rPr>
        <w:tab/>
        <w:t>(e)</w:t>
      </w:r>
      <w:r>
        <w:rPr>
          <w:snapToGrid w:val="0"/>
        </w:rPr>
        <w:tab/>
        <w:t>a mortgagee; or</w:t>
      </w:r>
    </w:p>
    <w:p>
      <w:pPr>
        <w:pStyle w:val="Indenta"/>
        <w:rPr>
          <w:snapToGrid w:val="0"/>
        </w:rPr>
      </w:pPr>
      <w:r>
        <w:rPr>
          <w:snapToGrid w:val="0"/>
        </w:rPr>
        <w:tab/>
        <w:t>(f)</w:t>
      </w:r>
      <w:r>
        <w:rPr>
          <w:snapToGrid w:val="0"/>
        </w:rPr>
        <w:tab/>
        <w:t>a mortgagor,</w:t>
      </w:r>
    </w:p>
    <w:p>
      <w:pPr>
        <w:pStyle w:val="Subsection"/>
        <w:rPr>
          <w:snapToGrid w:val="0"/>
        </w:rPr>
      </w:pPr>
      <w:r>
        <w:rPr>
          <w:snapToGrid w:val="0"/>
        </w:rPr>
        <w:tab/>
      </w:r>
      <w:r>
        <w:rPr>
          <w:snapToGrid w:val="0"/>
        </w:rPr>
        <w:tab/>
        <w:t>have been assigned or transferred or have passed by operation of law in the same manner as this Act applies to the person by whom the rights and obligations were assigned or transferred or from whom the rights and obligations have passed by operation of law.</w:t>
      </w:r>
    </w:p>
    <w:p>
      <w:pPr>
        <w:pStyle w:val="Subsection"/>
        <w:rPr>
          <w:snapToGrid w:val="0"/>
        </w:rPr>
      </w:pPr>
      <w:r>
        <w:rPr>
          <w:snapToGrid w:val="0"/>
        </w:rPr>
        <w:tab/>
        <w:t>(2)</w:t>
      </w:r>
      <w:r>
        <w:rPr>
          <w:snapToGrid w:val="0"/>
        </w:rPr>
        <w:tab/>
        <w:t>Nothing in subsection (1) operates to confer any rights under this Act on an assignee of a credit provider or mortgagee where the assignment is in contravention</w:t>
      </w:r>
      <w:bookmarkStart w:id="25" w:name="RuleErr_98"/>
      <w:r>
        <w:rPr>
          <w:snapToGrid w:val="0"/>
        </w:rPr>
        <w:t xml:space="preserve"> of this Act</w:t>
      </w:r>
      <w:bookmarkEnd w:id="25"/>
      <w:r>
        <w:rPr>
          <w:snapToGrid w:val="0"/>
        </w:rPr>
        <w:t>.</w:t>
      </w:r>
    </w:p>
    <w:p>
      <w:pPr>
        <w:pStyle w:val="Subsection"/>
        <w:rPr>
          <w:snapToGrid w:val="0"/>
        </w:rPr>
      </w:pPr>
      <w:r>
        <w:rPr>
          <w:snapToGrid w:val="0"/>
        </w:rPr>
        <w:tab/>
        <w:t>(3)</w:t>
      </w:r>
      <w:r>
        <w:rPr>
          <w:snapToGrid w:val="0"/>
        </w:rPr>
        <w:tab/>
        <w:t>Subsection (1) does not apply where the rights and obligations referred to in subsection (1)(b), (c) or (f) are assigned or transferred, or pass by operation of law, to a body corporate.</w:t>
      </w:r>
    </w:p>
    <w:p>
      <w:pPr>
        <w:pStyle w:val="Heading5"/>
        <w:rPr>
          <w:snapToGrid w:val="0"/>
        </w:rPr>
      </w:pPr>
      <w:bookmarkStart w:id="26" w:name="_Toc392496472"/>
      <w:r>
        <w:rPr>
          <w:rStyle w:val="CharSectno"/>
        </w:rPr>
        <w:t>9</w:t>
      </w:r>
      <w:r>
        <w:rPr>
          <w:snapToGrid w:val="0"/>
        </w:rPr>
        <w:t>.</w:t>
      </w:r>
      <w:r>
        <w:rPr>
          <w:snapToGrid w:val="0"/>
        </w:rPr>
        <w:tab/>
        <w:t>Contracts of employment excluded</w:t>
      </w:r>
      <w:bookmarkEnd w:id="26"/>
    </w:p>
    <w:p>
      <w:pPr>
        <w:pStyle w:val="Subsection"/>
        <w:rPr>
          <w:snapToGrid w:val="0"/>
        </w:rPr>
      </w:pPr>
      <w:r>
        <w:rPr>
          <w:snapToGrid w:val="0"/>
        </w:rPr>
        <w:tab/>
      </w:r>
      <w:r>
        <w:rPr>
          <w:snapToGrid w:val="0"/>
        </w:rPr>
        <w:tab/>
        <w:t>A reference in this Act to a contract or agreement in respect of the payment by a debtor for services supplied by another person does not include a reference to a contract or agreement that is solely a contract of service that creates the relationship of master and servant between the debtor and that other person or by reason of which that other person would be a worker within the meaning of the</w:t>
      </w:r>
      <w:r>
        <w:rPr>
          <w:i/>
        </w:rPr>
        <w:t xml:space="preserve"> Workers’ Compensation and Injury Management Act 1981</w:t>
      </w:r>
      <w:r>
        <w:rPr>
          <w:snapToGrid w:val="0"/>
        </w:rPr>
        <w:t>.</w:t>
      </w:r>
    </w:p>
    <w:p>
      <w:pPr>
        <w:pStyle w:val="Footnotesection"/>
      </w:pPr>
      <w:r>
        <w:tab/>
        <w:t>[Section 9 amended by No. 42 of 2004 s. 174.]</w:t>
      </w:r>
    </w:p>
    <w:p>
      <w:pPr>
        <w:pStyle w:val="Heading5"/>
        <w:rPr>
          <w:snapToGrid w:val="0"/>
        </w:rPr>
      </w:pPr>
      <w:bookmarkStart w:id="27" w:name="_Toc392496473"/>
      <w:r>
        <w:rPr>
          <w:rStyle w:val="CharSectno"/>
        </w:rPr>
        <w:t>10</w:t>
      </w:r>
      <w:r>
        <w:rPr>
          <w:snapToGrid w:val="0"/>
        </w:rPr>
        <w:t>.</w:t>
      </w:r>
      <w:r>
        <w:rPr>
          <w:snapToGrid w:val="0"/>
        </w:rPr>
        <w:tab/>
        <w:t>Term used: annual percentage rate</w:t>
      </w:r>
      <w:bookmarkEnd w:id="27"/>
    </w:p>
    <w:p>
      <w:pPr>
        <w:pStyle w:val="Subsection"/>
        <w:rPr>
          <w:snapToGrid w:val="0"/>
        </w:rPr>
      </w:pPr>
      <w:r>
        <w:rPr>
          <w:snapToGrid w:val="0"/>
        </w:rPr>
        <w:tab/>
      </w:r>
      <w:r>
        <w:rPr>
          <w:snapToGrid w:val="0"/>
        </w:rPr>
        <w:tab/>
        <w:t>For the purposes</w:t>
      </w:r>
      <w:bookmarkStart w:id="28" w:name="RuleErr_99"/>
      <w:r>
        <w:rPr>
          <w:snapToGrid w:val="0"/>
        </w:rPr>
        <w:t xml:space="preserve"> of this Act</w:t>
      </w:r>
      <w:bookmarkEnd w:id="28"/>
      <w:r>
        <w:rPr>
          <w:snapToGrid w:val="0"/>
        </w:rPr>
        <w:t>, unless the contrary intention appears, a reference to the annual percentage rate — </w:t>
      </w:r>
    </w:p>
    <w:p>
      <w:pPr>
        <w:pStyle w:val="Indenta"/>
        <w:rPr>
          <w:snapToGrid w:val="0"/>
        </w:rPr>
      </w:pPr>
      <w:r>
        <w:rPr>
          <w:snapToGrid w:val="0"/>
        </w:rPr>
        <w:tab/>
        <w:t>(a)</w:t>
      </w:r>
      <w:r>
        <w:rPr>
          <w:snapToGrid w:val="0"/>
        </w:rPr>
        <w:tab/>
        <w:t>in relation to a credit sale contract or a loan contract in respect of which the annual percentage rate has not been disclosed to the debtor or has been so disclosed otherwise than in accordance with section 38, is a reference to the lowest percentage rate per annum that can be determined in accordance with that section in relation to the contract; and</w:t>
      </w:r>
    </w:p>
    <w:p>
      <w:pPr>
        <w:pStyle w:val="Indenta"/>
        <w:rPr>
          <w:snapToGrid w:val="0"/>
        </w:rPr>
      </w:pPr>
      <w:r>
        <w:rPr>
          <w:snapToGrid w:val="0"/>
        </w:rPr>
        <w:tab/>
        <w:t>(b)</w:t>
      </w:r>
      <w:r>
        <w:rPr>
          <w:snapToGrid w:val="0"/>
        </w:rPr>
        <w:tab/>
        <w:t>in relation to a credit sale contract or a loan contract under which the annual percentage rate has been disclosed in accordance with section 38, is a reference to the rate disclosed; and</w:t>
      </w:r>
    </w:p>
    <w:p>
      <w:pPr>
        <w:pStyle w:val="Indenta"/>
        <w:rPr>
          <w:snapToGrid w:val="0"/>
        </w:rPr>
      </w:pPr>
      <w:r>
        <w:rPr>
          <w:snapToGrid w:val="0"/>
        </w:rPr>
        <w:tab/>
        <w:t>(c)</w:t>
      </w:r>
      <w:r>
        <w:rPr>
          <w:snapToGrid w:val="0"/>
        </w:rPr>
        <w:tab/>
        <w:t>in relation to a continuing credit contract, is a reference to the annual percentage rate within the meaning of section 55.</w:t>
      </w:r>
    </w:p>
    <w:p>
      <w:pPr>
        <w:pStyle w:val="Heading5"/>
        <w:rPr>
          <w:snapToGrid w:val="0"/>
        </w:rPr>
      </w:pPr>
      <w:bookmarkStart w:id="29" w:name="_Toc392496474"/>
      <w:r>
        <w:rPr>
          <w:rStyle w:val="CharSectno"/>
        </w:rPr>
        <w:t>11</w:t>
      </w:r>
      <w:r>
        <w:rPr>
          <w:snapToGrid w:val="0"/>
        </w:rPr>
        <w:t>.</w:t>
      </w:r>
      <w:r>
        <w:rPr>
          <w:snapToGrid w:val="0"/>
        </w:rPr>
        <w:tab/>
        <w:t>Terms used: credit charge, accrued credit charge</w:t>
      </w:r>
      <w:bookmarkEnd w:id="29"/>
    </w:p>
    <w:p>
      <w:pPr>
        <w:pStyle w:val="Subsection"/>
        <w:rPr>
          <w:snapToGrid w:val="0"/>
        </w:rPr>
      </w:pPr>
      <w:r>
        <w:rPr>
          <w:snapToGrid w:val="0"/>
        </w:rPr>
        <w:tab/>
        <w:t>(1)</w:t>
      </w:r>
      <w:r>
        <w:rPr>
          <w:snapToGrid w:val="0"/>
        </w:rPr>
        <w:tab/>
        <w:t>For the purposes</w:t>
      </w:r>
      <w:bookmarkStart w:id="30" w:name="RuleErr_100"/>
      <w:r>
        <w:rPr>
          <w:snapToGrid w:val="0"/>
        </w:rPr>
        <w:t xml:space="preserve"> of this Act</w:t>
      </w:r>
      <w:bookmarkEnd w:id="30"/>
      <w:r>
        <w:rPr>
          <w:snapToGrid w:val="0"/>
        </w:rPr>
        <w:t>, a reference to a credit charge — </w:t>
      </w:r>
    </w:p>
    <w:p>
      <w:pPr>
        <w:pStyle w:val="Indenta"/>
        <w:rPr>
          <w:snapToGrid w:val="0"/>
        </w:rPr>
      </w:pPr>
      <w:r>
        <w:rPr>
          <w:snapToGrid w:val="0"/>
        </w:rPr>
        <w:tab/>
        <w:t>(a)</w:t>
      </w:r>
      <w:r>
        <w:rPr>
          <w:snapToGrid w:val="0"/>
        </w:rPr>
        <w:tab/>
        <w:t>in relation to a credit sale contract or a loan contract is a reference to the amount by which the amount payable under the contract by the debtor to the credit provider or a person on his behalf (not including amounts of deferral charges, default charges or enforcement expenses) exceeds the amount financed; and</w:t>
      </w:r>
    </w:p>
    <w:p>
      <w:pPr>
        <w:pStyle w:val="Indenta"/>
        <w:rPr>
          <w:snapToGrid w:val="0"/>
        </w:rPr>
      </w:pPr>
      <w:r>
        <w:rPr>
          <w:snapToGrid w:val="0"/>
        </w:rPr>
        <w:tab/>
        <w:t>(b)</w:t>
      </w:r>
      <w:r>
        <w:rPr>
          <w:snapToGrid w:val="0"/>
        </w:rPr>
        <w:tab/>
        <w:t>in relation to a billing cycle of a continuing credit contract, is a reference to a credit charge within the meaning of section 54.</w:t>
      </w:r>
    </w:p>
    <w:p>
      <w:pPr>
        <w:pStyle w:val="Subsection"/>
        <w:rPr>
          <w:snapToGrid w:val="0"/>
        </w:rPr>
      </w:pPr>
      <w:r>
        <w:rPr>
          <w:snapToGrid w:val="0"/>
        </w:rPr>
        <w:tab/>
        <w:t>(2)</w:t>
      </w:r>
      <w:r>
        <w:rPr>
          <w:snapToGrid w:val="0"/>
        </w:rPr>
        <w:tab/>
        <w:t xml:space="preserve">For the purposes of the definition of </w:t>
      </w:r>
      <w:r>
        <w:rPr>
          <w:b/>
          <w:i/>
          <w:snapToGrid w:val="0"/>
        </w:rPr>
        <w:t>accrued credit charge</w:t>
      </w:r>
      <w:r>
        <w:rPr>
          <w:snapToGrid w:val="0"/>
        </w:rPr>
        <w:t xml:space="preserve"> in relation to a credit sale contract or a loan contract, the amount of the credit charge which has accrued at a particular time may be calculated — </w:t>
      </w:r>
    </w:p>
    <w:p>
      <w:pPr>
        <w:pStyle w:val="Indenta"/>
        <w:rPr>
          <w:snapToGrid w:val="0"/>
        </w:rPr>
      </w:pPr>
      <w:r>
        <w:rPr>
          <w:snapToGrid w:val="0"/>
        </w:rPr>
        <w:tab/>
        <w:t>(a)</w:t>
      </w:r>
      <w:r>
        <w:rPr>
          <w:snapToGrid w:val="0"/>
        </w:rPr>
        <w:tab/>
        <w:t>by adding together the amounts ascertained by applying the daily percentage rate to the unpaid daily balances (being daily balances before that time) — </w:t>
      </w:r>
    </w:p>
    <w:p>
      <w:pPr>
        <w:pStyle w:val="Indenti"/>
        <w:rPr>
          <w:snapToGrid w:val="0"/>
        </w:rPr>
      </w:pPr>
      <w:r>
        <w:rPr>
          <w:snapToGrid w:val="0"/>
        </w:rPr>
        <w:tab/>
        <w:t>(i)</w:t>
      </w:r>
      <w:r>
        <w:rPr>
          <w:snapToGrid w:val="0"/>
        </w:rPr>
        <w:tab/>
        <w:t>in the case of a credit sale contract — of the amount financed; or</w:t>
      </w:r>
    </w:p>
    <w:p>
      <w:pPr>
        <w:pStyle w:val="Indenti"/>
        <w:rPr>
          <w:snapToGrid w:val="0"/>
        </w:rPr>
      </w:pPr>
      <w:r>
        <w:rPr>
          <w:snapToGrid w:val="0"/>
        </w:rPr>
        <w:tab/>
        <w:t>(ii)</w:t>
      </w:r>
      <w:r>
        <w:rPr>
          <w:snapToGrid w:val="0"/>
        </w:rPr>
        <w:tab/>
        <w:t>in the case of a loan contract — of the amount financed other than any part of the amount agreed under the contract to be lent that has not been lent at that time;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Schedule 1 applies to the credit sale contract or loan contract — in accordance with the formula set out in that Schedule; or</w:t>
      </w:r>
    </w:p>
    <w:p>
      <w:pPr>
        <w:pStyle w:val="Indenta"/>
        <w:spacing w:before="60"/>
        <w:rPr>
          <w:snapToGrid w:val="0"/>
        </w:rPr>
      </w:pPr>
      <w:r>
        <w:rPr>
          <w:snapToGrid w:val="0"/>
        </w:rPr>
        <w:tab/>
        <w:t>(c)</w:t>
      </w:r>
      <w:r>
        <w:rPr>
          <w:snapToGrid w:val="0"/>
        </w:rPr>
        <w:tab/>
        <w:t>where an applicable method is prescribed for the purposes</w:t>
      </w:r>
      <w:bookmarkStart w:id="31" w:name="RuleErr_75"/>
      <w:r>
        <w:rPr>
          <w:snapToGrid w:val="0"/>
        </w:rPr>
        <w:t xml:space="preserve"> of this subsection</w:t>
      </w:r>
      <w:bookmarkEnd w:id="31"/>
      <w:r>
        <w:rPr>
          <w:snapToGrid w:val="0"/>
        </w:rPr>
        <w:t> — in accordance with that method.</w:t>
      </w:r>
    </w:p>
    <w:p>
      <w:pPr>
        <w:pStyle w:val="Subsection"/>
        <w:spacing w:before="140"/>
        <w:rPr>
          <w:snapToGrid w:val="0"/>
        </w:rPr>
      </w:pPr>
      <w:r>
        <w:rPr>
          <w:snapToGrid w:val="0"/>
        </w:rPr>
        <w:tab/>
        <w:t>(3)</w:t>
      </w:r>
      <w:r>
        <w:rPr>
          <w:snapToGrid w:val="0"/>
        </w:rPr>
        <w:tab/>
        <w:t>In calculating the amount of a credit charge which has accrued under a credit sale contract or a loan contract, the credit provider may, if he so determines, apply a percentage rate per annum that is lower than the annual percentage rate disclosed under the contract.</w:t>
      </w:r>
    </w:p>
    <w:p>
      <w:pPr>
        <w:pStyle w:val="Heading5"/>
        <w:rPr>
          <w:snapToGrid w:val="0"/>
        </w:rPr>
      </w:pPr>
      <w:bookmarkStart w:id="32" w:name="_Toc392496475"/>
      <w:r>
        <w:rPr>
          <w:rStyle w:val="CharSectno"/>
        </w:rPr>
        <w:t>12</w:t>
      </w:r>
      <w:r>
        <w:rPr>
          <w:snapToGrid w:val="0"/>
        </w:rPr>
        <w:t>.</w:t>
      </w:r>
      <w:r>
        <w:rPr>
          <w:snapToGrid w:val="0"/>
        </w:rPr>
        <w:tab/>
        <w:t>Terms used: tied loan contract, tied continuing credit contract</w:t>
      </w:r>
      <w:bookmarkEnd w:id="32"/>
    </w:p>
    <w:p>
      <w:pPr>
        <w:pStyle w:val="Subsection"/>
        <w:spacing w:before="140"/>
        <w:rPr>
          <w:snapToGrid w:val="0"/>
        </w:rPr>
      </w:pPr>
      <w:r>
        <w:rPr>
          <w:snapToGrid w:val="0"/>
        </w:rPr>
        <w:tab/>
        <w:t>(1)</w:t>
      </w:r>
      <w:r>
        <w:rPr>
          <w:snapToGrid w:val="0"/>
        </w:rPr>
        <w:tab/>
        <w:t>For the purposes</w:t>
      </w:r>
      <w:bookmarkStart w:id="33" w:name="RuleErr_101"/>
      <w:r>
        <w:rPr>
          <w:snapToGrid w:val="0"/>
        </w:rPr>
        <w:t xml:space="preserve"> of this Act</w:t>
      </w:r>
      <w:bookmarkEnd w:id="33"/>
      <w:r>
        <w:rPr>
          <w:snapToGrid w:val="0"/>
        </w:rPr>
        <w:t>, a loan contract is a tied loan contract where the credit provider enters into the loan contract with a person who is a buyer of goods or services supplied by a supplier and — </w:t>
      </w:r>
    </w:p>
    <w:p>
      <w:pPr>
        <w:pStyle w:val="Indenta"/>
        <w:spacing w:before="60"/>
        <w:rPr>
          <w:snapToGrid w:val="0"/>
        </w:rPr>
      </w:pPr>
      <w:r>
        <w:rPr>
          <w:snapToGrid w:val="0"/>
        </w:rPr>
        <w:tab/>
        <w:t>(a)</w:t>
      </w:r>
      <w:r>
        <w:rPr>
          <w:snapToGrid w:val="0"/>
        </w:rPr>
        <w:tab/>
        <w:t>the credit provider knows or ought reasonably to know that the buyer enters into the loan contract wholly or partly for the purposes of payment for the goods or services; and</w:t>
      </w:r>
    </w:p>
    <w:p>
      <w:pPr>
        <w:pStyle w:val="Indenta"/>
        <w:spacing w:before="60"/>
        <w:rPr>
          <w:snapToGrid w:val="0"/>
        </w:rPr>
      </w:pPr>
      <w:r>
        <w:rPr>
          <w:snapToGrid w:val="0"/>
        </w:rPr>
        <w:tab/>
        <w:t>(b)</w:t>
      </w:r>
      <w:r>
        <w:rPr>
          <w:snapToGrid w:val="0"/>
        </w:rPr>
        <w:tab/>
        <w:t>at the time the loan contract is entered into the credit provider is a linked credit provider of the supplier.</w:t>
      </w:r>
    </w:p>
    <w:p>
      <w:pPr>
        <w:pStyle w:val="Subsection"/>
        <w:spacing w:before="140"/>
        <w:rPr>
          <w:snapToGrid w:val="0"/>
        </w:rPr>
      </w:pPr>
      <w:r>
        <w:rPr>
          <w:snapToGrid w:val="0"/>
        </w:rPr>
        <w:tab/>
        <w:t>(2)</w:t>
      </w:r>
      <w:r>
        <w:rPr>
          <w:snapToGrid w:val="0"/>
        </w:rPr>
        <w:tab/>
        <w:t>For the purposes</w:t>
      </w:r>
      <w:bookmarkStart w:id="34" w:name="RuleErr_102"/>
      <w:r>
        <w:rPr>
          <w:snapToGrid w:val="0"/>
        </w:rPr>
        <w:t xml:space="preserve"> of this Act</w:t>
      </w:r>
      <w:bookmarkEnd w:id="34"/>
      <w:r>
        <w:rPr>
          <w:snapToGrid w:val="0"/>
        </w:rPr>
        <w:t>, a continuing credit contract is a tied continuing credit contract where the credit provider provides credit under the continuing credit contract in respect of the payment by the debtor for goods or services supplied by a supplier in relation to whom the credit provider is a linked credit provider.</w:t>
      </w:r>
    </w:p>
    <w:p>
      <w:pPr>
        <w:pStyle w:val="Heading5"/>
        <w:rPr>
          <w:snapToGrid w:val="0"/>
        </w:rPr>
      </w:pPr>
      <w:bookmarkStart w:id="35" w:name="_Toc392496476"/>
      <w:r>
        <w:rPr>
          <w:rStyle w:val="CharSectno"/>
        </w:rPr>
        <w:t>13</w:t>
      </w:r>
      <w:r>
        <w:rPr>
          <w:snapToGrid w:val="0"/>
        </w:rPr>
        <w:t>.</w:t>
      </w:r>
      <w:r>
        <w:rPr>
          <w:snapToGrid w:val="0"/>
        </w:rPr>
        <w:tab/>
        <w:t>Some contracts for hire of goods deemed credit sale contracts</w:t>
      </w:r>
      <w:bookmarkEnd w:id="35"/>
    </w:p>
    <w:p>
      <w:pPr>
        <w:pStyle w:val="Subsection"/>
        <w:spacing w:before="140"/>
        <w:rPr>
          <w:snapToGrid w:val="0"/>
        </w:rPr>
      </w:pPr>
      <w:r>
        <w:rPr>
          <w:snapToGrid w:val="0"/>
        </w:rPr>
        <w:tab/>
        <w:t>(1)</w:t>
      </w:r>
      <w:r>
        <w:rPr>
          <w:snapToGrid w:val="0"/>
        </w:rPr>
        <w:tab/>
        <w:t>A contract for the hiring of goods shall be deemed to be a credit sale contract if — </w:t>
      </w:r>
    </w:p>
    <w:p>
      <w:pPr>
        <w:pStyle w:val="Indenta"/>
        <w:spacing w:before="60"/>
        <w:rPr>
          <w:snapToGrid w:val="0"/>
        </w:rPr>
      </w:pPr>
      <w:r>
        <w:rPr>
          <w:snapToGrid w:val="0"/>
        </w:rPr>
        <w:tab/>
        <w:t>(a)</w:t>
      </w:r>
      <w:r>
        <w:rPr>
          <w:snapToGrid w:val="0"/>
        </w:rPr>
        <w:tab/>
        <w:t>the cash price of the goods at the time when the contract for the hiring is made is not more than $20 000 or the goods are, or include, a commercial vehicle or farm machinery in relation to which the cash price is more than $20 000; and</w:t>
      </w:r>
    </w:p>
    <w:p>
      <w:pPr>
        <w:pStyle w:val="Indenta"/>
        <w:rPr>
          <w:snapToGrid w:val="0"/>
        </w:rPr>
      </w:pPr>
      <w:r>
        <w:rPr>
          <w:snapToGrid w:val="0"/>
        </w:rPr>
        <w:tab/>
        <w:t>(b)</w:t>
      </w:r>
      <w:r>
        <w:rPr>
          <w:snapToGrid w:val="0"/>
        </w:rPr>
        <w:tab/>
        <w:t>under the contract the person to whom the goods are hired has a right, obligation or option to purchase the goods.</w:t>
      </w:r>
    </w:p>
    <w:p>
      <w:pPr>
        <w:pStyle w:val="Subsection"/>
        <w:spacing w:before="180"/>
        <w:rPr>
          <w:snapToGrid w:val="0"/>
        </w:rPr>
      </w:pPr>
      <w:r>
        <w:rPr>
          <w:snapToGrid w:val="0"/>
        </w:rPr>
        <w:tab/>
        <w:t>(2)</w:t>
      </w:r>
      <w:r>
        <w:rPr>
          <w:snapToGrid w:val="0"/>
        </w:rPr>
        <w:tab/>
        <w:t>A contract for the hiring of goods shall be deemed to be a credit sale contract if the cash price of the goods at the time the contract is made is not more than $20 000 or the goods are a commercial vehicle or farm machinery and — </w:t>
      </w:r>
    </w:p>
    <w:p>
      <w:pPr>
        <w:pStyle w:val="Indenta"/>
        <w:spacing w:before="90"/>
        <w:rPr>
          <w:snapToGrid w:val="0"/>
        </w:rPr>
      </w:pPr>
      <w:r>
        <w:rPr>
          <w:snapToGrid w:val="0"/>
        </w:rPr>
        <w:tab/>
        <w:t>(a)</w:t>
      </w:r>
      <w:r>
        <w:rPr>
          <w:snapToGrid w:val="0"/>
        </w:rPr>
        <w:tab/>
        <w:t>the contract provides, or it is reasonably likely having regard to the nature of the goods that the goods are, or are to be, affixed to land or to other goods and the goods are not, or when so affixed would not be, reasonably capable of being re</w:t>
      </w:r>
      <w:r>
        <w:rPr>
          <w:snapToGrid w:val="0"/>
        </w:rPr>
        <w:noBreakHyphen/>
        <w:t>delivered to the supplier; or</w:t>
      </w:r>
    </w:p>
    <w:p>
      <w:pPr>
        <w:pStyle w:val="Indenta"/>
        <w:spacing w:before="90"/>
        <w:rPr>
          <w:snapToGrid w:val="0"/>
        </w:rPr>
      </w:pPr>
      <w:r>
        <w:rPr>
          <w:snapToGrid w:val="0"/>
        </w:rPr>
        <w:tab/>
        <w:t>(b)</w:t>
      </w:r>
      <w:r>
        <w:rPr>
          <w:snapToGrid w:val="0"/>
        </w:rPr>
        <w:tab/>
        <w:t>before the contract is made, the supplier — </w:t>
      </w:r>
    </w:p>
    <w:p>
      <w:pPr>
        <w:pStyle w:val="Indenti"/>
        <w:spacing w:before="90"/>
        <w:rPr>
          <w:snapToGrid w:val="0"/>
        </w:rPr>
      </w:pPr>
      <w:r>
        <w:rPr>
          <w:snapToGrid w:val="0"/>
        </w:rPr>
        <w:tab/>
        <w:t>(i)</w:t>
      </w:r>
      <w:r>
        <w:rPr>
          <w:snapToGrid w:val="0"/>
        </w:rPr>
        <w:tab/>
        <w:t>acts in such a manner that the person to whom the goods are hired ought reasonably to infer that the supplier is willing, whether during or within a reasonable time after the period during which the contract is in force, to negotiate the sale to him of the goods or of goods of a value and description similar to the value and description of the goods to which the contract relates (being a value and description as at the time the contract is made); and</w:t>
      </w:r>
    </w:p>
    <w:p>
      <w:pPr>
        <w:pStyle w:val="Indenti"/>
        <w:spacing w:before="90"/>
        <w:rPr>
          <w:snapToGrid w:val="0"/>
        </w:rPr>
      </w:pPr>
      <w:r>
        <w:rPr>
          <w:snapToGrid w:val="0"/>
        </w:rPr>
        <w:tab/>
        <w:t>(ii)</w:t>
      </w:r>
      <w:r>
        <w:rPr>
          <w:snapToGrid w:val="0"/>
        </w:rPr>
        <w:tab/>
        <w:t xml:space="preserve">expects, or in the circumstances ought reasonably to expect, that the person to whom the goods are hired will negotiate the purchase by him of the goods or of goods of such a similar value and description; </w:t>
      </w:r>
    </w:p>
    <w:p>
      <w:pPr>
        <w:pStyle w:val="Indenta"/>
        <w:spacing w:before="90"/>
        <w:rPr>
          <w:snapToGrid w:val="0"/>
        </w:rPr>
      </w:pPr>
      <w:r>
        <w:rPr>
          <w:snapToGrid w:val="0"/>
        </w:rPr>
        <w:tab/>
      </w:r>
      <w:r>
        <w:rPr>
          <w:snapToGrid w:val="0"/>
        </w:rPr>
        <w:tab/>
        <w:t>or</w:t>
      </w:r>
    </w:p>
    <w:p>
      <w:pPr>
        <w:pStyle w:val="Indenta"/>
        <w:spacing w:before="90"/>
        <w:rPr>
          <w:snapToGrid w:val="0"/>
        </w:rPr>
      </w:pPr>
      <w:r>
        <w:rPr>
          <w:snapToGrid w:val="0"/>
        </w:rPr>
        <w:tab/>
        <w:t>(c)</w:t>
      </w:r>
      <w:r>
        <w:rPr>
          <w:snapToGrid w:val="0"/>
        </w:rPr>
        <w:tab/>
        <w:t>before the contract is made, it is agreed that the person to whom the goods are hired may continue the contract for a nominal consideration for a period that exceeds, or for 2 or more periods that together exceed, the period of 2 years after the expiration of the original term of the contract for the hiring.</w:t>
      </w:r>
    </w:p>
    <w:p>
      <w:pPr>
        <w:pStyle w:val="Subsection"/>
        <w:keepNext/>
        <w:spacing w:before="180"/>
        <w:rPr>
          <w:snapToGrid w:val="0"/>
        </w:rPr>
      </w:pPr>
      <w:r>
        <w:rPr>
          <w:snapToGrid w:val="0"/>
        </w:rPr>
        <w:tab/>
        <w:t>(3)</w:t>
      </w:r>
      <w:r>
        <w:rPr>
          <w:snapToGrid w:val="0"/>
        </w:rPr>
        <w:tab/>
        <w:t>Where a contract for the hiring of goods is by this section deemed to be a credit sale contract — </w:t>
      </w:r>
    </w:p>
    <w:p>
      <w:pPr>
        <w:pStyle w:val="Indenta"/>
        <w:spacing w:before="90"/>
        <w:rPr>
          <w:snapToGrid w:val="0"/>
        </w:rPr>
      </w:pPr>
      <w:r>
        <w:rPr>
          <w:snapToGrid w:val="0"/>
        </w:rPr>
        <w:tab/>
        <w:t>(a)</w:t>
      </w:r>
      <w:r>
        <w:rPr>
          <w:snapToGrid w:val="0"/>
        </w:rPr>
        <w:tab/>
        <w:t>the person from whom the goods are hired is the credit provider under the credit sale contract; and</w:t>
      </w:r>
    </w:p>
    <w:p>
      <w:pPr>
        <w:pStyle w:val="Indenta"/>
        <w:spacing w:before="90"/>
        <w:rPr>
          <w:snapToGrid w:val="0"/>
        </w:rPr>
      </w:pPr>
      <w:r>
        <w:rPr>
          <w:snapToGrid w:val="0"/>
        </w:rPr>
        <w:tab/>
        <w:t>(b)</w:t>
      </w:r>
      <w:r>
        <w:rPr>
          <w:snapToGrid w:val="0"/>
        </w:rPr>
        <w:tab/>
        <w:t>the person to whom the goods are hired is the debtor under the credit sale contract; and</w:t>
      </w:r>
    </w:p>
    <w:p>
      <w:pPr>
        <w:pStyle w:val="Indenta"/>
        <w:spacing w:before="90"/>
        <w:rPr>
          <w:snapToGrid w:val="0"/>
        </w:rPr>
      </w:pPr>
      <w:r>
        <w:rPr>
          <w:snapToGrid w:val="0"/>
        </w:rPr>
        <w:tab/>
        <w:t>(c)</w:t>
      </w:r>
      <w:r>
        <w:rPr>
          <w:snapToGrid w:val="0"/>
        </w:rPr>
        <w:tab/>
        <w:t>the cash price of the goods for the purposes of the credit sale contract is the cash price in relation to the contract for the hiring; and</w:t>
      </w:r>
    </w:p>
    <w:p>
      <w:pPr>
        <w:pStyle w:val="Indenta"/>
        <w:spacing w:before="90"/>
        <w:rPr>
          <w:snapToGrid w:val="0"/>
        </w:rPr>
      </w:pPr>
      <w:r>
        <w:rPr>
          <w:snapToGrid w:val="0"/>
        </w:rPr>
        <w:tab/>
        <w:t>(d)</w:t>
      </w:r>
      <w:r>
        <w:rPr>
          <w:snapToGrid w:val="0"/>
        </w:rPr>
        <w:tab/>
        <w:t>the instalments payable under the contract for the hiring are instalments payable under the credit sale contract; and</w:t>
      </w:r>
    </w:p>
    <w:p>
      <w:pPr>
        <w:pStyle w:val="Indenta"/>
        <w:spacing w:before="90"/>
        <w:rPr>
          <w:snapToGrid w:val="0"/>
        </w:rPr>
      </w:pPr>
      <w:r>
        <w:rPr>
          <w:snapToGrid w:val="0"/>
        </w:rPr>
        <w:tab/>
        <w:t>(e)</w:t>
      </w:r>
      <w:r>
        <w:rPr>
          <w:snapToGrid w:val="0"/>
        </w:rPr>
        <w:tab/>
        <w:t>the property of the supplier in the goods passes under the contract to the person to whom the goods are hired upon delivery of the goods or the making of the contract whichever last occurs; and</w:t>
      </w:r>
    </w:p>
    <w:p>
      <w:pPr>
        <w:pStyle w:val="Indenta"/>
        <w:spacing w:before="90"/>
        <w:rPr>
          <w:snapToGrid w:val="0"/>
        </w:rPr>
      </w:pPr>
      <w:r>
        <w:rPr>
          <w:snapToGrid w:val="0"/>
        </w:rPr>
        <w:tab/>
        <w:t>(f)</w:t>
      </w:r>
      <w:r>
        <w:rPr>
          <w:snapToGrid w:val="0"/>
        </w:rPr>
        <w:tab/>
        <w:t>a mortgage containing the prescribed terms and conditions shall be deemed to have been entered into in writing between the person to whom the goods are hired and the supplier as security for payment to the supplier of the amount payable to him by the person to whom the goods are hired under the contract; and</w:t>
      </w:r>
    </w:p>
    <w:p>
      <w:pPr>
        <w:pStyle w:val="Indenta"/>
        <w:spacing w:before="90"/>
        <w:rPr>
          <w:snapToGrid w:val="0"/>
        </w:rPr>
      </w:pPr>
      <w:r>
        <w:rPr>
          <w:snapToGrid w:val="0"/>
        </w:rPr>
        <w:tab/>
        <w:t>(g)</w:t>
      </w:r>
      <w:r>
        <w:rPr>
          <w:snapToGrid w:val="0"/>
        </w:rPr>
        <w:tab/>
        <w:t>any provision in the contract for hiring by virtue of which the supplier is empowered to take possession, or dispose of, the goods to which the contract relates is void.</w:t>
      </w:r>
    </w:p>
    <w:p>
      <w:pPr>
        <w:pStyle w:val="Subsection"/>
        <w:spacing w:before="180"/>
        <w:rPr>
          <w:snapToGrid w:val="0"/>
        </w:rPr>
      </w:pPr>
      <w:r>
        <w:rPr>
          <w:snapToGrid w:val="0"/>
        </w:rPr>
        <w:tab/>
        <w:t>(4)</w:t>
      </w:r>
      <w:r>
        <w:rPr>
          <w:snapToGrid w:val="0"/>
        </w:rPr>
        <w:tab/>
        <w:t>Subsection (2) does not apply to a contract for the hiring of goods that are or might reasonably be expected to be used by the person to whom they are hired for the purpose of a business carried on by him or by him and another person or other persons, where the whole or the greater part of the amount payable under the contract is, or might reasonably be expected to be, a loss or outgoing necessarily incurred in carrying on the busine</w:t>
      </w:r>
      <w:bookmarkStart w:id="36" w:name="RuleErr_157"/>
      <w:r>
        <w:rPr>
          <w:snapToGrid w:val="0"/>
        </w:rPr>
        <w:t>ss.</w:t>
      </w:r>
      <w:bookmarkEnd w:id="36"/>
    </w:p>
    <w:p>
      <w:pPr>
        <w:pStyle w:val="Subsection"/>
        <w:keepNext/>
        <w:rPr>
          <w:snapToGrid w:val="0"/>
        </w:rPr>
      </w:pPr>
      <w:r>
        <w:rPr>
          <w:snapToGrid w:val="0"/>
        </w:rPr>
        <w:tab/>
        <w:t>(5)</w:t>
      </w:r>
      <w:r>
        <w:rPr>
          <w:snapToGrid w:val="0"/>
        </w:rPr>
        <w:tab/>
        <w:t>In this section — </w:t>
      </w:r>
    </w:p>
    <w:p>
      <w:pPr>
        <w:pStyle w:val="Indenta"/>
        <w:spacing w:before="60"/>
        <w:rPr>
          <w:snapToGrid w:val="0"/>
        </w:rPr>
      </w:pPr>
      <w:r>
        <w:rPr>
          <w:snapToGrid w:val="0"/>
        </w:rPr>
        <w:tab/>
        <w:t>(a)</w:t>
      </w:r>
      <w:r>
        <w:rPr>
          <w:snapToGrid w:val="0"/>
        </w:rPr>
        <w:tab/>
        <w:t>a reference to a contract for the hiring of goods does not include — </w:t>
      </w:r>
    </w:p>
    <w:p>
      <w:pPr>
        <w:pStyle w:val="Indenti"/>
        <w:spacing w:before="60"/>
        <w:rPr>
          <w:snapToGrid w:val="0"/>
        </w:rPr>
      </w:pPr>
      <w:r>
        <w:rPr>
          <w:snapToGrid w:val="0"/>
        </w:rPr>
        <w:tab/>
        <w:t>(i)</w:t>
      </w:r>
      <w:r>
        <w:rPr>
          <w:snapToGrid w:val="0"/>
        </w:rPr>
        <w:tab/>
        <w:t>a reference to a contract for the hiring of goods to a body corporate; or</w:t>
      </w:r>
    </w:p>
    <w:p>
      <w:pPr>
        <w:pStyle w:val="Indenti"/>
        <w:spacing w:before="60"/>
        <w:rPr>
          <w:snapToGrid w:val="0"/>
        </w:rPr>
      </w:pPr>
      <w:r>
        <w:rPr>
          <w:snapToGrid w:val="0"/>
        </w:rPr>
        <w:tab/>
        <w:t>(ii)</w:t>
      </w:r>
      <w:r>
        <w:rPr>
          <w:snapToGrid w:val="0"/>
        </w:rPr>
        <w:tab/>
        <w:t>a reference to a contract for the hiring of goods to the extent that the financial accommodation provided in relation to the goods is not credit within the meaning</w:t>
      </w:r>
      <w:bookmarkStart w:id="37" w:name="RuleErr_103"/>
      <w:r>
        <w:rPr>
          <w:snapToGrid w:val="0"/>
        </w:rPr>
        <w:t xml:space="preserve"> of this Act</w:t>
      </w:r>
      <w:bookmarkEnd w:id="37"/>
      <w:r>
        <w:rPr>
          <w:snapToGrid w:val="0"/>
        </w:rPr>
        <w:t xml:space="preserv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r>
      <w:r>
        <w:rPr>
          <w:rStyle w:val="CharDefText"/>
        </w:rPr>
        <w:t>cash price</w:t>
      </w:r>
      <w:r>
        <w:rPr>
          <w:snapToGrid w:val="0"/>
        </w:rPr>
        <w:t>, in relation to a contract for the hiring of goods — </w:t>
      </w:r>
    </w:p>
    <w:p>
      <w:pPr>
        <w:pStyle w:val="Indenti"/>
        <w:spacing w:before="60"/>
        <w:rPr>
          <w:snapToGrid w:val="0"/>
        </w:rPr>
      </w:pPr>
      <w:r>
        <w:rPr>
          <w:snapToGrid w:val="0"/>
        </w:rPr>
        <w:tab/>
        <w:t>(i)</w:t>
      </w:r>
      <w:r>
        <w:rPr>
          <w:snapToGrid w:val="0"/>
        </w:rPr>
        <w:tab/>
        <w:t>where at the time the contract is made the goods are available for purchase for cash from the person from whom the goods are hired — means the lowest price at which the person to whom the goods are hired might have bought the goods from the first</w:t>
      </w:r>
      <w:r>
        <w:rPr>
          <w:snapToGrid w:val="0"/>
        </w:rPr>
        <w:noBreakHyphen/>
      </w:r>
      <w:bookmarkStart w:id="38" w:name="RuleErr_137"/>
      <w:r>
        <w:rPr>
          <w:snapToGrid w:val="0"/>
        </w:rPr>
        <w:t>mentioned</w:t>
      </w:r>
      <w:bookmarkEnd w:id="38"/>
      <w:r>
        <w:rPr>
          <w:snapToGrid w:val="0"/>
        </w:rPr>
        <w:t xml:space="preserve"> person for cash; or</w:t>
      </w:r>
    </w:p>
    <w:p>
      <w:pPr>
        <w:pStyle w:val="Indenti"/>
        <w:spacing w:before="60"/>
        <w:rPr>
          <w:snapToGrid w:val="0"/>
        </w:rPr>
      </w:pPr>
      <w:r>
        <w:rPr>
          <w:snapToGrid w:val="0"/>
        </w:rPr>
        <w:tab/>
        <w:t>(ii)</w:t>
      </w:r>
      <w:r>
        <w:rPr>
          <w:snapToGrid w:val="0"/>
        </w:rPr>
        <w:tab/>
        <w:t>where at the time the contract is made the goods are reasonably available for purchase for cash but are not reasonably available for purchase for cash from the person from whom the goods are hired — means the price at which, at that time, the person to whom the goods are hired might reasonably have bought goods of that kind for cash; or</w:t>
      </w:r>
    </w:p>
    <w:p>
      <w:pPr>
        <w:pStyle w:val="Indenti"/>
        <w:spacing w:before="60"/>
        <w:rPr>
          <w:snapToGrid w:val="0"/>
        </w:rPr>
      </w:pPr>
      <w:r>
        <w:rPr>
          <w:snapToGrid w:val="0"/>
        </w:rPr>
        <w:tab/>
        <w:t>(iii)</w:t>
      </w:r>
      <w:r>
        <w:rPr>
          <w:snapToGrid w:val="0"/>
        </w:rPr>
        <w:tab/>
        <w:t>where at the time the contract is made the goods are not reasonably available for purchase for cash — means the amount that is the reasonable value of the goods at that time.</w:t>
      </w:r>
    </w:p>
    <w:p>
      <w:pPr>
        <w:pStyle w:val="Heading5"/>
        <w:rPr>
          <w:snapToGrid w:val="0"/>
        </w:rPr>
      </w:pPr>
      <w:bookmarkStart w:id="39" w:name="_Toc392496477"/>
      <w:r>
        <w:rPr>
          <w:rStyle w:val="CharSectno"/>
        </w:rPr>
        <w:t>14</w:t>
      </w:r>
      <w:r>
        <w:rPr>
          <w:snapToGrid w:val="0"/>
        </w:rPr>
        <w:t>.</w:t>
      </w:r>
      <w:r>
        <w:rPr>
          <w:snapToGrid w:val="0"/>
        </w:rPr>
        <w:tab/>
        <w:t>Contracts that are not credit sale contracts</w:t>
      </w:r>
      <w:bookmarkEnd w:id="39"/>
    </w:p>
    <w:p>
      <w:pPr>
        <w:pStyle w:val="Subsection"/>
        <w:keepNext/>
        <w:rPr>
          <w:snapToGrid w:val="0"/>
        </w:rPr>
      </w:pPr>
      <w:r>
        <w:rPr>
          <w:snapToGrid w:val="0"/>
        </w:rPr>
        <w:tab/>
        <w:t>(1)</w:t>
      </w:r>
      <w:r>
        <w:rPr>
          <w:snapToGrid w:val="0"/>
        </w:rPr>
        <w:tab/>
        <w:t>For the purposes</w:t>
      </w:r>
      <w:bookmarkStart w:id="40" w:name="RuleErr_104"/>
      <w:r>
        <w:rPr>
          <w:snapToGrid w:val="0"/>
        </w:rPr>
        <w:t xml:space="preserve"> of this Act</w:t>
      </w:r>
      <w:bookmarkEnd w:id="40"/>
      <w:r>
        <w:rPr>
          <w:snapToGrid w:val="0"/>
        </w:rPr>
        <w:t>, a reference to a credit sale contract does not include — </w:t>
      </w:r>
    </w:p>
    <w:p>
      <w:pPr>
        <w:pStyle w:val="Indenta"/>
        <w:rPr>
          <w:snapToGrid w:val="0"/>
        </w:rPr>
      </w:pPr>
      <w:r>
        <w:rPr>
          <w:snapToGrid w:val="0"/>
        </w:rPr>
        <w:tab/>
        <w:t>(a)</w:t>
      </w:r>
      <w:r>
        <w:rPr>
          <w:snapToGrid w:val="0"/>
        </w:rPr>
        <w:tab/>
        <w:t>a reference to a contract of sale of goods or services in respect of the payment for which credit is, or is to be, provided under a continuing credit contract; or</w:t>
      </w:r>
    </w:p>
    <w:p>
      <w:pPr>
        <w:pStyle w:val="Indenta"/>
        <w:rPr>
          <w:snapToGrid w:val="0"/>
        </w:rPr>
      </w:pPr>
      <w:r>
        <w:rPr>
          <w:snapToGrid w:val="0"/>
        </w:rPr>
        <w:tab/>
        <w:t>(b)</w:t>
      </w:r>
      <w:r>
        <w:rPr>
          <w:snapToGrid w:val="0"/>
        </w:rPr>
        <w:tab/>
        <w:t>a reference to a lay</w:t>
      </w:r>
      <w:r>
        <w:rPr>
          <w:snapToGrid w:val="0"/>
        </w:rPr>
        <w:noBreakHyphen/>
        <w:t>by sale within the meaning of subsection (2).</w:t>
      </w:r>
    </w:p>
    <w:p>
      <w:pPr>
        <w:pStyle w:val="Subsection"/>
        <w:rPr>
          <w:snapToGrid w:val="0"/>
        </w:rPr>
      </w:pPr>
      <w:r>
        <w:rPr>
          <w:snapToGrid w:val="0"/>
        </w:rPr>
        <w:tab/>
        <w:t>(2)</w:t>
      </w:r>
      <w:r>
        <w:rPr>
          <w:snapToGrid w:val="0"/>
        </w:rPr>
        <w:tab/>
        <w:t>A reference in subsection (1) to a lay</w:t>
      </w:r>
      <w:r>
        <w:rPr>
          <w:snapToGrid w:val="0"/>
        </w:rPr>
        <w:noBreakHyphen/>
        <w:t>by sale is a reference to a sale of goods, or an agreement to sell goods, under conditions, express or implied, which provide that — </w:t>
      </w:r>
    </w:p>
    <w:p>
      <w:pPr>
        <w:pStyle w:val="Indenta"/>
        <w:rPr>
          <w:snapToGrid w:val="0"/>
        </w:rPr>
      </w:pPr>
      <w:r>
        <w:rPr>
          <w:snapToGrid w:val="0"/>
        </w:rPr>
        <w:tab/>
        <w:t>(a)</w:t>
      </w:r>
      <w:r>
        <w:rPr>
          <w:snapToGrid w:val="0"/>
        </w:rPr>
        <w:tab/>
        <w:t>any of the goods sold or agreed to be sold will not be delivered to the purchaser until the purchase price is paid for the goods to be delivered, whether or not any charge is expressed to be payable for storage of the goods; and</w:t>
      </w:r>
    </w:p>
    <w:p>
      <w:pPr>
        <w:pStyle w:val="Indenta"/>
        <w:rPr>
          <w:snapToGrid w:val="0"/>
        </w:rPr>
      </w:pPr>
      <w:r>
        <w:rPr>
          <w:snapToGrid w:val="0"/>
        </w:rPr>
        <w:tab/>
        <w:t>(b)</w:t>
      </w:r>
      <w:r>
        <w:rPr>
          <w:snapToGrid w:val="0"/>
        </w:rPr>
        <w:tab/>
        <w:t>the purchase price or, where a deposit is paid, the balance of the purchase price — </w:t>
      </w:r>
    </w:p>
    <w:p>
      <w:pPr>
        <w:pStyle w:val="Indenti"/>
        <w:rPr>
          <w:snapToGrid w:val="0"/>
        </w:rPr>
      </w:pPr>
      <w:r>
        <w:rPr>
          <w:snapToGrid w:val="0"/>
        </w:rPr>
        <w:tab/>
        <w:t>(i)</w:t>
      </w:r>
      <w:r>
        <w:rPr>
          <w:snapToGrid w:val="0"/>
        </w:rPr>
        <w:tab/>
        <w:t>is to be payable by instalments (whether the number of instalments or the amount of all or any of the instalments is fixed by those conditions or is left at the option of the purchaser) payable over a fixed or ascertainable period; or</w:t>
      </w:r>
    </w:p>
    <w:p>
      <w:pPr>
        <w:pStyle w:val="Indenti"/>
        <w:rPr>
          <w:snapToGrid w:val="0"/>
        </w:rPr>
      </w:pPr>
      <w:r>
        <w:rPr>
          <w:snapToGrid w:val="0"/>
        </w:rPr>
        <w:tab/>
        <w:t>(ii)</w:t>
      </w:r>
      <w:r>
        <w:rPr>
          <w:snapToGrid w:val="0"/>
        </w:rPr>
        <w:tab/>
        <w:t>is to be paid at the expiration of a fixed or ascertainable period with an option, express or implied, for the purchaser to make payments in respect of the purchase price during that period.</w:t>
      </w:r>
    </w:p>
    <w:p>
      <w:pPr>
        <w:pStyle w:val="Heading5"/>
        <w:rPr>
          <w:snapToGrid w:val="0"/>
        </w:rPr>
      </w:pPr>
      <w:bookmarkStart w:id="41" w:name="_Toc392496478"/>
      <w:r>
        <w:rPr>
          <w:rStyle w:val="CharSectno"/>
        </w:rPr>
        <w:t>15</w:t>
      </w:r>
      <w:r>
        <w:rPr>
          <w:snapToGrid w:val="0"/>
        </w:rPr>
        <w:t>.</w:t>
      </w:r>
      <w:r>
        <w:rPr>
          <w:snapToGrid w:val="0"/>
        </w:rPr>
        <w:tab/>
        <w:t>Some credit excluded from being credit in relation to loan contracts</w:t>
      </w:r>
      <w:bookmarkEnd w:id="41"/>
    </w:p>
    <w:p>
      <w:pPr>
        <w:pStyle w:val="Subsection"/>
        <w:rPr>
          <w:snapToGrid w:val="0"/>
        </w:rPr>
      </w:pPr>
      <w:r>
        <w:rPr>
          <w:snapToGrid w:val="0"/>
        </w:rPr>
        <w:tab/>
      </w:r>
      <w:r>
        <w:rPr>
          <w:snapToGrid w:val="0"/>
        </w:rPr>
        <w:tab/>
        <w:t>For the purposes</w:t>
      </w:r>
      <w:bookmarkStart w:id="42" w:name="RuleErr_105"/>
      <w:r>
        <w:rPr>
          <w:snapToGrid w:val="0"/>
        </w:rPr>
        <w:t xml:space="preserve"> of this Act</w:t>
      </w:r>
      <w:bookmarkEnd w:id="42"/>
      <w:r>
        <w:rPr>
          <w:snapToGrid w:val="0"/>
        </w:rPr>
        <w:t>, a reference to credit in relation to a loan contract does not include a reference to credit provided under a credit sale contract or a continuing credit contract.</w:t>
      </w:r>
    </w:p>
    <w:p>
      <w:pPr>
        <w:pStyle w:val="Heading5"/>
        <w:rPr>
          <w:snapToGrid w:val="0"/>
        </w:rPr>
      </w:pPr>
      <w:bookmarkStart w:id="43" w:name="_Toc392496479"/>
      <w:r>
        <w:rPr>
          <w:rStyle w:val="CharSectno"/>
        </w:rPr>
        <w:t>16</w:t>
      </w:r>
      <w:r>
        <w:rPr>
          <w:snapToGrid w:val="0"/>
        </w:rPr>
        <w:t>.</w:t>
      </w:r>
      <w:r>
        <w:rPr>
          <w:snapToGrid w:val="0"/>
        </w:rPr>
        <w:tab/>
        <w:t>Business of providing credit, meaning of</w:t>
      </w:r>
      <w:bookmarkEnd w:id="43"/>
    </w:p>
    <w:p>
      <w:pPr>
        <w:pStyle w:val="Subsection"/>
        <w:rPr>
          <w:snapToGrid w:val="0"/>
        </w:rPr>
      </w:pPr>
      <w:r>
        <w:rPr>
          <w:snapToGrid w:val="0"/>
        </w:rPr>
        <w:tab/>
      </w:r>
      <w:r>
        <w:rPr>
          <w:snapToGrid w:val="0"/>
        </w:rPr>
        <w:tab/>
        <w:t>In this Act, a reference to carrying on a business of providing credit includes a reference to carrying on the provision of credit in the course of or as part of or as incidental to or in connection with the carrying on of another busine</w:t>
      </w:r>
      <w:bookmarkStart w:id="44" w:name="RuleErr_158"/>
      <w:r>
        <w:rPr>
          <w:snapToGrid w:val="0"/>
        </w:rPr>
        <w:t>ss.</w:t>
      </w:r>
      <w:bookmarkEnd w:id="44"/>
    </w:p>
    <w:p>
      <w:pPr>
        <w:pStyle w:val="Heading5"/>
        <w:rPr>
          <w:snapToGrid w:val="0"/>
        </w:rPr>
      </w:pPr>
      <w:bookmarkStart w:id="45" w:name="_Toc392496480"/>
      <w:r>
        <w:rPr>
          <w:rStyle w:val="CharSectno"/>
        </w:rPr>
        <w:t>17</w:t>
      </w:r>
      <w:r>
        <w:rPr>
          <w:snapToGrid w:val="0"/>
        </w:rPr>
        <w:t>.</w:t>
      </w:r>
      <w:r>
        <w:rPr>
          <w:snapToGrid w:val="0"/>
        </w:rPr>
        <w:tab/>
        <w:t>Recognised States</w:t>
      </w:r>
      <w:bookmarkEnd w:id="45"/>
    </w:p>
    <w:p>
      <w:pPr>
        <w:pStyle w:val="Subsection"/>
        <w:rPr>
          <w:snapToGrid w:val="0"/>
        </w:rPr>
      </w:pPr>
      <w:r>
        <w:rPr>
          <w:snapToGrid w:val="0"/>
        </w:rPr>
        <w:tab/>
      </w:r>
      <w:r>
        <w:rPr>
          <w:snapToGrid w:val="0"/>
        </w:rPr>
        <w:tab/>
        <w:t>The Governor — </w:t>
      </w:r>
    </w:p>
    <w:p>
      <w:pPr>
        <w:pStyle w:val="Indenta"/>
        <w:rPr>
          <w:snapToGrid w:val="0"/>
        </w:rPr>
      </w:pPr>
      <w:r>
        <w:rPr>
          <w:snapToGrid w:val="0"/>
        </w:rPr>
        <w:tab/>
        <w:t>(a)</w:t>
      </w:r>
      <w:r>
        <w:rPr>
          <w:snapToGrid w:val="0"/>
        </w:rPr>
        <w:tab/>
        <w:t xml:space="preserve">if he is satisfied that in another State or a Territory the law for the regulation of the provision of credit is such as to enable reciprocal arrangements to be made with this State in relation to the provision of credit may, by order published in the </w:t>
      </w:r>
      <w:r>
        <w:rPr>
          <w:i/>
          <w:snapToGrid w:val="0"/>
        </w:rPr>
        <w:t>Government Gazette</w:t>
      </w:r>
      <w:r>
        <w:rPr>
          <w:snapToGrid w:val="0"/>
        </w:rPr>
        <w:t xml:space="preserve"> declare that other State or that Territory to be a recognised State; and</w:t>
      </w:r>
    </w:p>
    <w:p>
      <w:pPr>
        <w:pStyle w:val="Indenta"/>
        <w:rPr>
          <w:snapToGrid w:val="0"/>
        </w:rPr>
      </w:pPr>
      <w:r>
        <w:rPr>
          <w:snapToGrid w:val="0"/>
        </w:rPr>
        <w:tab/>
        <w:t>(b)</w:t>
      </w:r>
      <w:r>
        <w:rPr>
          <w:snapToGrid w:val="0"/>
        </w:rPr>
        <w:tab/>
        <w:t>may, by order so published, vary or revoke a declaration under paragraph (a).</w:t>
      </w:r>
    </w:p>
    <w:p>
      <w:pPr>
        <w:pStyle w:val="Heading5"/>
        <w:rPr>
          <w:snapToGrid w:val="0"/>
        </w:rPr>
      </w:pPr>
      <w:bookmarkStart w:id="46" w:name="_Toc392496481"/>
      <w:r>
        <w:rPr>
          <w:rStyle w:val="CharSectno"/>
        </w:rPr>
        <w:t>18</w:t>
      </w:r>
      <w:r>
        <w:rPr>
          <w:snapToGrid w:val="0"/>
        </w:rPr>
        <w:t>.</w:t>
      </w:r>
      <w:r>
        <w:rPr>
          <w:snapToGrid w:val="0"/>
        </w:rPr>
        <w:tab/>
        <w:t>Exceptions from application of Act</w:t>
      </w:r>
      <w:bookmarkEnd w:id="46"/>
    </w:p>
    <w:p>
      <w:pPr>
        <w:pStyle w:val="Subsection"/>
        <w:rPr>
          <w:snapToGrid w:val="0"/>
        </w:rPr>
      </w:pPr>
      <w:r>
        <w:rPr>
          <w:snapToGrid w:val="0"/>
        </w:rPr>
        <w:tab/>
        <w:t>(1)</w:t>
      </w:r>
      <w:r>
        <w:rPr>
          <w:snapToGrid w:val="0"/>
        </w:rPr>
        <w:tab/>
      </w:r>
      <w:r>
        <w:t>The provisions of Parts III, IV, V, VI, VII and VIII do not apply to or with respect to a regulated contract where the credit provider is a bank and the credit provided is secured by a mortgage of real property.</w:t>
      </w:r>
    </w:p>
    <w:p>
      <w:pPr>
        <w:pStyle w:val="Subsection"/>
        <w:rPr>
          <w:snapToGrid w:val="0"/>
        </w:rPr>
      </w:pPr>
      <w:r>
        <w:rPr>
          <w:snapToGrid w:val="0"/>
        </w:rPr>
        <w:tab/>
        <w:t>(2)</w:t>
      </w:r>
      <w:r>
        <w:rPr>
          <w:snapToGrid w:val="0"/>
        </w:rPr>
        <w:tab/>
        <w:t>The provisions of Parts III, IV, V, VI, VII and VIII do not apply to or with respect to the provision of credit by a bank or a pastoral finance company where the credit is provided by way of overdraft or otherwise than by way of a credit sale contract, continuing credit contract or term loan.</w:t>
      </w:r>
    </w:p>
    <w:p>
      <w:pPr>
        <w:pStyle w:val="Footnotesection"/>
      </w:pPr>
      <w:r>
        <w:tab/>
        <w:t xml:space="preserve">[Section 18 amended by No. 47 of 1989 s. 3; No. 26 of 1999 s. 70(3); No. 12 of 2001 s. 51; No. 17 of 2005 s. 24.] </w:t>
      </w:r>
    </w:p>
    <w:p>
      <w:pPr>
        <w:pStyle w:val="Heading5"/>
        <w:rPr>
          <w:snapToGrid w:val="0"/>
        </w:rPr>
      </w:pPr>
      <w:bookmarkStart w:id="47" w:name="_Toc392496482"/>
      <w:r>
        <w:rPr>
          <w:rStyle w:val="CharSectno"/>
        </w:rPr>
        <w:t>19</w:t>
      </w:r>
      <w:r>
        <w:rPr>
          <w:snapToGrid w:val="0"/>
        </w:rPr>
        <w:t>.</w:t>
      </w:r>
      <w:r>
        <w:rPr>
          <w:snapToGrid w:val="0"/>
        </w:rPr>
        <w:tab/>
        <w:t>Excluding and varying operation of Act</w:t>
      </w:r>
      <w:bookmarkEnd w:id="47"/>
    </w:p>
    <w:p>
      <w:pPr>
        <w:pStyle w:val="Subsection"/>
        <w:keepNext/>
        <w:rPr>
          <w:snapToGrid w:val="0"/>
        </w:rPr>
      </w:pPr>
      <w:r>
        <w:rPr>
          <w:snapToGrid w:val="0"/>
        </w:rPr>
        <w:tab/>
        <w:t>(1)</w:t>
      </w:r>
      <w:r>
        <w:rPr>
          <w:snapToGrid w:val="0"/>
        </w:rPr>
        <w:tab/>
        <w:t xml:space="preserve">The Governor may, by order published in the </w:t>
      </w:r>
      <w:r>
        <w:rPr>
          <w:i/>
          <w:snapToGrid w:val="0"/>
        </w:rPr>
        <w:t>Government Gazette</w:t>
      </w:r>
      <w:r>
        <w:rPr>
          <w:snapToGrid w:val="0"/>
        </w:rPr>
        <w:t>, declare that the provisions</w:t>
      </w:r>
      <w:bookmarkStart w:id="48" w:name="RuleErr_106"/>
      <w:r>
        <w:rPr>
          <w:snapToGrid w:val="0"/>
        </w:rPr>
        <w:t xml:space="preserve"> of this Act</w:t>
      </w:r>
      <w:bookmarkEnd w:id="48"/>
      <w:r>
        <w:rPr>
          <w:snapToGrid w:val="0"/>
        </w:rPr>
        <w:t>, or such of those provisions as are specified in the order — </w:t>
      </w:r>
    </w:p>
    <w:p>
      <w:pPr>
        <w:pStyle w:val="Indenta"/>
        <w:rPr>
          <w:snapToGrid w:val="0"/>
        </w:rPr>
      </w:pPr>
      <w:r>
        <w:rPr>
          <w:snapToGrid w:val="0"/>
        </w:rPr>
        <w:tab/>
        <w:t>(a)</w:t>
      </w:r>
      <w:r>
        <w:rPr>
          <w:snapToGrid w:val="0"/>
        </w:rPr>
        <w:tab/>
        <w:t>do not have effect in relation to a specified person or to a specified class of persons; or</w:t>
      </w:r>
    </w:p>
    <w:p>
      <w:pPr>
        <w:pStyle w:val="Indenta"/>
        <w:rPr>
          <w:snapToGrid w:val="0"/>
        </w:rPr>
      </w:pPr>
      <w:r>
        <w:rPr>
          <w:snapToGrid w:val="0"/>
        </w:rPr>
        <w:tab/>
        <w:t>(b)</w:t>
      </w:r>
      <w:r>
        <w:rPr>
          <w:snapToGrid w:val="0"/>
        </w:rPr>
        <w:tab/>
        <w:t>have effect in relation to a specified person or to a specified class of persons to such extent as is specified; or</w:t>
      </w:r>
    </w:p>
    <w:p>
      <w:pPr>
        <w:pStyle w:val="Indenta"/>
        <w:rPr>
          <w:snapToGrid w:val="0"/>
        </w:rPr>
      </w:pPr>
      <w:r>
        <w:rPr>
          <w:snapToGrid w:val="0"/>
        </w:rPr>
        <w:tab/>
        <w:t>(c)</w:t>
      </w:r>
      <w:r>
        <w:rPr>
          <w:snapToGrid w:val="0"/>
        </w:rPr>
        <w:tab/>
        <w:t>do not have effect in relation to a specified transaction or matter or class of transactions or matters; or</w:t>
      </w:r>
    </w:p>
    <w:p>
      <w:pPr>
        <w:pStyle w:val="Indenta"/>
        <w:rPr>
          <w:snapToGrid w:val="0"/>
        </w:rPr>
      </w:pPr>
      <w:r>
        <w:rPr>
          <w:snapToGrid w:val="0"/>
        </w:rPr>
        <w:tab/>
        <w:t>(d)</w:t>
      </w:r>
      <w:r>
        <w:rPr>
          <w:snapToGrid w:val="0"/>
        </w:rPr>
        <w:tab/>
        <w:t>have effect in relation to a specified transaction or matter or class of transactions or matters to such extent as is specified; or</w:t>
      </w:r>
    </w:p>
    <w:p>
      <w:pPr>
        <w:pStyle w:val="Indenta"/>
        <w:rPr>
          <w:snapToGrid w:val="0"/>
        </w:rPr>
      </w:pPr>
      <w:r>
        <w:rPr>
          <w:snapToGrid w:val="0"/>
        </w:rPr>
        <w:tab/>
        <w:t>(e)</w:t>
      </w:r>
      <w:r>
        <w:rPr>
          <w:snapToGrid w:val="0"/>
        </w:rPr>
        <w:tab/>
        <w:t>do not have effect in relation to a specified transaction or class of transactions entered into by a specified person or specified class of persons or in relation to specified associated matters; or</w:t>
      </w:r>
    </w:p>
    <w:p>
      <w:pPr>
        <w:pStyle w:val="Indenta"/>
        <w:rPr>
          <w:snapToGrid w:val="0"/>
        </w:rPr>
      </w:pPr>
      <w:r>
        <w:rPr>
          <w:snapToGrid w:val="0"/>
        </w:rPr>
        <w:tab/>
        <w:t>(f)</w:t>
      </w:r>
      <w:r>
        <w:rPr>
          <w:snapToGrid w:val="0"/>
        </w:rPr>
        <w:tab/>
        <w:t>have effect in relation to a specified transaction or class of transactions entered into by a specified person or specified class of persons, or in relation to specified associated matters, to such extent as is specified.</w:t>
      </w:r>
    </w:p>
    <w:p>
      <w:pPr>
        <w:pStyle w:val="Subsection"/>
        <w:spacing w:before="140"/>
        <w:rPr>
          <w:snapToGrid w:val="0"/>
        </w:rPr>
      </w:pPr>
      <w:r>
        <w:rPr>
          <w:snapToGrid w:val="0"/>
        </w:rPr>
        <w:tab/>
        <w:t>(2)</w:t>
      </w:r>
      <w:r>
        <w:rPr>
          <w:snapToGrid w:val="0"/>
        </w:rPr>
        <w:tab/>
        <w:t>An order made under subsection (1) — </w:t>
      </w:r>
    </w:p>
    <w:p>
      <w:pPr>
        <w:pStyle w:val="Indenta"/>
        <w:rPr>
          <w:snapToGrid w:val="0"/>
        </w:rPr>
      </w:pPr>
      <w:r>
        <w:rPr>
          <w:snapToGrid w:val="0"/>
        </w:rPr>
        <w:tab/>
        <w:t>(a)</w:t>
      </w:r>
      <w:r>
        <w:rPr>
          <w:snapToGrid w:val="0"/>
        </w:rPr>
        <w:tab/>
        <w:t>may specify the period during which the order shall remain in force; or</w:t>
      </w:r>
    </w:p>
    <w:p>
      <w:pPr>
        <w:pStyle w:val="Indenta"/>
        <w:rPr>
          <w:snapToGrid w:val="0"/>
        </w:rPr>
      </w:pPr>
      <w:r>
        <w:rPr>
          <w:snapToGrid w:val="0"/>
        </w:rPr>
        <w:tab/>
        <w:t>(b)</w:t>
      </w:r>
      <w:r>
        <w:rPr>
          <w:snapToGrid w:val="0"/>
        </w:rPr>
        <w:tab/>
        <w:t>may provide that its operation is subject to such terms and conditions as are specified in the order.</w:t>
      </w:r>
    </w:p>
    <w:p>
      <w:pPr>
        <w:pStyle w:val="Subsection"/>
        <w:rPr>
          <w:snapToGrid w:val="0"/>
        </w:rPr>
      </w:pPr>
      <w:r>
        <w:rPr>
          <w:snapToGrid w:val="0"/>
        </w:rPr>
        <w:tab/>
        <w:t>(3)</w:t>
      </w:r>
      <w:r>
        <w:rPr>
          <w:snapToGrid w:val="0"/>
        </w:rPr>
        <w:tab/>
        <w:t xml:space="preserve">The Governor may, by order published in the </w:t>
      </w:r>
      <w:r>
        <w:rPr>
          <w:i/>
          <w:snapToGrid w:val="0"/>
        </w:rPr>
        <w:t>Government Gazette</w:t>
      </w:r>
      <w:r>
        <w:rPr>
          <w:snapToGrid w:val="0"/>
        </w:rPr>
        <w:t>, revoke or vary an order made under this section.</w:t>
      </w:r>
    </w:p>
    <w:p>
      <w:pPr>
        <w:pStyle w:val="Subsection"/>
        <w:rPr>
          <w:snapToGrid w:val="0"/>
        </w:rPr>
      </w:pPr>
      <w:r>
        <w:rPr>
          <w:snapToGrid w:val="0"/>
        </w:rPr>
        <w:tab/>
        <w:t>(4)</w:t>
      </w:r>
      <w:r>
        <w:rPr>
          <w:snapToGrid w:val="0"/>
        </w:rPr>
        <w:tab/>
        <w:t xml:space="preserve">An order made under this section, including an order that is varied under this section, shall be deemed to be a regulation for the purposes of section 42 of the </w:t>
      </w:r>
      <w:r>
        <w:rPr>
          <w:i/>
          <w:snapToGrid w:val="0"/>
        </w:rPr>
        <w:t>Interpretation Act 1984</w:t>
      </w:r>
      <w:r>
        <w:rPr>
          <w:snapToGrid w:val="0"/>
        </w:rPr>
        <w:t xml:space="preserve"> and the provisions of that section shall apply accordingly.</w:t>
      </w:r>
    </w:p>
    <w:p>
      <w:pPr>
        <w:pStyle w:val="Subsection"/>
        <w:rPr>
          <w:snapToGrid w:val="0"/>
        </w:rPr>
      </w:pPr>
      <w:r>
        <w:rPr>
          <w:snapToGrid w:val="0"/>
        </w:rPr>
        <w:tab/>
        <w:t>(5)</w:t>
      </w:r>
      <w:r>
        <w:rPr>
          <w:snapToGrid w:val="0"/>
        </w:rPr>
        <w:tab/>
        <w:t>An order in force under this section, including an order that is varied under this section, has effect according to its tenor.</w:t>
      </w:r>
    </w:p>
    <w:p>
      <w:pPr>
        <w:pStyle w:val="Subsection"/>
        <w:rPr>
          <w:snapToGrid w:val="0"/>
        </w:rPr>
      </w:pPr>
      <w:r>
        <w:rPr>
          <w:snapToGrid w:val="0"/>
        </w:rPr>
        <w:tab/>
        <w:t>(6)</w:t>
      </w:r>
      <w:r>
        <w:rPr>
          <w:snapToGrid w:val="0"/>
        </w:rPr>
        <w:tab/>
        <w:t>A person to whom an order under this section applies, including an order that is varied under this section, shall comply with the terms and conditions (if any) to which the operation of the order is subject.</w:t>
      </w:r>
    </w:p>
    <w:p>
      <w:pPr>
        <w:pStyle w:val="Penstart"/>
        <w:spacing w:before="60"/>
        <w:rPr>
          <w:snapToGrid w:val="0"/>
        </w:rPr>
      </w:pPr>
      <w:r>
        <w:rPr>
          <w:snapToGrid w:val="0"/>
        </w:rPr>
        <w:tab/>
        <w:t>Penalty: $5 000.</w:t>
      </w:r>
    </w:p>
    <w:p>
      <w:pPr>
        <w:pStyle w:val="Heading5"/>
        <w:rPr>
          <w:snapToGrid w:val="0"/>
        </w:rPr>
      </w:pPr>
      <w:bookmarkStart w:id="49" w:name="_Toc392496483"/>
      <w:r>
        <w:rPr>
          <w:rStyle w:val="CharSectno"/>
        </w:rPr>
        <w:t>19A</w:t>
      </w:r>
      <w:r>
        <w:rPr>
          <w:snapToGrid w:val="0"/>
        </w:rPr>
        <w:t xml:space="preserve">. </w:t>
      </w:r>
      <w:r>
        <w:rPr>
          <w:snapToGrid w:val="0"/>
        </w:rPr>
        <w:tab/>
        <w:t>Act not to apply to some credit contracts made on or after 1 Nov 1996</w:t>
      </w:r>
      <w:bookmarkEnd w:id="49"/>
    </w:p>
    <w:p>
      <w:pPr>
        <w:pStyle w:val="Subsection"/>
        <w:rPr>
          <w:snapToGrid w:val="0"/>
        </w:rPr>
      </w:pPr>
      <w:r>
        <w:rPr>
          <w:snapToGrid w:val="0"/>
        </w:rPr>
        <w:tab/>
        <w:t>(1)</w:t>
      </w:r>
      <w:r>
        <w:rPr>
          <w:snapToGrid w:val="0"/>
        </w:rPr>
        <w:tab/>
        <w:t xml:space="preserve">Subject to subsection (2), this Act does not apply to a credit contract made on or after the commencement of section 13 of the </w:t>
      </w:r>
      <w:r>
        <w:rPr>
          <w:i/>
          <w:snapToGrid w:val="0"/>
        </w:rPr>
        <w:t>Consumer Credit (Western Australia) Act 199</w:t>
      </w:r>
      <w:bookmarkStart w:id="50" w:name="RuleErr_2"/>
      <w:r>
        <w:rPr>
          <w:i/>
          <w:snapToGrid w:val="0"/>
        </w:rPr>
        <w:t>6</w:t>
      </w:r>
      <w:r>
        <w:rPr>
          <w:snapToGrid w:val="0"/>
          <w:vertAlign w:val="superscript"/>
        </w:rPr>
        <w:t> 3</w:t>
      </w:r>
      <w:r>
        <w:rPr>
          <w:snapToGrid w:val="0"/>
        </w:rPr>
        <w:t xml:space="preserve"> (</w:t>
      </w:r>
      <w:bookmarkEnd w:id="50"/>
      <w:r>
        <w:rPr>
          <w:snapToGrid w:val="0"/>
        </w:rPr>
        <w:t xml:space="preserve">in this section and section 19B called </w:t>
      </w:r>
      <w:r>
        <w:t xml:space="preserve">the </w:t>
      </w:r>
      <w:r>
        <w:rPr>
          <w:rStyle w:val="CharDefText"/>
        </w:rPr>
        <w:t>commencement day</w:t>
      </w:r>
      <w:r>
        <w:rPr>
          <w:snapToGrid w:val="0"/>
        </w:rPr>
        <w:t>).</w:t>
      </w:r>
    </w:p>
    <w:p>
      <w:pPr>
        <w:pStyle w:val="Subsection"/>
        <w:rPr>
          <w:snapToGrid w:val="0"/>
        </w:rPr>
      </w:pPr>
      <w:r>
        <w:rPr>
          <w:snapToGrid w:val="0"/>
        </w:rPr>
        <w:tab/>
        <w:t>(2)</w:t>
      </w:r>
      <w:r>
        <w:rPr>
          <w:snapToGrid w:val="0"/>
        </w:rPr>
        <w:tab/>
        <w:t>This Act applies to — </w:t>
      </w:r>
    </w:p>
    <w:p>
      <w:pPr>
        <w:pStyle w:val="Indenta"/>
        <w:rPr>
          <w:snapToGrid w:val="0"/>
        </w:rPr>
      </w:pPr>
      <w:r>
        <w:rPr>
          <w:snapToGrid w:val="0"/>
        </w:rPr>
        <w:tab/>
        <w:t>(a)</w:t>
      </w:r>
      <w:r>
        <w:rPr>
          <w:snapToGrid w:val="0"/>
        </w:rPr>
        <w:tab/>
        <w:t>a credit contract, other than a continuing credit contract, and to a mortgage or guarantee relating to such a credit contract — </w:t>
      </w:r>
    </w:p>
    <w:p>
      <w:pPr>
        <w:pStyle w:val="Indenti"/>
        <w:rPr>
          <w:snapToGrid w:val="0"/>
        </w:rPr>
      </w:pPr>
      <w:r>
        <w:rPr>
          <w:snapToGrid w:val="0"/>
        </w:rPr>
        <w:tab/>
        <w:t>(i)</w:t>
      </w:r>
      <w:r>
        <w:rPr>
          <w:snapToGrid w:val="0"/>
        </w:rPr>
        <w:tab/>
        <w:t>made on or after the commencement day if the offer to enter into it was made before the commencement day; and</w:t>
      </w:r>
    </w:p>
    <w:p>
      <w:pPr>
        <w:pStyle w:val="Indenti"/>
        <w:rPr>
          <w:snapToGrid w:val="0"/>
        </w:rPr>
      </w:pPr>
      <w:r>
        <w:rPr>
          <w:snapToGrid w:val="0"/>
        </w:rPr>
        <w:tab/>
        <w:t>(ii)</w:t>
      </w:r>
      <w:r>
        <w:rPr>
          <w:snapToGrid w:val="0"/>
        </w:rPr>
        <w:tab/>
        <w:t xml:space="preserve">to which this Act would have applied if the credit contract had been made before the commencement day;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credit contract, other than a continuing credit contract, and to a mortgage or guarantee relating to such a credit contract made on or after the commencement day but not later than one month after that day if — </w:t>
      </w:r>
    </w:p>
    <w:p>
      <w:pPr>
        <w:pStyle w:val="Indenti"/>
        <w:rPr>
          <w:snapToGrid w:val="0"/>
        </w:rPr>
      </w:pPr>
      <w:r>
        <w:rPr>
          <w:snapToGrid w:val="0"/>
        </w:rPr>
        <w:tab/>
        <w:t>(i)</w:t>
      </w:r>
      <w:r>
        <w:rPr>
          <w:snapToGrid w:val="0"/>
        </w:rPr>
        <w:tab/>
      </w:r>
      <w:r>
        <w:t>the credit contract as made did</w:t>
      </w:r>
      <w:r>
        <w:rPr>
          <w:snapToGrid w:val="0"/>
        </w:rPr>
        <w:t xml:space="preserve"> not comply with the </w:t>
      </w:r>
      <w:r>
        <w:rPr>
          <w:i/>
          <w:snapToGrid w:val="0"/>
        </w:rPr>
        <w:t>Consumer Credit (</w:t>
      </w:r>
      <w:smartTag w:uri="urn:schemas-microsoft-com:office:smarttags" w:element="place">
        <w:smartTag w:uri="urn:schemas-microsoft-com:office:smarttags" w:element="State">
          <w:r>
            <w:rPr>
              <w:i/>
              <w:snapToGrid w:val="0"/>
            </w:rPr>
            <w:t>Western Australia</w:t>
          </w:r>
        </w:smartTag>
      </w:smartTag>
      <w:r>
        <w:rPr>
          <w:i/>
          <w:snapToGrid w:val="0"/>
        </w:rPr>
        <w:t>) Code</w:t>
      </w:r>
      <w:r>
        <w:rPr>
          <w:snapToGrid w:val="0"/>
          <w:vertAlign w:val="superscript"/>
        </w:rPr>
        <w:t> 3</w:t>
      </w:r>
      <w:r>
        <w:rPr>
          <w:snapToGrid w:val="0"/>
        </w:rPr>
        <w:t>; and</w:t>
      </w:r>
    </w:p>
    <w:p>
      <w:pPr>
        <w:pStyle w:val="Indenti"/>
        <w:rPr>
          <w:snapToGrid w:val="0"/>
        </w:rPr>
      </w:pPr>
      <w:r>
        <w:rPr>
          <w:snapToGrid w:val="0"/>
        </w:rPr>
        <w:tab/>
        <w:t>(ii)</w:t>
      </w:r>
      <w:r>
        <w:rPr>
          <w:snapToGrid w:val="0"/>
        </w:rPr>
        <w:tab/>
        <w:t>had the credit contract been made before the commencement day, this Act would have applied to it and it would have complied with this Act.</w:t>
      </w:r>
    </w:p>
    <w:p>
      <w:pPr>
        <w:pStyle w:val="Footnotesection"/>
        <w:spacing w:before="80"/>
        <w:ind w:left="890" w:hanging="890"/>
      </w:pPr>
      <w:r>
        <w:tab/>
        <w:t>[Section 19A inserted by No. 30 of 1996 s. 13; amended by No. 14 of 2010 s. 9(2).]</w:t>
      </w:r>
    </w:p>
    <w:p>
      <w:pPr>
        <w:pStyle w:val="Heading5"/>
        <w:spacing w:before="200"/>
        <w:rPr>
          <w:snapToGrid w:val="0"/>
        </w:rPr>
      </w:pPr>
      <w:bookmarkStart w:id="51" w:name="_Toc392496484"/>
      <w:r>
        <w:rPr>
          <w:rStyle w:val="CharSectno"/>
        </w:rPr>
        <w:t>19B</w:t>
      </w:r>
      <w:r>
        <w:rPr>
          <w:snapToGrid w:val="0"/>
        </w:rPr>
        <w:t>.</w:t>
      </w:r>
      <w:r>
        <w:rPr>
          <w:snapToGrid w:val="0"/>
        </w:rPr>
        <w:tab/>
        <w:t>Act to continue to apply to some acts etc. done before 1 Nov 1996</w:t>
      </w:r>
      <w:bookmarkEnd w:id="51"/>
    </w:p>
    <w:p>
      <w:pPr>
        <w:pStyle w:val="Subsection"/>
        <w:spacing w:before="120"/>
        <w:rPr>
          <w:snapToGrid w:val="0"/>
        </w:rPr>
      </w:pPr>
      <w:r>
        <w:rPr>
          <w:snapToGrid w:val="0"/>
        </w:rPr>
        <w:tab/>
        <w:t>(1)</w:t>
      </w:r>
      <w:r>
        <w:rPr>
          <w:snapToGrid w:val="0"/>
        </w:rPr>
        <w:tab/>
        <w:t>Except as otherwise provided by this section, this Act continues to apply — </w:t>
      </w:r>
    </w:p>
    <w:p>
      <w:pPr>
        <w:pStyle w:val="Indenta"/>
        <w:spacing w:before="60"/>
        <w:rPr>
          <w:snapToGrid w:val="0"/>
        </w:rPr>
      </w:pPr>
      <w:r>
        <w:rPr>
          <w:snapToGrid w:val="0"/>
        </w:rPr>
        <w:tab/>
        <w:t>(a)</w:t>
      </w:r>
      <w:r>
        <w:rPr>
          <w:snapToGrid w:val="0"/>
        </w:rPr>
        <w:tab/>
        <w:t>to a continuing credit contract entered into before the commencement day, but only in respect of anything done or omitted to be done before the commencement day; and</w:t>
      </w:r>
    </w:p>
    <w:p>
      <w:pPr>
        <w:pStyle w:val="Indenta"/>
        <w:spacing w:before="60"/>
        <w:rPr>
          <w:snapToGrid w:val="0"/>
        </w:rPr>
      </w:pPr>
      <w:r>
        <w:rPr>
          <w:snapToGrid w:val="0"/>
        </w:rPr>
        <w:tab/>
        <w:t>(b)</w:t>
      </w:r>
      <w:r>
        <w:rPr>
          <w:snapToGrid w:val="0"/>
        </w:rPr>
        <w:tab/>
        <w:t>to a credit contract of any other kind entered into before the commencement day in respect of anything done or omitted to be done, whether before or after the commencement day; and</w:t>
      </w:r>
    </w:p>
    <w:p>
      <w:pPr>
        <w:pStyle w:val="Indenta"/>
        <w:spacing w:before="60"/>
        <w:rPr>
          <w:snapToGrid w:val="0"/>
        </w:rPr>
      </w:pPr>
      <w:r>
        <w:rPr>
          <w:snapToGrid w:val="0"/>
        </w:rPr>
        <w:tab/>
        <w:t>(c)</w:t>
      </w:r>
      <w:r>
        <w:rPr>
          <w:snapToGrid w:val="0"/>
        </w:rPr>
        <w:tab/>
        <w:t>to a mortgage or guarantee relating to a continuing contract referred to in paragraph (a), but only in respect of anything done or omitted to be done before the commencement day; and</w:t>
      </w:r>
    </w:p>
    <w:p>
      <w:pPr>
        <w:pStyle w:val="Indenta"/>
        <w:spacing w:before="60"/>
        <w:rPr>
          <w:snapToGrid w:val="0"/>
        </w:rPr>
      </w:pPr>
      <w:r>
        <w:rPr>
          <w:snapToGrid w:val="0"/>
        </w:rPr>
        <w:tab/>
        <w:t>(d)</w:t>
      </w:r>
      <w:r>
        <w:rPr>
          <w:snapToGrid w:val="0"/>
        </w:rPr>
        <w:tab/>
        <w:t>to a mortgage or guarantee relating to a credit contract referred to in paragraph (b) in respect of anything done or omitted to be done, whether before or after the commencement day.</w:t>
      </w:r>
    </w:p>
    <w:p>
      <w:pPr>
        <w:pStyle w:val="Subsection"/>
        <w:spacing w:before="120"/>
      </w:pPr>
      <w:r>
        <w:tab/>
        <w:t>(2)</w:t>
      </w:r>
      <w:r>
        <w:tab/>
        <w:t xml:space="preserve">If the credit provider under a contract to which this Act continues to apply acts in accordance with — </w:t>
      </w:r>
    </w:p>
    <w:p>
      <w:pPr>
        <w:pStyle w:val="Indenta"/>
        <w:spacing w:before="60"/>
      </w:pPr>
      <w:r>
        <w:tab/>
        <w:t>(a)</w:t>
      </w:r>
      <w:r>
        <w:tab/>
        <w:t xml:space="preserve">in respect of any action before [reference date], the </w:t>
      </w:r>
      <w:r>
        <w:rPr>
          <w:i/>
        </w:rPr>
        <w:t>Consumer Credit (Western Australia) Code</w:t>
      </w:r>
      <w:r>
        <w:rPr>
          <w:snapToGrid w:val="0"/>
          <w:vertAlign w:val="superscript"/>
        </w:rPr>
        <w:t> 3</w:t>
      </w:r>
      <w:r>
        <w:t xml:space="preserve"> section 34, 35, 66 to 69, 78 to 99, 163, 171, 172 or 173</w:t>
      </w:r>
      <w:r>
        <w:rPr>
          <w:iCs/>
        </w:rPr>
        <w:t>; or</w:t>
      </w:r>
    </w:p>
    <w:p>
      <w:pPr>
        <w:pStyle w:val="Indenta"/>
        <w:keepNext/>
        <w:spacing w:before="60"/>
      </w:pPr>
      <w:r>
        <w:tab/>
        <w:t>(b)</w:t>
      </w:r>
      <w:r>
        <w:tab/>
        <w:t xml:space="preserve">in respect of any action on or after [reference date], the </w:t>
      </w:r>
      <w:r>
        <w:rPr>
          <w:i/>
        </w:rPr>
        <w:t>National Credit Code</w:t>
      </w:r>
      <w:r>
        <w:t xml:space="preserve"> section 36, 37, 72 to 75, 85 to 107, 185, 194, 195 or 196,</w:t>
      </w:r>
    </w:p>
    <w:p>
      <w:pPr>
        <w:pStyle w:val="Subsection"/>
        <w:spacing w:before="100"/>
      </w:pPr>
      <w:r>
        <w:tab/>
      </w:r>
      <w:r>
        <w:tab/>
        <w:t>the credit provider is taken to have acted in accordance with the corresponding provision</w:t>
      </w:r>
      <w:bookmarkStart w:id="52" w:name="RuleErr_107"/>
      <w:r>
        <w:t xml:space="preserve"> of this Act</w:t>
      </w:r>
      <w:bookmarkEnd w:id="52"/>
      <w:r>
        <w:t>.</w:t>
      </w:r>
    </w:p>
    <w:p>
      <w:pPr>
        <w:pStyle w:val="Subsection"/>
        <w:rPr>
          <w:snapToGrid w:val="0"/>
        </w:rPr>
      </w:pPr>
      <w:r>
        <w:rPr>
          <w:snapToGrid w:val="0"/>
        </w:rPr>
        <w:tab/>
        <w:t>(3)</w:t>
      </w:r>
      <w:r>
        <w:rPr>
          <w:snapToGrid w:val="0"/>
        </w:rPr>
        <w:tab/>
        <w:t>Despite anything to the contrary in subsection (2), section 112(1)(b) continues to apply in respect of goods subject to a regulated mortgage.</w:t>
      </w:r>
    </w:p>
    <w:p>
      <w:pPr>
        <w:pStyle w:val="Footnotesection"/>
      </w:pPr>
      <w:r>
        <w:tab/>
        <w:t>[Section 19B inserted by No. 30 of 1996 s. 13; amended by No. 14 of 2010 s. 9(3)</w:t>
      </w:r>
      <w:r>
        <w:rPr>
          <w:vertAlign w:val="superscript"/>
        </w:rPr>
        <w:t> </w:t>
      </w:r>
      <w:r>
        <w:rPr>
          <w:i w:val="0"/>
          <w:vertAlign w:val="superscript"/>
        </w:rPr>
        <w:t>4</w:t>
      </w:r>
      <w:r>
        <w:t>.]</w:t>
      </w:r>
    </w:p>
    <w:p>
      <w:pPr>
        <w:pStyle w:val="Heading2"/>
      </w:pPr>
      <w:bookmarkStart w:id="53" w:name="_Toc378152561"/>
      <w:bookmarkStart w:id="54" w:name="_Toc392496485"/>
      <w:r>
        <w:rPr>
          <w:rStyle w:val="CharPartNo"/>
        </w:rPr>
        <w:t>Part II</w:t>
      </w:r>
      <w:r>
        <w:rPr>
          <w:rStyle w:val="CharDivNo"/>
        </w:rPr>
        <w:t> </w:t>
      </w:r>
      <w:r>
        <w:t>—</w:t>
      </w:r>
      <w:r>
        <w:rPr>
          <w:rStyle w:val="CharDivText"/>
        </w:rPr>
        <w:t> </w:t>
      </w:r>
      <w:r>
        <w:rPr>
          <w:rStyle w:val="CharPartText"/>
        </w:rPr>
        <w:t>Contracts of sale</w:t>
      </w:r>
      <w:bookmarkEnd w:id="53"/>
      <w:bookmarkEnd w:id="54"/>
    </w:p>
    <w:p>
      <w:pPr>
        <w:pStyle w:val="Heading5"/>
        <w:rPr>
          <w:snapToGrid w:val="0"/>
        </w:rPr>
      </w:pPr>
      <w:bookmarkStart w:id="55" w:name="_Toc392496486"/>
      <w:r>
        <w:rPr>
          <w:rStyle w:val="CharSectno"/>
        </w:rPr>
        <w:t>20</w:t>
      </w:r>
      <w:r>
        <w:rPr>
          <w:snapToGrid w:val="0"/>
        </w:rPr>
        <w:t>.</w:t>
      </w:r>
      <w:r>
        <w:rPr>
          <w:snapToGrid w:val="0"/>
        </w:rPr>
        <w:tab/>
        <w:t>Application of Part</w:t>
      </w:r>
      <w:bookmarkEnd w:id="55"/>
    </w:p>
    <w:p>
      <w:pPr>
        <w:pStyle w:val="Subsection"/>
        <w:rPr>
          <w:snapToGrid w:val="0"/>
        </w:rPr>
      </w:pPr>
      <w:r>
        <w:rPr>
          <w:snapToGrid w:val="0"/>
        </w:rPr>
        <w:tab/>
        <w:t>(1)</w:t>
      </w:r>
      <w:r>
        <w:rPr>
          <w:snapToGrid w:val="0"/>
        </w:rPr>
        <w:tab/>
        <w:t>In this Part, a reference to a contract of sale is a reference to — </w:t>
      </w:r>
    </w:p>
    <w:p>
      <w:pPr>
        <w:pStyle w:val="Indenta"/>
        <w:rPr>
          <w:snapToGrid w:val="0"/>
        </w:rPr>
      </w:pPr>
      <w:r>
        <w:rPr>
          <w:snapToGrid w:val="0"/>
        </w:rPr>
        <w:tab/>
        <w:t>(a)</w:t>
      </w:r>
      <w:r>
        <w:rPr>
          <w:snapToGrid w:val="0"/>
        </w:rPr>
        <w:tab/>
        <w:t>a contract of sale of goods or services where the cash price in relation to the sale is not more than $20 000; or</w:t>
      </w:r>
    </w:p>
    <w:p>
      <w:pPr>
        <w:pStyle w:val="Indenta"/>
        <w:rPr>
          <w:snapToGrid w:val="0"/>
        </w:rPr>
      </w:pPr>
      <w:r>
        <w:rPr>
          <w:snapToGrid w:val="0"/>
        </w:rPr>
        <w:tab/>
        <w:t>(b)</w:t>
      </w:r>
      <w:r>
        <w:rPr>
          <w:snapToGrid w:val="0"/>
        </w:rPr>
        <w:tab/>
        <w:t>a contract of sale of goods, being a commercial vehicle or farm machinery; or</w:t>
      </w:r>
    </w:p>
    <w:p>
      <w:pPr>
        <w:pStyle w:val="Indenta"/>
        <w:rPr>
          <w:snapToGrid w:val="0"/>
        </w:rPr>
      </w:pPr>
      <w:r>
        <w:rPr>
          <w:snapToGrid w:val="0"/>
        </w:rPr>
        <w:tab/>
        <w:t>(c)</w:t>
      </w:r>
      <w:r>
        <w:rPr>
          <w:snapToGrid w:val="0"/>
        </w:rPr>
        <w:tab/>
        <w:t>a contract of sale — </w:t>
      </w:r>
    </w:p>
    <w:p>
      <w:pPr>
        <w:pStyle w:val="Indenti"/>
        <w:rPr>
          <w:snapToGrid w:val="0"/>
        </w:rPr>
      </w:pPr>
      <w:r>
        <w:rPr>
          <w:snapToGrid w:val="0"/>
        </w:rPr>
        <w:tab/>
        <w:t>(i)</w:t>
      </w:r>
      <w:r>
        <w:rPr>
          <w:snapToGrid w:val="0"/>
        </w:rPr>
        <w:tab/>
        <w:t>of goods, being a commercial vehicle or farm machinery in relation to which the cash price is more than $20 000; and</w:t>
      </w:r>
    </w:p>
    <w:p>
      <w:pPr>
        <w:pStyle w:val="Indenti"/>
        <w:rPr>
          <w:snapToGrid w:val="0"/>
        </w:rPr>
      </w:pPr>
      <w:r>
        <w:rPr>
          <w:snapToGrid w:val="0"/>
        </w:rPr>
        <w:tab/>
        <w:t>(ii)</w:t>
      </w:r>
      <w:r>
        <w:rPr>
          <w:snapToGrid w:val="0"/>
        </w:rPr>
        <w:tab/>
        <w:t>of other goods or services.</w:t>
      </w:r>
    </w:p>
    <w:p>
      <w:pPr>
        <w:pStyle w:val="Subsection"/>
        <w:rPr>
          <w:snapToGrid w:val="0"/>
        </w:rPr>
      </w:pPr>
      <w:r>
        <w:rPr>
          <w:snapToGrid w:val="0"/>
        </w:rPr>
        <w:tab/>
        <w:t>(2)</w:t>
      </w:r>
      <w:r>
        <w:rPr>
          <w:snapToGrid w:val="0"/>
        </w:rPr>
        <w:tab/>
        <w:t>For the purposes</w:t>
      </w:r>
      <w:bookmarkStart w:id="56" w:name="RuleErr_34"/>
      <w:r>
        <w:rPr>
          <w:snapToGrid w:val="0"/>
        </w:rPr>
        <w:t xml:space="preserve"> of this Part</w:t>
      </w:r>
      <w:bookmarkEnd w:id="56"/>
      <w:r>
        <w:rPr>
          <w:snapToGrid w:val="0"/>
        </w:rPr>
        <w:t>, a reference to a buyer or a person who buys or proposes to buy goods or services does not include a reference to a body corporate.</w:t>
      </w:r>
    </w:p>
    <w:p>
      <w:pPr>
        <w:pStyle w:val="Heading5"/>
        <w:rPr>
          <w:snapToGrid w:val="0"/>
        </w:rPr>
      </w:pPr>
      <w:bookmarkStart w:id="57" w:name="_Toc392496487"/>
      <w:r>
        <w:rPr>
          <w:rStyle w:val="CharSectno"/>
        </w:rPr>
        <w:t>21</w:t>
      </w:r>
      <w:r>
        <w:rPr>
          <w:snapToGrid w:val="0"/>
        </w:rPr>
        <w:t>.</w:t>
      </w:r>
      <w:r>
        <w:rPr>
          <w:snapToGrid w:val="0"/>
        </w:rPr>
        <w:tab/>
        <w:t>Buyer may rescind contract of sale in some cases</w:t>
      </w:r>
      <w:bookmarkEnd w:id="57"/>
    </w:p>
    <w:p>
      <w:pPr>
        <w:pStyle w:val="Subsection"/>
        <w:rPr>
          <w:snapToGrid w:val="0"/>
        </w:rPr>
      </w:pPr>
      <w:r>
        <w:rPr>
          <w:snapToGrid w:val="0"/>
        </w:rPr>
        <w:tab/>
        <w:t>(1)</w:t>
      </w:r>
      <w:r>
        <w:rPr>
          <w:snapToGrid w:val="0"/>
        </w:rPr>
        <w:tab/>
        <w:t>Where a buyer, before entering into a contract of sale of goods or services, makes it known to the supplier that he requires credit to be provided in respect of the payment for the goods or services and the credit is not provided by the supplier, the buyer, if he takes reasonable steps to obtain the credit but does not obtain the credit, may within a reasonable period after the contract is made, by notice in writing given to the supplier, rescind the contract.</w:t>
      </w:r>
    </w:p>
    <w:p>
      <w:pPr>
        <w:pStyle w:val="Subsection"/>
        <w:rPr>
          <w:snapToGrid w:val="0"/>
        </w:rPr>
      </w:pPr>
      <w:r>
        <w:rPr>
          <w:snapToGrid w:val="0"/>
        </w:rPr>
        <w:tab/>
        <w:t>(2)</w:t>
      </w:r>
      <w:r>
        <w:rPr>
          <w:snapToGrid w:val="0"/>
        </w:rPr>
        <w:tab/>
        <w:t>Where a buyer has purported to rescind a contract of sale as referred to in subsection (1), a court may, on the application of the supplier or the buyer, declare whether or not the purported rescission was valid and, if it declares that it was valid — </w:t>
      </w:r>
    </w:p>
    <w:p>
      <w:pPr>
        <w:pStyle w:val="Indenta"/>
        <w:rPr>
          <w:snapToGrid w:val="0"/>
        </w:rPr>
      </w:pPr>
      <w:r>
        <w:rPr>
          <w:snapToGrid w:val="0"/>
        </w:rPr>
        <w:tab/>
        <w:t>(a)</w:t>
      </w:r>
      <w:r>
        <w:rPr>
          <w:snapToGrid w:val="0"/>
        </w:rPr>
        <w:tab/>
        <w:t>may, on the application of the supplier or the buyer, where there is a dispute as to the return of the goods to the supplier, make an order relating to the return of the goods; and</w:t>
      </w:r>
    </w:p>
    <w:p>
      <w:pPr>
        <w:pStyle w:val="Indenta"/>
        <w:rPr>
          <w:snapToGrid w:val="0"/>
        </w:rPr>
      </w:pPr>
      <w:r>
        <w:rPr>
          <w:snapToGrid w:val="0"/>
        </w:rPr>
        <w:tab/>
        <w:t>(b)</w:t>
      </w:r>
      <w:r>
        <w:rPr>
          <w:snapToGrid w:val="0"/>
        </w:rPr>
        <w:tab/>
        <w:t>may, where the contract of sale included terms relating to the compensation of the supplier for loss suffered by reason of the delivery of the goods to the buyer, make an order relating to the payment of compensation.</w:t>
      </w:r>
    </w:p>
    <w:p>
      <w:pPr>
        <w:pStyle w:val="Heading5"/>
        <w:rPr>
          <w:snapToGrid w:val="0"/>
        </w:rPr>
      </w:pPr>
      <w:bookmarkStart w:id="58" w:name="_Toc392496488"/>
      <w:r>
        <w:rPr>
          <w:rStyle w:val="CharSectno"/>
        </w:rPr>
        <w:t>22</w:t>
      </w:r>
      <w:r>
        <w:rPr>
          <w:snapToGrid w:val="0"/>
        </w:rPr>
        <w:t>.</w:t>
      </w:r>
      <w:r>
        <w:rPr>
          <w:snapToGrid w:val="0"/>
        </w:rPr>
        <w:tab/>
        <w:t>Supplier not to require buyer to obtain credit from specified person</w:t>
      </w:r>
      <w:bookmarkEnd w:id="58"/>
    </w:p>
    <w:p>
      <w:pPr>
        <w:pStyle w:val="Subsection"/>
        <w:rPr>
          <w:snapToGrid w:val="0"/>
        </w:rPr>
      </w:pPr>
      <w:r>
        <w:rPr>
          <w:snapToGrid w:val="0"/>
        </w:rPr>
        <w:tab/>
      </w:r>
      <w:r>
        <w:rPr>
          <w:snapToGrid w:val="0"/>
        </w:rPr>
        <w:tab/>
        <w:t>A supplier shall not require a person who, under a contract of sale, buys or proposes to by goods or services supplied by him to obtain credit from a specified person in respect of payment for the goods or services.</w:t>
      </w:r>
    </w:p>
    <w:p>
      <w:pPr>
        <w:pStyle w:val="Penstart"/>
        <w:rPr>
          <w:snapToGrid w:val="0"/>
        </w:rPr>
      </w:pPr>
      <w:r>
        <w:rPr>
          <w:snapToGrid w:val="0"/>
        </w:rPr>
        <w:tab/>
        <w:t>Penalty: $2 000.</w:t>
      </w:r>
    </w:p>
    <w:p>
      <w:pPr>
        <w:pStyle w:val="Heading5"/>
        <w:rPr>
          <w:snapToGrid w:val="0"/>
        </w:rPr>
      </w:pPr>
      <w:bookmarkStart w:id="59" w:name="_Toc392496489"/>
      <w:r>
        <w:rPr>
          <w:rStyle w:val="CharSectno"/>
        </w:rPr>
        <w:t>23</w:t>
      </w:r>
      <w:r>
        <w:rPr>
          <w:snapToGrid w:val="0"/>
        </w:rPr>
        <w:t>.</w:t>
      </w:r>
      <w:r>
        <w:rPr>
          <w:snapToGrid w:val="0"/>
        </w:rPr>
        <w:tab/>
        <w:t>Rescission etc. of certain contracts, consequences of</w:t>
      </w:r>
      <w:bookmarkEnd w:id="59"/>
    </w:p>
    <w:p>
      <w:pPr>
        <w:pStyle w:val="Subsection"/>
        <w:rPr>
          <w:snapToGrid w:val="0"/>
        </w:rPr>
      </w:pPr>
      <w:r>
        <w:rPr>
          <w:snapToGrid w:val="0"/>
        </w:rPr>
        <w:tab/>
        <w:t>(1)</w:t>
      </w:r>
      <w:r>
        <w:rPr>
          <w:snapToGrid w:val="0"/>
        </w:rPr>
        <w:tab/>
        <w:t xml:space="preserve">Where a regulated credit sale contract is rescinded or discharged (whether under this Act or any other Act or law), any mortgage or guarantee that relates to the contract is also discharged to the extent that it secures or guarantees the payment of a debt or other pecuniary obligation, or the performance of any other obligation, under the regulated credit sale contract. </w:t>
      </w:r>
    </w:p>
    <w:p>
      <w:pPr>
        <w:pStyle w:val="Subsection"/>
        <w:rPr>
          <w:snapToGrid w:val="0"/>
        </w:rPr>
      </w:pPr>
      <w:r>
        <w:rPr>
          <w:snapToGrid w:val="0"/>
        </w:rPr>
        <w:tab/>
        <w:t>(2)</w:t>
      </w:r>
      <w:r>
        <w:rPr>
          <w:snapToGrid w:val="0"/>
        </w:rPr>
        <w:tab/>
        <w:t>Where a contract of sale is rescinded or discharged (whether under this Act or any other Act or law) — </w:t>
      </w:r>
    </w:p>
    <w:p>
      <w:pPr>
        <w:pStyle w:val="Indenta"/>
        <w:rPr>
          <w:snapToGrid w:val="0"/>
        </w:rPr>
      </w:pPr>
      <w:r>
        <w:rPr>
          <w:snapToGrid w:val="0"/>
        </w:rPr>
        <w:tab/>
        <w:t>(a)</w:t>
      </w:r>
      <w:r>
        <w:rPr>
          <w:snapToGrid w:val="0"/>
        </w:rPr>
        <w:tab/>
        <w:t>any regulated loan contract relating to the contract of sale and made by the buyer with the supplier is also discharged to the extent that it provides for the payment of a debt or other pecuniary obligation, or the performance of any other obligation, relating to the contract of sale; and</w:t>
      </w:r>
    </w:p>
    <w:p>
      <w:pPr>
        <w:pStyle w:val="Indenta"/>
        <w:rPr>
          <w:snapToGrid w:val="0"/>
        </w:rPr>
      </w:pPr>
      <w:r>
        <w:rPr>
          <w:snapToGrid w:val="0"/>
        </w:rPr>
        <w:tab/>
        <w:t>(b)</w:t>
      </w:r>
      <w:r>
        <w:rPr>
          <w:snapToGrid w:val="0"/>
        </w:rPr>
        <w:tab/>
        <w:t>any mortgage or guarantee relating to the regulated loan contract to the extent that the contract is discharged is also discharged to the extent that it secures or guarantees the payment of a debt or other pecuniary obligation, or the performance of any other obligation, under the regulated loan contract.</w:t>
      </w:r>
    </w:p>
    <w:p>
      <w:pPr>
        <w:pStyle w:val="Subsection"/>
        <w:rPr>
          <w:snapToGrid w:val="0"/>
        </w:rPr>
      </w:pPr>
      <w:r>
        <w:rPr>
          <w:snapToGrid w:val="0"/>
        </w:rPr>
        <w:tab/>
        <w:t>(3)</w:t>
      </w:r>
      <w:r>
        <w:rPr>
          <w:snapToGrid w:val="0"/>
        </w:rPr>
        <w:tab/>
        <w:t>Where a contract of sale is rescinded or discharged (whether under this Act or any other Act or law) and — </w:t>
      </w:r>
    </w:p>
    <w:p>
      <w:pPr>
        <w:pStyle w:val="Indenta"/>
        <w:rPr>
          <w:snapToGrid w:val="0"/>
        </w:rPr>
      </w:pPr>
      <w:r>
        <w:rPr>
          <w:snapToGrid w:val="0"/>
        </w:rPr>
        <w:tab/>
        <w:t>(a)</w:t>
      </w:r>
      <w:r>
        <w:rPr>
          <w:snapToGrid w:val="0"/>
        </w:rPr>
        <w:tab/>
        <w:t>in respect of the contract of sale, there is a regulated continuing credit contract made by the buyer with the supplier; and</w:t>
      </w:r>
    </w:p>
    <w:p>
      <w:pPr>
        <w:pStyle w:val="Indenta"/>
        <w:rPr>
          <w:snapToGrid w:val="0"/>
        </w:rPr>
      </w:pPr>
      <w:r>
        <w:rPr>
          <w:snapToGrid w:val="0"/>
        </w:rPr>
        <w:tab/>
        <w:t>(b)</w:t>
      </w:r>
      <w:r>
        <w:rPr>
          <w:snapToGrid w:val="0"/>
        </w:rPr>
        <w:tab/>
        <w:t>in relation to the regulated continuing credit contract there is a regulated mortgage or a guarantee,</w:t>
      </w:r>
    </w:p>
    <w:p>
      <w:pPr>
        <w:pStyle w:val="Subsection"/>
        <w:rPr>
          <w:snapToGrid w:val="0"/>
        </w:rPr>
      </w:pPr>
      <w:r>
        <w:rPr>
          <w:snapToGrid w:val="0"/>
        </w:rPr>
        <w:tab/>
      </w:r>
      <w:r>
        <w:rPr>
          <w:snapToGrid w:val="0"/>
        </w:rPr>
        <w:tab/>
        <w:t>that mortgage or guarantee is, at the same time as the contract of sale is rescinded or discharged, discharged to the extent that it secures or guarantees the payment of the amount entered in the account of the debtor kept by the credit provider under the contract in relation to the contract of sale and the amount (if any) of credit charges so entered and attributable to the contract of sale.</w:t>
      </w:r>
    </w:p>
    <w:p>
      <w:pPr>
        <w:pStyle w:val="Heading5"/>
        <w:rPr>
          <w:snapToGrid w:val="0"/>
        </w:rPr>
      </w:pPr>
      <w:bookmarkStart w:id="60" w:name="_Toc392496490"/>
      <w:r>
        <w:rPr>
          <w:rStyle w:val="CharSectno"/>
        </w:rPr>
        <w:t>24</w:t>
      </w:r>
      <w:r>
        <w:rPr>
          <w:snapToGrid w:val="0"/>
        </w:rPr>
        <w:t>.</w:t>
      </w:r>
      <w:r>
        <w:rPr>
          <w:snapToGrid w:val="0"/>
        </w:rPr>
        <w:tab/>
        <w:t>Supplier and linked credit provider, liability of</w:t>
      </w:r>
      <w:bookmarkEnd w:id="60"/>
    </w:p>
    <w:p>
      <w:pPr>
        <w:pStyle w:val="Subsection"/>
        <w:rPr>
          <w:snapToGrid w:val="0"/>
        </w:rPr>
      </w:pPr>
      <w:r>
        <w:rPr>
          <w:snapToGrid w:val="0"/>
        </w:rPr>
        <w:tab/>
        <w:t>(1)</w:t>
      </w:r>
      <w:r>
        <w:rPr>
          <w:snapToGrid w:val="0"/>
        </w:rPr>
        <w:tab/>
        <w:t>Where a buyer who has entered into a tied loan contract or tied continuing credit contract with a linked credit provider of a supplier for the provision of credit in respect of the payment by the buyer for goods or services supplied by the supplier under a contract of sale is entitled to claim damages against or recover a sum of money from the supplier for misrepresentation, breach of contract or failure of consideration in relation to the contract of sale, the supplier and linked credit provider are, subject to this section, jointly and severally liable to the buyer for the damages or sum of money.</w:t>
      </w:r>
    </w:p>
    <w:p>
      <w:pPr>
        <w:pStyle w:val="Subsection"/>
        <w:rPr>
          <w:snapToGrid w:val="0"/>
        </w:rPr>
      </w:pPr>
      <w:r>
        <w:rPr>
          <w:snapToGrid w:val="0"/>
        </w:rPr>
        <w:tab/>
        <w:t>(2)</w:t>
      </w:r>
      <w:r>
        <w:rPr>
          <w:snapToGrid w:val="0"/>
        </w:rPr>
        <w:tab/>
        <w:t>It is a defence to proceedings arising under subsection (1) against a linked credit provider of a supplier if the linked credit provider proves — </w:t>
      </w:r>
    </w:p>
    <w:p>
      <w:pPr>
        <w:pStyle w:val="Indenta"/>
        <w:rPr>
          <w:snapToGrid w:val="0"/>
        </w:rPr>
      </w:pPr>
      <w:r>
        <w:rPr>
          <w:snapToGrid w:val="0"/>
        </w:rPr>
        <w:tab/>
        <w:t>(a)</w:t>
      </w:r>
      <w:r>
        <w:rPr>
          <w:snapToGrid w:val="0"/>
        </w:rPr>
        <w:tab/>
        <w:t>that the credit provided by him to the buyer was provided as a result of an approach by the buyer to the credit provider that was not induced by the supplier; or</w:t>
      </w:r>
    </w:p>
    <w:p>
      <w:pPr>
        <w:pStyle w:val="Indenta"/>
        <w:rPr>
          <w:snapToGrid w:val="0"/>
        </w:rPr>
      </w:pPr>
      <w:r>
        <w:rPr>
          <w:snapToGrid w:val="0"/>
        </w:rPr>
        <w:tab/>
        <w:t>(b)</w:t>
      </w:r>
      <w:r>
        <w:rPr>
          <w:snapToGrid w:val="0"/>
        </w:rPr>
        <w:tab/>
        <w:t>where the proceedings relate to a contract of sale with respect to which a tied loan contract applies, that — </w:t>
      </w:r>
    </w:p>
    <w:p>
      <w:pPr>
        <w:pStyle w:val="Indenti"/>
        <w:rPr>
          <w:snapToGrid w:val="0"/>
        </w:rPr>
      </w:pPr>
      <w:r>
        <w:rPr>
          <w:snapToGrid w:val="0"/>
        </w:rPr>
        <w:tab/>
        <w:t>(i)</w:t>
      </w:r>
      <w:r>
        <w:rPr>
          <w:snapToGrid w:val="0"/>
        </w:rPr>
        <w:tab/>
        <w:t>after due inquiry before he became such a linked credit provider, he was satisfied that the supplier was of good reputation in respect of his financial standing and ethical standards of trading; and</w:t>
      </w:r>
    </w:p>
    <w:p>
      <w:pPr>
        <w:pStyle w:val="Indenti"/>
        <w:rPr>
          <w:snapToGrid w:val="0"/>
        </w:rPr>
      </w:pPr>
      <w:r>
        <w:rPr>
          <w:snapToGrid w:val="0"/>
        </w:rPr>
        <w:tab/>
        <w:t>(ii)</w:t>
      </w:r>
      <w:r>
        <w:rPr>
          <w:snapToGrid w:val="0"/>
        </w:rPr>
        <w:tab/>
        <w:t>since becoming such a linked credit provider, but before the tied loan contract was entered into, he had not had cause to suspect, and had not suspected, that the buyer might be entitled to claim damages against, or recover a sum of money from, the supplier for misrepresentation, breach of contract or failure of consideration as referred to in subsection (1); and</w:t>
      </w:r>
    </w:p>
    <w:p>
      <w:pPr>
        <w:pStyle w:val="Indenti"/>
        <w:rPr>
          <w:snapToGrid w:val="0"/>
        </w:rPr>
      </w:pPr>
      <w:r>
        <w:rPr>
          <w:snapToGrid w:val="0"/>
        </w:rPr>
        <w:tab/>
        <w:t>(iii)</w:t>
      </w:r>
      <w:r>
        <w:rPr>
          <w:snapToGrid w:val="0"/>
        </w:rPr>
        <w:tab/>
        <w:t xml:space="preserve">since becoming such a linked credit provider, but before the tied loan contract was entered into, he had not had any cause to suspect, and had not suspected, that the supplier might be unable to meet his liabilities as and when they fell due;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proceedings relate to a contract of sale with respect to which a tied continuing credit contract entered into by the linked credit provider under an agreement of the kind referred to in section 48(2)(a)(ii) applies, that, having regard to — </w:t>
      </w:r>
    </w:p>
    <w:p>
      <w:pPr>
        <w:pStyle w:val="Indenti"/>
        <w:rPr>
          <w:snapToGrid w:val="0"/>
        </w:rPr>
      </w:pPr>
      <w:r>
        <w:rPr>
          <w:snapToGrid w:val="0"/>
        </w:rPr>
        <w:tab/>
        <w:t>(i)</w:t>
      </w:r>
      <w:r>
        <w:rPr>
          <w:snapToGrid w:val="0"/>
        </w:rPr>
        <w:tab/>
        <w:t>the nature and volume of business carried on by the linked credit provider; and</w:t>
      </w:r>
    </w:p>
    <w:p>
      <w:pPr>
        <w:pStyle w:val="Indenti"/>
        <w:rPr>
          <w:snapToGrid w:val="0"/>
        </w:rPr>
      </w:pPr>
      <w:r>
        <w:rPr>
          <w:snapToGrid w:val="0"/>
        </w:rPr>
        <w:tab/>
        <w:t>(ii)</w:t>
      </w:r>
      <w:r>
        <w:rPr>
          <w:snapToGrid w:val="0"/>
        </w:rPr>
        <w:tab/>
        <w:t>such other matters as appear to be relevant in the circumstances of the case,</w:t>
      </w:r>
    </w:p>
    <w:p>
      <w:pPr>
        <w:pStyle w:val="Indenta"/>
        <w:rPr>
          <w:snapToGrid w:val="0"/>
        </w:rPr>
      </w:pPr>
      <w:r>
        <w:rPr>
          <w:snapToGrid w:val="0"/>
        </w:rPr>
        <w:tab/>
      </w:r>
      <w:r>
        <w:rPr>
          <w:snapToGrid w:val="0"/>
        </w:rPr>
        <w:tab/>
        <w:t>the linked credit provider, before becoming aware of the contract of sale or of proposals for the making of the contract of sale (whichever the linked credit provider first became aware of), did not suspect, and could not reasonably have been expected to suspect, that a person entering into such a contract with the supplier might be entitled to claim damages against, or recover a sum of money from, the supplier for misrepresentation, breach of contract or failure of consideration as referred to in subsection (1).</w:t>
      </w:r>
    </w:p>
    <w:p>
      <w:pPr>
        <w:pStyle w:val="Subsection"/>
        <w:rPr>
          <w:snapToGrid w:val="0"/>
        </w:rPr>
      </w:pPr>
      <w:r>
        <w:rPr>
          <w:snapToGrid w:val="0"/>
        </w:rPr>
        <w:tab/>
        <w:t>(3)</w:t>
      </w:r>
      <w:r>
        <w:rPr>
          <w:snapToGrid w:val="0"/>
        </w:rPr>
        <w:tab/>
        <w:t>Subject to subsection (4), a buyer may in any proceedings set up the liability of a linked credit provider for damages or a sum of money under subsection (1) in diminution or extinction of the buyer’s liability upon any claim for damages or a sum of money made by the linked credit provider against the buyer in the proceedings.</w:t>
      </w:r>
    </w:p>
    <w:p>
      <w:pPr>
        <w:pStyle w:val="Subsection"/>
        <w:rPr>
          <w:snapToGrid w:val="0"/>
        </w:rPr>
      </w:pPr>
      <w:r>
        <w:rPr>
          <w:snapToGrid w:val="0"/>
        </w:rPr>
        <w:tab/>
        <w:t>(4)</w:t>
      </w:r>
      <w:r>
        <w:rPr>
          <w:snapToGrid w:val="0"/>
        </w:rPr>
        <w:tab/>
        <w:t>Subject to subsection (5), a buyer may not — </w:t>
      </w:r>
    </w:p>
    <w:p>
      <w:pPr>
        <w:pStyle w:val="Indenta"/>
        <w:rPr>
          <w:snapToGrid w:val="0"/>
        </w:rPr>
      </w:pPr>
      <w:r>
        <w:rPr>
          <w:snapToGrid w:val="0"/>
        </w:rPr>
        <w:tab/>
        <w:t>(a)</w:t>
      </w:r>
      <w:r>
        <w:rPr>
          <w:snapToGrid w:val="0"/>
        </w:rPr>
        <w:tab/>
        <w:t>bring proceedings for damages or to recover a sum of money from a linked credit provider; or</w:t>
      </w:r>
    </w:p>
    <w:p>
      <w:pPr>
        <w:pStyle w:val="Indenta"/>
        <w:rPr>
          <w:snapToGrid w:val="0"/>
        </w:rPr>
      </w:pPr>
      <w:r>
        <w:rPr>
          <w:snapToGrid w:val="0"/>
        </w:rPr>
        <w:tab/>
        <w:t>(b)</w:t>
      </w:r>
      <w:r>
        <w:rPr>
          <w:snapToGrid w:val="0"/>
        </w:rPr>
        <w:tab/>
        <w:t>where proceedings are brought against the buyer by a linked credit provider, make a cross</w:t>
      </w:r>
      <w:r>
        <w:rPr>
          <w:snapToGrid w:val="0"/>
        </w:rPr>
        <w:noBreakHyphen/>
        <w:t>claim or exercise a right referred to in subsection (3) against the linked credit provider,</w:t>
      </w:r>
    </w:p>
    <w:p>
      <w:pPr>
        <w:pStyle w:val="Subsection"/>
        <w:rPr>
          <w:snapToGrid w:val="0"/>
        </w:rPr>
      </w:pPr>
      <w:r>
        <w:rPr>
          <w:snapToGrid w:val="0"/>
        </w:rPr>
        <w:tab/>
      </w:r>
      <w:r>
        <w:rPr>
          <w:snapToGrid w:val="0"/>
        </w:rPr>
        <w:tab/>
        <w:t>in respect of a liability for which, by reason</w:t>
      </w:r>
      <w:bookmarkStart w:id="61" w:name="RuleErr_43"/>
      <w:r>
        <w:rPr>
          <w:snapToGrid w:val="0"/>
        </w:rPr>
        <w:t xml:space="preserve"> of this section</w:t>
      </w:r>
      <w:bookmarkEnd w:id="61"/>
      <w:r>
        <w:rPr>
          <w:snapToGrid w:val="0"/>
        </w:rPr>
        <w:t>, a supplier and a linked credit provider are jointly and severally liable unless he brings the proceedings against the supplier and linked credit provider jointly or, in the case of a cross</w:t>
      </w:r>
      <w:r>
        <w:rPr>
          <w:snapToGrid w:val="0"/>
        </w:rPr>
        <w:noBreakHyphen/>
        <w:t>claim or right referred to in subsection (3), claims in the proceedings against the supplier in respect of the liability.</w:t>
      </w:r>
    </w:p>
    <w:p>
      <w:pPr>
        <w:pStyle w:val="Subsection"/>
        <w:rPr>
          <w:snapToGrid w:val="0"/>
        </w:rPr>
      </w:pPr>
      <w:r>
        <w:rPr>
          <w:snapToGrid w:val="0"/>
        </w:rPr>
        <w:tab/>
        <w:t>(5)</w:t>
      </w:r>
      <w:r>
        <w:rPr>
          <w:snapToGrid w:val="0"/>
        </w:rPr>
        <w:tab/>
        <w:t>Subsections (4) and (8)(a) do not apply where — </w:t>
      </w:r>
    </w:p>
    <w:p>
      <w:pPr>
        <w:pStyle w:val="Indenta"/>
        <w:rPr>
          <w:snapToGrid w:val="0"/>
        </w:rPr>
      </w:pPr>
      <w:r>
        <w:rPr>
          <w:snapToGrid w:val="0"/>
        </w:rPr>
        <w:tab/>
        <w:t>(a)</w:t>
      </w:r>
      <w:r>
        <w:rPr>
          <w:snapToGrid w:val="0"/>
        </w:rPr>
        <w:tab/>
        <w:t>the supplier — </w:t>
      </w:r>
    </w:p>
    <w:p>
      <w:pPr>
        <w:pStyle w:val="Indenti"/>
        <w:rPr>
          <w:snapToGrid w:val="0"/>
        </w:rPr>
      </w:pPr>
      <w:r>
        <w:rPr>
          <w:snapToGrid w:val="0"/>
        </w:rPr>
        <w:tab/>
        <w:t>(i)</w:t>
      </w:r>
      <w:r>
        <w:rPr>
          <w:snapToGrid w:val="0"/>
        </w:rPr>
        <w:tab/>
        <w:t xml:space="preserve">is a bankrupt or a person whose affairs are being dealt with under Part X of the </w:t>
      </w:r>
      <w:r>
        <w:rPr>
          <w:i/>
          <w:snapToGrid w:val="0"/>
        </w:rPr>
        <w:t>Bankruptcy Act 1966</w:t>
      </w:r>
      <w:r>
        <w:rPr>
          <w:snapToGrid w:val="0"/>
        </w:rPr>
        <w:t xml:space="preserve"> of the Commonwealth as amended and in force for the time being; or</w:t>
      </w:r>
    </w:p>
    <w:p>
      <w:pPr>
        <w:pStyle w:val="Indenti"/>
        <w:rPr>
          <w:snapToGrid w:val="0"/>
        </w:rPr>
      </w:pPr>
      <w:r>
        <w:rPr>
          <w:snapToGrid w:val="0"/>
        </w:rPr>
        <w:tab/>
        <w:t>(ii)</w:t>
      </w:r>
      <w:r>
        <w:rPr>
          <w:snapToGrid w:val="0"/>
        </w:rPr>
        <w:tab/>
        <w:t>being a body corporate, has been dissolved or has commenced to be wound up; or</w:t>
      </w:r>
    </w:p>
    <w:p>
      <w:pPr>
        <w:pStyle w:val="Indenti"/>
        <w:rPr>
          <w:snapToGrid w:val="0"/>
        </w:rPr>
      </w:pPr>
      <w:r>
        <w:rPr>
          <w:snapToGrid w:val="0"/>
        </w:rPr>
        <w:tab/>
        <w:t>(iii)</w:t>
      </w:r>
      <w:r>
        <w:rPr>
          <w:snapToGrid w:val="0"/>
        </w:rPr>
        <w:tab/>
        <w:t>being a natural person, has died;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court believes on reasonable grounds that it is not reasonably likely that any part of a judgment obtained against the supplier would be satisfied and has on the application of the buyer declared that subsections (4) and (8)(a) do not apply in that case; or</w:t>
      </w:r>
    </w:p>
    <w:p>
      <w:pPr>
        <w:pStyle w:val="Indenta"/>
        <w:rPr>
          <w:snapToGrid w:val="0"/>
        </w:rPr>
      </w:pPr>
      <w:r>
        <w:rPr>
          <w:snapToGrid w:val="0"/>
        </w:rPr>
        <w:tab/>
        <w:t>(c)</w:t>
      </w:r>
      <w:r>
        <w:rPr>
          <w:snapToGrid w:val="0"/>
        </w:rPr>
        <w:tab/>
        <w:t>the buyer satisfies the court that he has made reasonable efforts to locate the supplier but has been unable to do so and the court declares that subsections (4) and (8)(a) do not apply in that case.</w:t>
      </w:r>
    </w:p>
    <w:p>
      <w:pPr>
        <w:pStyle w:val="Subsection"/>
        <w:rPr>
          <w:snapToGrid w:val="0"/>
        </w:rPr>
      </w:pPr>
      <w:r>
        <w:rPr>
          <w:snapToGrid w:val="0"/>
        </w:rPr>
        <w:tab/>
        <w:t>(6)</w:t>
      </w:r>
      <w:r>
        <w:rPr>
          <w:snapToGrid w:val="0"/>
        </w:rPr>
        <w:tab/>
        <w:t>A reference in subsection (5) to the commencement of winding up is a reference to commencement of winding up as determined under the law relating to companies in the place where the body corporate is being wound up.</w:t>
      </w:r>
    </w:p>
    <w:p>
      <w:pPr>
        <w:pStyle w:val="Subsection"/>
        <w:rPr>
          <w:snapToGrid w:val="0"/>
        </w:rPr>
      </w:pPr>
      <w:r>
        <w:rPr>
          <w:snapToGrid w:val="0"/>
        </w:rPr>
        <w:tab/>
        <w:t>(7)</w:t>
      </w:r>
      <w:r>
        <w:rPr>
          <w:snapToGrid w:val="0"/>
        </w:rPr>
        <w:tab/>
        <w:t>The liability of a linked credit provider to a buyer for damages or a sum of money in respect of a contract of sale referred to in subsection (1) does not exceed the sum of — </w:t>
      </w:r>
    </w:p>
    <w:p>
      <w:pPr>
        <w:pStyle w:val="Indenta"/>
        <w:rPr>
          <w:snapToGrid w:val="0"/>
        </w:rPr>
      </w:pPr>
      <w:r>
        <w:rPr>
          <w:snapToGrid w:val="0"/>
        </w:rPr>
        <w:tab/>
        <w:t>(a)</w:t>
      </w:r>
      <w:r>
        <w:rPr>
          <w:snapToGrid w:val="0"/>
        </w:rPr>
        <w:tab/>
        <w:t>the amount financed under the tied loan contract or tied continuing credit contract in relation to the contract of sale; and</w:t>
      </w:r>
    </w:p>
    <w:p>
      <w:pPr>
        <w:pStyle w:val="Indenta"/>
        <w:rPr>
          <w:snapToGrid w:val="0"/>
        </w:rPr>
      </w:pPr>
      <w:r>
        <w:rPr>
          <w:snapToGrid w:val="0"/>
        </w:rPr>
        <w:tab/>
        <w:t>(b)</w:t>
      </w:r>
      <w:r>
        <w:rPr>
          <w:snapToGrid w:val="0"/>
        </w:rPr>
        <w:tab/>
        <w:t>the amount of interest (if any) or damages in the nature of interest allowed or awarded against the linked credit provider by the court; and</w:t>
      </w:r>
    </w:p>
    <w:p>
      <w:pPr>
        <w:pStyle w:val="Indenta"/>
        <w:rPr>
          <w:snapToGrid w:val="0"/>
        </w:rPr>
      </w:pPr>
      <w:r>
        <w:rPr>
          <w:snapToGrid w:val="0"/>
        </w:rPr>
        <w:tab/>
        <w:t>(c)</w:t>
      </w:r>
      <w:r>
        <w:rPr>
          <w:snapToGrid w:val="0"/>
        </w:rPr>
        <w:tab/>
        <w:t>the amount of costs (if any) awarded by the court against the linked credit provider or supplier or both.</w:t>
      </w:r>
    </w:p>
    <w:p>
      <w:pPr>
        <w:pStyle w:val="Subsection"/>
        <w:rPr>
          <w:snapToGrid w:val="0"/>
        </w:rPr>
      </w:pPr>
      <w:r>
        <w:rPr>
          <w:snapToGrid w:val="0"/>
        </w:rPr>
        <w:tab/>
        <w:t>(8)</w:t>
      </w:r>
      <w:r>
        <w:rPr>
          <w:snapToGrid w:val="0"/>
        </w:rPr>
        <w:tab/>
        <w:t>Where in proceedings in respect of the liability arising under subsection (1) judgment is given against a supplier and a linked credit provider, the judgment — </w:t>
      </w:r>
    </w:p>
    <w:p>
      <w:pPr>
        <w:pStyle w:val="Indenta"/>
        <w:rPr>
          <w:snapToGrid w:val="0"/>
        </w:rPr>
      </w:pPr>
      <w:r>
        <w:rPr>
          <w:snapToGrid w:val="0"/>
        </w:rPr>
        <w:tab/>
        <w:t>(a)</w:t>
      </w:r>
      <w:r>
        <w:rPr>
          <w:snapToGrid w:val="0"/>
        </w:rPr>
        <w:tab/>
        <w:t>shall not be enforced against the linked credit provider unless a written demand made on the supplier for satisfaction of the judgment has remained unsatisfied for not less than 30 days; and</w:t>
      </w:r>
    </w:p>
    <w:p>
      <w:pPr>
        <w:pStyle w:val="Indenta"/>
        <w:keepNext/>
        <w:rPr>
          <w:snapToGrid w:val="0"/>
        </w:rPr>
      </w:pPr>
      <w:r>
        <w:rPr>
          <w:snapToGrid w:val="0"/>
        </w:rPr>
        <w:tab/>
        <w:t>(b)</w:t>
      </w:r>
      <w:r>
        <w:rPr>
          <w:snapToGrid w:val="0"/>
        </w:rPr>
        <w:tab/>
        <w:t>may be enforced against the linked credit provider only to the extent of — </w:t>
      </w:r>
    </w:p>
    <w:p>
      <w:pPr>
        <w:pStyle w:val="Indenti"/>
        <w:rPr>
          <w:snapToGrid w:val="0"/>
        </w:rPr>
      </w:pPr>
      <w:r>
        <w:rPr>
          <w:snapToGrid w:val="0"/>
        </w:rPr>
        <w:tab/>
        <w:t>(i)</w:t>
      </w:r>
      <w:r>
        <w:rPr>
          <w:snapToGrid w:val="0"/>
        </w:rPr>
        <w:tab/>
        <w:t>the amount calculated in accordance with subsection (7); or</w:t>
      </w:r>
    </w:p>
    <w:p>
      <w:pPr>
        <w:pStyle w:val="Indenti"/>
        <w:rPr>
          <w:snapToGrid w:val="0"/>
        </w:rPr>
      </w:pPr>
      <w:r>
        <w:rPr>
          <w:snapToGrid w:val="0"/>
        </w:rPr>
        <w:tab/>
        <w:t>(ii)</w:t>
      </w:r>
      <w:r>
        <w:rPr>
          <w:snapToGrid w:val="0"/>
        </w:rPr>
        <w:tab/>
        <w:t>so much of the judgment debt as has not been satisfied by the supplier,</w:t>
      </w:r>
    </w:p>
    <w:p>
      <w:pPr>
        <w:pStyle w:val="Indenta"/>
        <w:rPr>
          <w:snapToGrid w:val="0"/>
        </w:rPr>
      </w:pPr>
      <w:r>
        <w:rPr>
          <w:snapToGrid w:val="0"/>
        </w:rPr>
        <w:tab/>
      </w:r>
      <w:r>
        <w:rPr>
          <w:snapToGrid w:val="0"/>
        </w:rPr>
        <w:tab/>
        <w:t>whichever is the lesser.</w:t>
      </w:r>
    </w:p>
    <w:p>
      <w:pPr>
        <w:pStyle w:val="Subsection"/>
        <w:rPr>
          <w:snapToGrid w:val="0"/>
        </w:rPr>
      </w:pPr>
      <w:r>
        <w:rPr>
          <w:snapToGrid w:val="0"/>
        </w:rPr>
        <w:tab/>
        <w:t>(9)</w:t>
      </w:r>
      <w:r>
        <w:rPr>
          <w:snapToGrid w:val="0"/>
        </w:rPr>
        <w:tab/>
        <w:t>Where, in proceedings in respect of the liability arising under subsection (1), a right referred to in subsection (3) is established against a linked credit provider, the buyer — </w:t>
      </w:r>
    </w:p>
    <w:p>
      <w:pPr>
        <w:pStyle w:val="Indenta"/>
        <w:rPr>
          <w:snapToGrid w:val="0"/>
        </w:rPr>
      </w:pPr>
      <w:r>
        <w:rPr>
          <w:snapToGrid w:val="0"/>
        </w:rPr>
        <w:tab/>
        <w:t>(a)</w:t>
      </w:r>
      <w:r>
        <w:rPr>
          <w:snapToGrid w:val="0"/>
        </w:rPr>
        <w:tab/>
        <w:t>shall not receive the benefit of the right unless judgment has been given against the supplier and linked credit provider, a written demand has been made on the supplier for satisfaction of the judgment and the demand has remained unsatisfied for not less than 30 days; and</w:t>
      </w:r>
    </w:p>
    <w:p>
      <w:pPr>
        <w:pStyle w:val="Indenta"/>
        <w:rPr>
          <w:snapToGrid w:val="0"/>
        </w:rPr>
      </w:pPr>
      <w:r>
        <w:rPr>
          <w:snapToGrid w:val="0"/>
        </w:rPr>
        <w:tab/>
        <w:t>(b)</w:t>
      </w:r>
      <w:r>
        <w:rPr>
          <w:snapToGrid w:val="0"/>
        </w:rPr>
        <w:tab/>
        <w:t>may receive the benefit only to the extent of — </w:t>
      </w:r>
    </w:p>
    <w:p>
      <w:pPr>
        <w:pStyle w:val="Indenti"/>
        <w:rPr>
          <w:snapToGrid w:val="0"/>
        </w:rPr>
      </w:pPr>
      <w:r>
        <w:rPr>
          <w:snapToGrid w:val="0"/>
        </w:rPr>
        <w:tab/>
        <w:t>(i)</w:t>
      </w:r>
      <w:r>
        <w:rPr>
          <w:snapToGrid w:val="0"/>
        </w:rPr>
        <w:tab/>
        <w:t>the amount calculated in accordance with subsection (7); or</w:t>
      </w:r>
    </w:p>
    <w:p>
      <w:pPr>
        <w:pStyle w:val="Indenti"/>
        <w:rPr>
          <w:snapToGrid w:val="0"/>
        </w:rPr>
      </w:pPr>
      <w:r>
        <w:rPr>
          <w:snapToGrid w:val="0"/>
        </w:rPr>
        <w:tab/>
        <w:t>(ii)</w:t>
      </w:r>
      <w:r>
        <w:rPr>
          <w:snapToGrid w:val="0"/>
        </w:rPr>
        <w:tab/>
        <w:t>so much of the judgment debt as has not been satisfied by the supplier,</w:t>
      </w:r>
    </w:p>
    <w:p>
      <w:pPr>
        <w:pStyle w:val="Indenta"/>
        <w:rPr>
          <w:snapToGrid w:val="0"/>
        </w:rPr>
      </w:pPr>
      <w:r>
        <w:rPr>
          <w:snapToGrid w:val="0"/>
        </w:rPr>
        <w:tab/>
      </w:r>
      <w:r>
        <w:rPr>
          <w:snapToGrid w:val="0"/>
        </w:rPr>
        <w:tab/>
        <w:t>whichever is the lesser.</w:t>
      </w:r>
    </w:p>
    <w:p>
      <w:pPr>
        <w:pStyle w:val="Subsection"/>
        <w:rPr>
          <w:snapToGrid w:val="0"/>
        </w:rPr>
      </w:pPr>
      <w:r>
        <w:rPr>
          <w:snapToGrid w:val="0"/>
        </w:rPr>
        <w:tab/>
        <w:t>(10)</w:t>
      </w:r>
      <w:r>
        <w:rPr>
          <w:snapToGrid w:val="0"/>
        </w:rPr>
        <w:tab/>
        <w:t>Unless the linked credit provider and supplier otherwise agree, the supplier is liable to the linked credit provider for the amount of a loss suffered by the linked credit provider, being an amount not exceeding the maximum amount of his liability under subsection (7) and, unless the court otherwise determines, the amount of costs (if any) reasonably incurred by him in defending the proceedings by reason of which the liability was incurred.</w:t>
      </w:r>
    </w:p>
    <w:p>
      <w:pPr>
        <w:pStyle w:val="Subsection"/>
        <w:rPr>
          <w:snapToGrid w:val="0"/>
        </w:rPr>
      </w:pPr>
      <w:r>
        <w:rPr>
          <w:snapToGrid w:val="0"/>
        </w:rPr>
        <w:tab/>
        <w:t>(11)</w:t>
      </w:r>
      <w:r>
        <w:rPr>
          <w:snapToGrid w:val="0"/>
        </w:rPr>
        <w:tab/>
        <w:t>Notwithstanding anything to the contrary in any other Act, where in proceedings in respect of the liability arising under subsection (1) judgment is given against a supplier and a linked credit provider, or against a linked credit provider, for damages or a sum of money, the court shall upon application by the buyer, unless good cause is shown to the contrary, allow or award interest to the buyer against the supplier and linked credit provider or against the linked credit provider, as the case may be, upon the whole or part of the damages or sum of money — </w:t>
      </w:r>
    </w:p>
    <w:p>
      <w:pPr>
        <w:pStyle w:val="Indenta"/>
        <w:rPr>
          <w:snapToGrid w:val="0"/>
        </w:rPr>
      </w:pPr>
      <w:r>
        <w:rPr>
          <w:snapToGrid w:val="0"/>
        </w:rPr>
        <w:tab/>
        <w:t>(a)</w:t>
      </w:r>
      <w:r>
        <w:rPr>
          <w:snapToGrid w:val="0"/>
        </w:rPr>
        <w:tab/>
        <w:t>at the percentage rate per annum that is the annual percentage rate under the tied loan contract or tied continuing credit contract; or</w:t>
      </w:r>
    </w:p>
    <w:p>
      <w:pPr>
        <w:pStyle w:val="Indenta"/>
        <w:rPr>
          <w:snapToGrid w:val="0"/>
        </w:rPr>
      </w:pPr>
      <w:r>
        <w:rPr>
          <w:snapToGrid w:val="0"/>
        </w:rPr>
        <w:tab/>
        <w:t>(b)</w:t>
      </w:r>
      <w:r>
        <w:rPr>
          <w:snapToGrid w:val="0"/>
        </w:rPr>
        <w:tab/>
        <w:t>at 8% per annum or, where some other percentage rate per annum is prescribed, that other rate,</w:t>
      </w:r>
    </w:p>
    <w:p>
      <w:pPr>
        <w:pStyle w:val="Subsection"/>
        <w:spacing w:before="120"/>
        <w:rPr>
          <w:snapToGrid w:val="0"/>
        </w:rPr>
      </w:pPr>
      <w:r>
        <w:rPr>
          <w:snapToGrid w:val="0"/>
        </w:rPr>
        <w:tab/>
      </w:r>
      <w:r>
        <w:rPr>
          <w:snapToGrid w:val="0"/>
        </w:rPr>
        <w:tab/>
        <w:t>whichever is the greater, from the time when the buyer became entitled to recover the damages or sum of money until the date on which the judgment is given.</w:t>
      </w:r>
    </w:p>
    <w:p>
      <w:pPr>
        <w:pStyle w:val="Subsection"/>
        <w:rPr>
          <w:snapToGrid w:val="0"/>
        </w:rPr>
      </w:pPr>
      <w:r>
        <w:rPr>
          <w:snapToGrid w:val="0"/>
        </w:rPr>
        <w:tab/>
        <w:t>(12)</w:t>
      </w:r>
      <w:r>
        <w:rPr>
          <w:snapToGrid w:val="0"/>
        </w:rPr>
        <w:tab/>
        <w:t>In determining whether good cause is shown against allowing or awarding interest under subsection (11) on the whole or part of the damages or sum of money, the court shall take into account any payment made into court by the supplier or linked credit provider, as the case may be.</w:t>
      </w:r>
    </w:p>
    <w:p>
      <w:pPr>
        <w:pStyle w:val="Subsection"/>
        <w:rPr>
          <w:snapToGrid w:val="0"/>
        </w:rPr>
      </w:pPr>
      <w:r>
        <w:rPr>
          <w:snapToGrid w:val="0"/>
        </w:rPr>
        <w:tab/>
        <w:t>(13)</w:t>
      </w:r>
      <w:r>
        <w:rPr>
          <w:snapToGrid w:val="0"/>
        </w:rPr>
        <w:tab/>
        <w:t>Where a judgment in respect of a liability arising under subsection (1) in relation to a contract of sale is enforced against a linked credit provider, the linked credit provider is subrogated to the extent of the judgment so enforced to any rights that the buyer would, but for the judgment, have had against any person in respect of the loss or damage suffered by him as a result of the misrepresentation, breach of contract or failure of consideration in relation to the contract of sale from which the liability arose.</w:t>
      </w:r>
    </w:p>
    <w:p>
      <w:pPr>
        <w:pStyle w:val="Footnotesection"/>
      </w:pPr>
      <w:r>
        <w:tab/>
        <w:t>[Section 24 amended by No. 58 of 1992 s. 4.]</w:t>
      </w:r>
    </w:p>
    <w:p>
      <w:pPr>
        <w:pStyle w:val="Heading5"/>
        <w:rPr>
          <w:snapToGrid w:val="0"/>
        </w:rPr>
      </w:pPr>
      <w:bookmarkStart w:id="62" w:name="_Toc392496491"/>
      <w:r>
        <w:rPr>
          <w:rStyle w:val="CharSectno"/>
        </w:rPr>
        <w:t>25</w:t>
      </w:r>
      <w:r>
        <w:rPr>
          <w:snapToGrid w:val="0"/>
        </w:rPr>
        <w:t>.</w:t>
      </w:r>
      <w:r>
        <w:rPr>
          <w:snapToGrid w:val="0"/>
        </w:rPr>
        <w:tab/>
        <w:t>Rescission etc. of contract of sale, consequences of for a tied loan contract, mortgage etc.</w:t>
      </w:r>
      <w:bookmarkEnd w:id="62"/>
    </w:p>
    <w:p>
      <w:pPr>
        <w:pStyle w:val="Subsection"/>
        <w:rPr>
          <w:snapToGrid w:val="0"/>
        </w:rPr>
      </w:pPr>
      <w:r>
        <w:rPr>
          <w:snapToGrid w:val="0"/>
        </w:rPr>
        <w:tab/>
        <w:t>(1)</w:t>
      </w:r>
      <w:r>
        <w:rPr>
          <w:snapToGrid w:val="0"/>
        </w:rPr>
        <w:tab/>
        <w:t>Subject to section 27, where a contract of sale is rescinded or discharged (whether under this Act or any other Act or law) and there is a tied loan contract made with the buyer by a linked credit provider of the supplier under the contract of sale, at the same time as the contract of sale is rescinded or discharged — </w:t>
      </w:r>
    </w:p>
    <w:p>
      <w:pPr>
        <w:pStyle w:val="Indenta"/>
        <w:rPr>
          <w:snapToGrid w:val="0"/>
        </w:rPr>
      </w:pPr>
      <w:r>
        <w:rPr>
          <w:snapToGrid w:val="0"/>
        </w:rPr>
        <w:tab/>
        <w:t>(a)</w:t>
      </w:r>
      <w:r>
        <w:rPr>
          <w:snapToGrid w:val="0"/>
        </w:rPr>
        <w:tab/>
        <w:t>the tied loan contract is discharged to the extent that it was entered into for the purposes of the payment for the goods or services supplied under the contract of sale; and</w:t>
      </w:r>
    </w:p>
    <w:p>
      <w:pPr>
        <w:pStyle w:val="Indenta"/>
        <w:rPr>
          <w:snapToGrid w:val="0"/>
        </w:rPr>
      </w:pPr>
      <w:r>
        <w:rPr>
          <w:snapToGrid w:val="0"/>
        </w:rPr>
        <w:tab/>
        <w:t>(b)</w:t>
      </w:r>
      <w:r>
        <w:rPr>
          <w:snapToGrid w:val="0"/>
        </w:rPr>
        <w:tab/>
        <w:t>any mortgage relating to the tied loan contract is discharged to the extent that it secures the payment of a debt or other pecuniary obligation or performance of any other obligation under the tied loan contract.</w:t>
      </w:r>
    </w:p>
    <w:p>
      <w:pPr>
        <w:pStyle w:val="Subsection"/>
        <w:rPr>
          <w:snapToGrid w:val="0"/>
        </w:rPr>
      </w:pPr>
      <w:r>
        <w:rPr>
          <w:snapToGrid w:val="0"/>
        </w:rPr>
        <w:tab/>
        <w:t>(2)</w:t>
      </w:r>
      <w:r>
        <w:rPr>
          <w:snapToGrid w:val="0"/>
        </w:rPr>
        <w:tab/>
        <w:t>Subsection (1) does not apply where the credit is provided by a linked credit provider of a supplier to a buyer as a result of an approach by the buyer to the credit provider which was not induced by the supplier.</w:t>
      </w:r>
    </w:p>
    <w:p>
      <w:pPr>
        <w:pStyle w:val="Subsection"/>
        <w:rPr>
          <w:snapToGrid w:val="0"/>
        </w:rPr>
      </w:pPr>
      <w:r>
        <w:rPr>
          <w:snapToGrid w:val="0"/>
        </w:rPr>
        <w:tab/>
        <w:t>(3)</w:t>
      </w:r>
      <w:r>
        <w:rPr>
          <w:snapToGrid w:val="0"/>
        </w:rPr>
        <w:tab/>
        <w:t>Where, by reason of subsection (1), a tied loan contract is discharged when a contract of sale is rescinded or discharged —</w:t>
      </w:r>
    </w:p>
    <w:p>
      <w:pPr>
        <w:pStyle w:val="Indenta"/>
        <w:rPr>
          <w:snapToGrid w:val="0"/>
        </w:rPr>
      </w:pPr>
      <w:r>
        <w:rPr>
          <w:snapToGrid w:val="0"/>
        </w:rPr>
        <w:tab/>
        <w:t>(a)</w:t>
      </w:r>
      <w:r>
        <w:rPr>
          <w:snapToGrid w:val="0"/>
        </w:rPr>
        <w:tab/>
        <w:t>the credit provider is liable to the buyer for the amount (if any) paid by the buyer to the credit provider under the tied loan contract to the extent that it is discharged; and</w:t>
      </w:r>
    </w:p>
    <w:p>
      <w:pPr>
        <w:pStyle w:val="Indenta"/>
        <w:rPr>
          <w:snapToGrid w:val="0"/>
        </w:rPr>
      </w:pPr>
      <w:r>
        <w:rPr>
          <w:snapToGrid w:val="0"/>
        </w:rPr>
        <w:tab/>
        <w:t>(b)</w:t>
      </w:r>
      <w:r>
        <w:rPr>
          <w:snapToGrid w:val="0"/>
        </w:rPr>
        <w:tab/>
        <w:t>the supplier is liable to the credit provider for — </w:t>
      </w:r>
    </w:p>
    <w:p>
      <w:pPr>
        <w:pStyle w:val="Indenti"/>
        <w:rPr>
          <w:snapToGrid w:val="0"/>
        </w:rPr>
      </w:pPr>
      <w:r>
        <w:rPr>
          <w:snapToGrid w:val="0"/>
        </w:rPr>
        <w:tab/>
        <w:t>(i)</w:t>
      </w:r>
      <w:r>
        <w:rPr>
          <w:snapToGrid w:val="0"/>
        </w:rPr>
        <w:tab/>
        <w:t>the amount (if any) paid under the tied loan contract, to the extent that it is discharged, by the credit provider to the supplier; and</w:t>
      </w:r>
    </w:p>
    <w:p>
      <w:pPr>
        <w:pStyle w:val="Indenti"/>
        <w:rPr>
          <w:snapToGrid w:val="0"/>
        </w:rPr>
      </w:pPr>
      <w:r>
        <w:rPr>
          <w:snapToGrid w:val="0"/>
        </w:rPr>
        <w:tab/>
        <w:t>(ii)</w:t>
      </w:r>
      <w:r>
        <w:rPr>
          <w:snapToGrid w:val="0"/>
        </w:rPr>
        <w:tab/>
        <w:t>the amount paid under the tied loan contract, to the extent that it is discharged, by the credit provider to the buyer and paid by the buyer to the supplier; and</w:t>
      </w:r>
    </w:p>
    <w:p>
      <w:pPr>
        <w:pStyle w:val="Indenti"/>
        <w:rPr>
          <w:snapToGrid w:val="0"/>
        </w:rPr>
      </w:pPr>
      <w:r>
        <w:rPr>
          <w:snapToGrid w:val="0"/>
        </w:rPr>
        <w:tab/>
        <w:t>(iii)</w:t>
      </w:r>
      <w:r>
        <w:rPr>
          <w:snapToGrid w:val="0"/>
        </w:rPr>
        <w:tab/>
        <w:t xml:space="preserve">the amount of the loss (if any) suffered by the credit provider by reason of the discharge of the tied loan contract, being an amount not exceeding the amount of the accrued credit charge under the tied loan contract;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buyer is liable to the credit provider for the amount (if any) paid under the tied loan contract, to the extent that it is discharged, to the buyer by the credit provider, other than amounts paid to the buyer and paid by him to the supplier,</w:t>
      </w:r>
    </w:p>
    <w:p>
      <w:pPr>
        <w:pStyle w:val="Subsection"/>
        <w:rPr>
          <w:snapToGrid w:val="0"/>
        </w:rPr>
      </w:pPr>
      <w:r>
        <w:rPr>
          <w:snapToGrid w:val="0"/>
        </w:rPr>
        <w:tab/>
      </w:r>
      <w:r>
        <w:rPr>
          <w:snapToGrid w:val="0"/>
        </w:rPr>
        <w:tab/>
        <w:t>and, where the contract of sale is a contract of sale of goods or services — </w:t>
      </w:r>
    </w:p>
    <w:p>
      <w:pPr>
        <w:pStyle w:val="Indenta"/>
        <w:rPr>
          <w:snapToGrid w:val="0"/>
        </w:rPr>
      </w:pPr>
      <w:r>
        <w:rPr>
          <w:snapToGrid w:val="0"/>
        </w:rPr>
        <w:tab/>
        <w:t>(d)</w:t>
      </w:r>
      <w:r>
        <w:rPr>
          <w:snapToGrid w:val="0"/>
        </w:rPr>
        <w:tab/>
        <w:t>if the goods are in the possession of the buyer — </w:t>
      </w:r>
    </w:p>
    <w:p>
      <w:pPr>
        <w:pStyle w:val="Indenti"/>
        <w:rPr>
          <w:snapToGrid w:val="0"/>
        </w:rPr>
      </w:pPr>
      <w:r>
        <w:rPr>
          <w:snapToGrid w:val="0"/>
        </w:rPr>
        <w:tab/>
        <w:t>(i)</w:t>
      </w:r>
      <w:r>
        <w:rPr>
          <w:snapToGrid w:val="0"/>
        </w:rPr>
        <w:tab/>
        <w:t>where, before the rescission or discharge of the contract of sale, there was not a mortgage relating to the tied loan contract, the buyer shall deliver the goods to the supplier; or</w:t>
      </w:r>
    </w:p>
    <w:p>
      <w:pPr>
        <w:pStyle w:val="Indenti"/>
        <w:rPr>
          <w:snapToGrid w:val="0"/>
        </w:rPr>
      </w:pPr>
      <w:r>
        <w:rPr>
          <w:snapToGrid w:val="0"/>
        </w:rPr>
        <w:tab/>
        <w:t>(ii)</w:t>
      </w:r>
      <w:r>
        <w:rPr>
          <w:snapToGrid w:val="0"/>
        </w:rPr>
        <w:tab/>
        <w:t xml:space="preserve">where, before the rescission or discharge of the contract of sale, there was a mortgage relating to the tied loan contract to the extent that it is discharged, the buyer shall deliver the goods to the credit provider;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if the goods are in the possession of the credit provider and no amounts are owed to the credit provider under paragraph (b), the credit provider shall deliver the goods to the supplier.</w:t>
      </w:r>
    </w:p>
    <w:p>
      <w:pPr>
        <w:pStyle w:val="Subsection"/>
        <w:rPr>
          <w:snapToGrid w:val="0"/>
        </w:rPr>
      </w:pPr>
      <w:r>
        <w:rPr>
          <w:snapToGrid w:val="0"/>
        </w:rPr>
        <w:tab/>
        <w:t>(4)</w:t>
      </w:r>
      <w:r>
        <w:rPr>
          <w:snapToGrid w:val="0"/>
        </w:rPr>
        <w:tab/>
        <w:t>Where, under subsection (3)(d), goods are delivered to the credit provider, the credit provider is entitled to possession of the goods as against the supplier until the credit provider has been paid the amount for which the supplier is liable to the credit provider under subsection (3)(b).</w:t>
      </w:r>
    </w:p>
    <w:p>
      <w:pPr>
        <w:pStyle w:val="Heading5"/>
        <w:rPr>
          <w:snapToGrid w:val="0"/>
        </w:rPr>
      </w:pPr>
      <w:bookmarkStart w:id="63" w:name="_Toc392496492"/>
      <w:r>
        <w:rPr>
          <w:rStyle w:val="CharSectno"/>
        </w:rPr>
        <w:t>26</w:t>
      </w:r>
      <w:r>
        <w:rPr>
          <w:snapToGrid w:val="0"/>
        </w:rPr>
        <w:t>.</w:t>
      </w:r>
      <w:r>
        <w:rPr>
          <w:snapToGrid w:val="0"/>
        </w:rPr>
        <w:tab/>
        <w:t>Rescission of contract of sale, consequences of for any mortgage related to tied continuing credit contract etc.</w:t>
      </w:r>
      <w:bookmarkEnd w:id="63"/>
    </w:p>
    <w:p>
      <w:pPr>
        <w:pStyle w:val="Subsection"/>
        <w:rPr>
          <w:snapToGrid w:val="0"/>
        </w:rPr>
      </w:pPr>
      <w:r>
        <w:rPr>
          <w:snapToGrid w:val="0"/>
        </w:rPr>
        <w:tab/>
        <w:t>(1)</w:t>
      </w:r>
      <w:r>
        <w:rPr>
          <w:snapToGrid w:val="0"/>
        </w:rPr>
        <w:tab/>
        <w:t>Subject to section 27, where a contract of sale is rescinded or discharged (whether under this Act or any other Act or law) and there is a tied continuing credit contract made with the buyer by a linked credit provider of the supplier under the contract of sale, any mortgage relating to the tied continuing credit contract is discharged to the extent that it secures payment of the amount entered in relation to the contract of sale in an account of the debtor kept by the credit provider under the tied continuing credit contract and the amount (if any) of the credit charge so entered and attributable to the contract of sale and — </w:t>
      </w:r>
    </w:p>
    <w:p>
      <w:pPr>
        <w:pStyle w:val="Indenta"/>
        <w:rPr>
          <w:snapToGrid w:val="0"/>
        </w:rPr>
      </w:pPr>
      <w:r>
        <w:rPr>
          <w:snapToGrid w:val="0"/>
        </w:rPr>
        <w:tab/>
        <w:t>(a)</w:t>
      </w:r>
      <w:r>
        <w:rPr>
          <w:snapToGrid w:val="0"/>
        </w:rPr>
        <w:tab/>
        <w:t>the credit provider shall enter in that account an amount by way of refund to the debtor equal to the first</w:t>
      </w:r>
      <w:r>
        <w:rPr>
          <w:snapToGrid w:val="0"/>
        </w:rPr>
        <w:noBreakHyphen/>
      </w:r>
      <w:bookmarkStart w:id="64" w:name="RuleErr_138"/>
      <w:r>
        <w:rPr>
          <w:snapToGrid w:val="0"/>
        </w:rPr>
        <w:t>mentioned</w:t>
      </w:r>
      <w:bookmarkEnd w:id="64"/>
      <w:r>
        <w:rPr>
          <w:snapToGrid w:val="0"/>
        </w:rPr>
        <w:t xml:space="preserve"> amount; and</w:t>
      </w:r>
    </w:p>
    <w:p>
      <w:pPr>
        <w:pStyle w:val="Indenta"/>
        <w:rPr>
          <w:snapToGrid w:val="0"/>
        </w:rPr>
      </w:pPr>
      <w:r>
        <w:rPr>
          <w:snapToGrid w:val="0"/>
        </w:rPr>
        <w:tab/>
        <w:t>(b)</w:t>
      </w:r>
      <w:r>
        <w:rPr>
          <w:snapToGrid w:val="0"/>
        </w:rPr>
        <w:tab/>
        <w:t>the supplier is liable to the credit provider for an amount equal to the first</w:t>
      </w:r>
      <w:r>
        <w:rPr>
          <w:snapToGrid w:val="0"/>
        </w:rPr>
        <w:noBreakHyphen/>
      </w:r>
      <w:bookmarkStart w:id="65" w:name="RuleErr_139"/>
      <w:r>
        <w:rPr>
          <w:snapToGrid w:val="0"/>
        </w:rPr>
        <w:t>mentioned</w:t>
      </w:r>
      <w:bookmarkEnd w:id="65"/>
      <w:r>
        <w:rPr>
          <w:snapToGrid w:val="0"/>
        </w:rPr>
        <w:t xml:space="preserve"> amount,</w:t>
      </w:r>
    </w:p>
    <w:p>
      <w:pPr>
        <w:pStyle w:val="Subsection"/>
        <w:spacing w:before="120"/>
        <w:rPr>
          <w:snapToGrid w:val="0"/>
        </w:rPr>
      </w:pPr>
      <w:r>
        <w:rPr>
          <w:snapToGrid w:val="0"/>
        </w:rPr>
        <w:tab/>
      </w:r>
      <w:r>
        <w:rPr>
          <w:snapToGrid w:val="0"/>
        </w:rPr>
        <w:tab/>
        <w:t>and, where the contract of sale is a contract of sale of goods or services — </w:t>
      </w:r>
    </w:p>
    <w:p>
      <w:pPr>
        <w:pStyle w:val="Indenta"/>
        <w:rPr>
          <w:snapToGrid w:val="0"/>
        </w:rPr>
      </w:pPr>
      <w:r>
        <w:rPr>
          <w:snapToGrid w:val="0"/>
        </w:rPr>
        <w:tab/>
        <w:t>(c)</w:t>
      </w:r>
      <w:r>
        <w:rPr>
          <w:snapToGrid w:val="0"/>
        </w:rPr>
        <w:tab/>
        <w:t>if the goods are in the possession of the buyer — </w:t>
      </w:r>
    </w:p>
    <w:p>
      <w:pPr>
        <w:pStyle w:val="Indenti"/>
        <w:rPr>
          <w:snapToGrid w:val="0"/>
        </w:rPr>
      </w:pPr>
      <w:r>
        <w:rPr>
          <w:snapToGrid w:val="0"/>
        </w:rPr>
        <w:tab/>
        <w:t>(i)</w:t>
      </w:r>
      <w:r>
        <w:rPr>
          <w:snapToGrid w:val="0"/>
        </w:rPr>
        <w:tab/>
        <w:t>where, before the rescission or discharge of the contract of sale, the goods were not subject to a mortgage relating to the tied continuing credit contract, the buyer shall deliver the goods to the supplier; or</w:t>
      </w:r>
    </w:p>
    <w:p>
      <w:pPr>
        <w:pStyle w:val="Indenti"/>
        <w:rPr>
          <w:snapToGrid w:val="0"/>
        </w:rPr>
      </w:pPr>
      <w:r>
        <w:rPr>
          <w:snapToGrid w:val="0"/>
        </w:rPr>
        <w:tab/>
        <w:t>(ii)</w:t>
      </w:r>
      <w:r>
        <w:rPr>
          <w:snapToGrid w:val="0"/>
        </w:rPr>
        <w:tab/>
        <w:t xml:space="preserve">where, before the rescission or discharge of the contract of sale, the goods were subject to a mortgage relating to the tied continuing credit contract, the buyer shall deliver the goods to the credit provider;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if the goods are in the possession of the credit provider and no amounts are owed to the credit provider under paragraph (b), the credit provider shall deliver the goods to the supplier.</w:t>
      </w:r>
    </w:p>
    <w:p>
      <w:pPr>
        <w:pStyle w:val="Subsection"/>
        <w:spacing w:before="140"/>
        <w:rPr>
          <w:snapToGrid w:val="0"/>
        </w:rPr>
      </w:pPr>
      <w:r>
        <w:rPr>
          <w:snapToGrid w:val="0"/>
        </w:rPr>
        <w:tab/>
        <w:t>(2)</w:t>
      </w:r>
      <w:r>
        <w:rPr>
          <w:snapToGrid w:val="0"/>
        </w:rPr>
        <w:tab/>
        <w:t>Where, under subsection (1)(c), goods are delivered to the credit provider, the credit provider is entitled to possession of the goods as against the supplier until the credit provider has been paid the amount for which the supplier is liable to the credit provider under subsection (1)(b).</w:t>
      </w:r>
    </w:p>
    <w:p>
      <w:pPr>
        <w:pStyle w:val="Subsection"/>
        <w:rPr>
          <w:snapToGrid w:val="0"/>
        </w:rPr>
      </w:pPr>
      <w:r>
        <w:rPr>
          <w:snapToGrid w:val="0"/>
        </w:rPr>
        <w:tab/>
        <w:t>(3)</w:t>
      </w:r>
      <w:r>
        <w:rPr>
          <w:snapToGrid w:val="0"/>
        </w:rPr>
        <w:tab/>
        <w:t>Subsection (1) does not apply where the credit is provided by a linked credit provider of a supplier to a buyer as a result of an approach by the buyer to the credit provider which was not induced by the supplier.</w:t>
      </w:r>
    </w:p>
    <w:p>
      <w:pPr>
        <w:pStyle w:val="Heading5"/>
        <w:rPr>
          <w:snapToGrid w:val="0"/>
        </w:rPr>
      </w:pPr>
      <w:bookmarkStart w:id="66" w:name="_Toc392496493"/>
      <w:r>
        <w:rPr>
          <w:rStyle w:val="CharSectno"/>
        </w:rPr>
        <w:t>27</w:t>
      </w:r>
      <w:r>
        <w:rPr>
          <w:snapToGrid w:val="0"/>
        </w:rPr>
        <w:t>.</w:t>
      </w:r>
      <w:r>
        <w:rPr>
          <w:snapToGrid w:val="0"/>
        </w:rPr>
        <w:tab/>
        <w:t>Operation of s. 25 and 26</w:t>
      </w:r>
      <w:bookmarkEnd w:id="66"/>
    </w:p>
    <w:p>
      <w:pPr>
        <w:pStyle w:val="Subsection"/>
        <w:rPr>
          <w:snapToGrid w:val="0"/>
        </w:rPr>
      </w:pPr>
      <w:r>
        <w:rPr>
          <w:snapToGrid w:val="0"/>
        </w:rPr>
        <w:tab/>
      </w:r>
      <w:r>
        <w:rPr>
          <w:snapToGrid w:val="0"/>
        </w:rPr>
        <w:tab/>
        <w:t>The provisions of sections 25 and 26 — </w:t>
      </w:r>
    </w:p>
    <w:p>
      <w:pPr>
        <w:pStyle w:val="Indenta"/>
        <w:rPr>
          <w:snapToGrid w:val="0"/>
        </w:rPr>
      </w:pPr>
      <w:r>
        <w:rPr>
          <w:snapToGrid w:val="0"/>
        </w:rPr>
        <w:tab/>
        <w:t>(a)</w:t>
      </w:r>
      <w:r>
        <w:rPr>
          <w:snapToGrid w:val="0"/>
        </w:rPr>
        <w:tab/>
        <w:t>are in addition to all other rights of a buyer exercisable against a linked credit provider or supplier (whether under this Act or any other Act or law); and</w:t>
      </w:r>
    </w:p>
    <w:p>
      <w:pPr>
        <w:pStyle w:val="Indenta"/>
        <w:rPr>
          <w:snapToGrid w:val="0"/>
        </w:rPr>
      </w:pPr>
      <w:r>
        <w:rPr>
          <w:snapToGrid w:val="0"/>
        </w:rPr>
        <w:tab/>
        <w:t>(b)</w:t>
      </w:r>
      <w:r>
        <w:rPr>
          <w:snapToGrid w:val="0"/>
        </w:rPr>
        <w:tab/>
        <w:t>in so far as they relate to the rights between themselves of a linked credit provider and a supplier, may be varied by agreement between the linked credit provider and supplier.</w:t>
      </w:r>
    </w:p>
    <w:p>
      <w:pPr>
        <w:pStyle w:val="Heading5"/>
        <w:rPr>
          <w:snapToGrid w:val="0"/>
        </w:rPr>
      </w:pPr>
      <w:bookmarkStart w:id="67" w:name="_Toc392496494"/>
      <w:r>
        <w:rPr>
          <w:rStyle w:val="CharSectno"/>
        </w:rPr>
        <w:t>28</w:t>
      </w:r>
      <w:r>
        <w:rPr>
          <w:snapToGrid w:val="0"/>
        </w:rPr>
        <w:t>.</w:t>
      </w:r>
      <w:r>
        <w:rPr>
          <w:snapToGrid w:val="0"/>
        </w:rPr>
        <w:tab/>
        <w:t>Disputes as to operation of s. 23, 25 or 26, court’s powers as to</w:t>
      </w:r>
      <w:bookmarkEnd w:id="67"/>
    </w:p>
    <w:p>
      <w:pPr>
        <w:pStyle w:val="Subsection"/>
        <w:rPr>
          <w:snapToGrid w:val="0"/>
        </w:rPr>
      </w:pPr>
      <w:r>
        <w:rPr>
          <w:snapToGrid w:val="0"/>
        </w:rPr>
        <w:tab/>
      </w:r>
      <w:r>
        <w:rPr>
          <w:snapToGrid w:val="0"/>
        </w:rPr>
        <w:tab/>
        <w:t>Where there is a dispute arising out of the operation of section 23, 25 or 26, a court may, on the application of a buyer, supplier, credit provider, mortgagee or guarantor, or any other person (being a person claiming an interest in the goods), make an order declaring or adjusting rights or liabilities affected by the operation of that section — </w:t>
      </w:r>
    </w:p>
    <w:p>
      <w:pPr>
        <w:pStyle w:val="Indenta"/>
        <w:rPr>
          <w:snapToGrid w:val="0"/>
        </w:rPr>
      </w:pPr>
      <w:r>
        <w:rPr>
          <w:snapToGrid w:val="0"/>
        </w:rPr>
        <w:tab/>
        <w:t>(a)</w:t>
      </w:r>
      <w:r>
        <w:rPr>
          <w:snapToGrid w:val="0"/>
        </w:rPr>
        <w:tab/>
        <w:t>to give effect to, or to enforce, any rights or liabilities consequent upon that operation; or</w:t>
      </w:r>
    </w:p>
    <w:p>
      <w:pPr>
        <w:pStyle w:val="Indenta"/>
        <w:rPr>
          <w:snapToGrid w:val="0"/>
        </w:rPr>
      </w:pPr>
      <w:r>
        <w:rPr>
          <w:snapToGrid w:val="0"/>
        </w:rPr>
        <w:tab/>
        <w:t>(b)</w:t>
      </w:r>
      <w:r>
        <w:rPr>
          <w:snapToGrid w:val="0"/>
        </w:rPr>
        <w:tab/>
        <w:t>subject to any such rights or liabilities, to restore the buyer, supplier and credit provider, and any mortgagee, guarantor or other person interested in the goods, as nearly as practicable to their respective positions before the contract to which the dispute relates was entered into.</w:t>
      </w:r>
    </w:p>
    <w:p>
      <w:pPr>
        <w:pStyle w:val="Heading5"/>
        <w:rPr>
          <w:snapToGrid w:val="0"/>
        </w:rPr>
      </w:pPr>
      <w:bookmarkStart w:id="68" w:name="_Toc392496495"/>
      <w:r>
        <w:rPr>
          <w:rStyle w:val="CharSectno"/>
        </w:rPr>
        <w:t>29</w:t>
      </w:r>
      <w:r>
        <w:rPr>
          <w:snapToGrid w:val="0"/>
        </w:rPr>
        <w:t>.</w:t>
      </w:r>
      <w:r>
        <w:rPr>
          <w:snapToGrid w:val="0"/>
        </w:rPr>
        <w:tab/>
        <w:t>Supplier to notify linked credit provider of rescission etc.</w:t>
      </w:r>
      <w:bookmarkEnd w:id="68"/>
    </w:p>
    <w:p>
      <w:pPr>
        <w:pStyle w:val="Subsection"/>
        <w:keepNext/>
        <w:keepLines/>
        <w:rPr>
          <w:snapToGrid w:val="0"/>
        </w:rPr>
      </w:pPr>
      <w:r>
        <w:rPr>
          <w:snapToGrid w:val="0"/>
        </w:rPr>
        <w:tab/>
      </w:r>
      <w:r>
        <w:rPr>
          <w:snapToGrid w:val="0"/>
        </w:rPr>
        <w:tab/>
        <w:t>A supplier who becomes aware that a contract of sale by him is rescinded or discharged, being a contract of sale in respect of which the supplier knows a linked credit provider of the supplier has — </w:t>
      </w:r>
    </w:p>
    <w:p>
      <w:pPr>
        <w:pStyle w:val="Indenta"/>
        <w:rPr>
          <w:snapToGrid w:val="0"/>
        </w:rPr>
      </w:pPr>
      <w:r>
        <w:rPr>
          <w:snapToGrid w:val="0"/>
        </w:rPr>
        <w:tab/>
        <w:t>(a)</w:t>
      </w:r>
      <w:r>
        <w:rPr>
          <w:snapToGrid w:val="0"/>
        </w:rPr>
        <w:tab/>
        <w:t>entered into a tied loan contract with the buyer; or</w:t>
      </w:r>
    </w:p>
    <w:p>
      <w:pPr>
        <w:pStyle w:val="Indenta"/>
        <w:rPr>
          <w:snapToGrid w:val="0"/>
        </w:rPr>
      </w:pPr>
      <w:r>
        <w:rPr>
          <w:snapToGrid w:val="0"/>
        </w:rPr>
        <w:tab/>
        <w:t>(b)</w:t>
      </w:r>
      <w:r>
        <w:rPr>
          <w:snapToGrid w:val="0"/>
        </w:rPr>
        <w:tab/>
        <w:t>entered an amount in an account of the buyer kept by him under a tied continuing credit contract in relation to the contract of sale,</w:t>
      </w:r>
    </w:p>
    <w:p>
      <w:pPr>
        <w:pStyle w:val="Subsection"/>
        <w:rPr>
          <w:snapToGrid w:val="0"/>
        </w:rPr>
      </w:pPr>
      <w:r>
        <w:rPr>
          <w:snapToGrid w:val="0"/>
        </w:rPr>
        <w:tab/>
      </w:r>
      <w:r>
        <w:rPr>
          <w:snapToGrid w:val="0"/>
        </w:rPr>
        <w:tab/>
        <w:t>shall forthwith give notice of the rescission or discharge to the linked credit provider.</w:t>
      </w:r>
    </w:p>
    <w:p>
      <w:pPr>
        <w:pStyle w:val="Penstart"/>
        <w:rPr>
          <w:snapToGrid w:val="0"/>
        </w:rPr>
      </w:pPr>
      <w:r>
        <w:rPr>
          <w:snapToGrid w:val="0"/>
        </w:rPr>
        <w:tab/>
        <w:t>Penalty: $1 000.</w:t>
      </w:r>
    </w:p>
    <w:p>
      <w:pPr>
        <w:pStyle w:val="Heading2"/>
      </w:pPr>
      <w:bookmarkStart w:id="69" w:name="_Toc378152572"/>
      <w:bookmarkStart w:id="70" w:name="_Toc392496496"/>
      <w:r>
        <w:rPr>
          <w:rStyle w:val="CharPartNo"/>
        </w:rPr>
        <w:t>Part III</w:t>
      </w:r>
      <w:r>
        <w:t> — </w:t>
      </w:r>
      <w:r>
        <w:rPr>
          <w:rStyle w:val="CharPartText"/>
        </w:rPr>
        <w:t>Regulated contracts</w:t>
      </w:r>
      <w:bookmarkEnd w:id="69"/>
      <w:bookmarkEnd w:id="70"/>
    </w:p>
    <w:p>
      <w:pPr>
        <w:pStyle w:val="Heading3"/>
        <w:spacing w:before="180"/>
        <w:rPr>
          <w:snapToGrid w:val="0"/>
        </w:rPr>
      </w:pPr>
      <w:bookmarkStart w:id="71" w:name="_Toc378152573"/>
      <w:bookmarkStart w:id="72" w:name="_Toc392496497"/>
      <w:r>
        <w:rPr>
          <w:rStyle w:val="CharDivNo"/>
        </w:rPr>
        <w:t>Division 1</w:t>
      </w:r>
      <w:r>
        <w:rPr>
          <w:snapToGrid w:val="0"/>
        </w:rPr>
        <w:t> — </w:t>
      </w:r>
      <w:r>
        <w:rPr>
          <w:rStyle w:val="CharDivText"/>
        </w:rPr>
        <w:t>Credit sale contracts and loan contracts</w:t>
      </w:r>
      <w:bookmarkEnd w:id="71"/>
      <w:bookmarkEnd w:id="72"/>
    </w:p>
    <w:p>
      <w:pPr>
        <w:pStyle w:val="Heading5"/>
        <w:spacing w:before="180"/>
        <w:rPr>
          <w:snapToGrid w:val="0"/>
        </w:rPr>
      </w:pPr>
      <w:bookmarkStart w:id="73" w:name="_Toc392496498"/>
      <w:r>
        <w:rPr>
          <w:rStyle w:val="CharSectno"/>
        </w:rPr>
        <w:t>30</w:t>
      </w:r>
      <w:r>
        <w:rPr>
          <w:snapToGrid w:val="0"/>
        </w:rPr>
        <w:t>.</w:t>
      </w:r>
      <w:r>
        <w:rPr>
          <w:snapToGrid w:val="0"/>
        </w:rPr>
        <w:tab/>
        <w:t>Application of Part</w:t>
      </w:r>
      <w:bookmarkEnd w:id="73"/>
    </w:p>
    <w:p>
      <w:pPr>
        <w:pStyle w:val="Subsection"/>
        <w:spacing w:before="140"/>
        <w:rPr>
          <w:snapToGrid w:val="0"/>
        </w:rPr>
      </w:pPr>
      <w:r>
        <w:rPr>
          <w:snapToGrid w:val="0"/>
        </w:rPr>
        <w:tab/>
        <w:t>(1)</w:t>
      </w:r>
      <w:r>
        <w:rPr>
          <w:snapToGrid w:val="0"/>
        </w:rPr>
        <w:tab/>
        <w:t>In this Part, a reference to a credit sale contract does not include a reference to a credit sale contract relating to goods or services in relation to which the cash price is more than $20 000, unless — </w:t>
      </w:r>
    </w:p>
    <w:p>
      <w:pPr>
        <w:pStyle w:val="Indenta"/>
        <w:spacing w:before="60"/>
        <w:rPr>
          <w:snapToGrid w:val="0"/>
        </w:rPr>
      </w:pPr>
      <w:r>
        <w:rPr>
          <w:snapToGrid w:val="0"/>
        </w:rPr>
        <w:tab/>
        <w:t>(a)</w:t>
      </w:r>
      <w:r>
        <w:rPr>
          <w:snapToGrid w:val="0"/>
        </w:rPr>
        <w:tab/>
        <w:t>it is a contract relating to a commercial vehicle or farm machinery; or</w:t>
      </w:r>
    </w:p>
    <w:p>
      <w:pPr>
        <w:pStyle w:val="Indenta"/>
        <w:spacing w:before="60"/>
        <w:rPr>
          <w:snapToGrid w:val="0"/>
        </w:rPr>
      </w:pPr>
      <w:r>
        <w:rPr>
          <w:snapToGrid w:val="0"/>
        </w:rPr>
        <w:tab/>
        <w:t>(b)</w:t>
      </w:r>
      <w:r>
        <w:rPr>
          <w:snapToGrid w:val="0"/>
        </w:rPr>
        <w:tab/>
        <w:t>it is a contract relating to — </w:t>
      </w:r>
    </w:p>
    <w:p>
      <w:pPr>
        <w:pStyle w:val="Indenti"/>
        <w:spacing w:before="60"/>
        <w:rPr>
          <w:snapToGrid w:val="0"/>
        </w:rPr>
      </w:pPr>
      <w:r>
        <w:rPr>
          <w:snapToGrid w:val="0"/>
        </w:rPr>
        <w:tab/>
        <w:t>(i)</w:t>
      </w:r>
      <w:r>
        <w:rPr>
          <w:snapToGrid w:val="0"/>
        </w:rPr>
        <w:tab/>
        <w:t>a commercial vehicle or farm machinery in relation to which the cash price is more than $20 000; and</w:t>
      </w:r>
    </w:p>
    <w:p>
      <w:pPr>
        <w:pStyle w:val="Indenti"/>
        <w:spacing w:before="60"/>
        <w:rPr>
          <w:snapToGrid w:val="0"/>
        </w:rPr>
      </w:pPr>
      <w:r>
        <w:rPr>
          <w:snapToGrid w:val="0"/>
        </w:rPr>
        <w:tab/>
        <w:t>(ii)</w:t>
      </w:r>
      <w:r>
        <w:rPr>
          <w:snapToGrid w:val="0"/>
        </w:rPr>
        <w:tab/>
        <w:t>other goods or services.</w:t>
      </w:r>
    </w:p>
    <w:p>
      <w:pPr>
        <w:pStyle w:val="Subsection"/>
        <w:spacing w:before="140"/>
        <w:rPr>
          <w:snapToGrid w:val="0"/>
        </w:rPr>
      </w:pPr>
      <w:r>
        <w:rPr>
          <w:snapToGrid w:val="0"/>
        </w:rPr>
        <w:tab/>
        <w:t>(2)</w:t>
      </w:r>
      <w:r>
        <w:rPr>
          <w:snapToGrid w:val="0"/>
        </w:rPr>
        <w:tab/>
        <w:t>In this Part, a reference to a loan contract does not include a reference to a loan contract in respect of which — </w:t>
      </w:r>
    </w:p>
    <w:p>
      <w:pPr>
        <w:pStyle w:val="Indenta"/>
        <w:spacing w:before="60"/>
        <w:rPr>
          <w:snapToGrid w:val="0"/>
        </w:rPr>
      </w:pPr>
      <w:r>
        <w:rPr>
          <w:snapToGrid w:val="0"/>
        </w:rPr>
        <w:tab/>
        <w:t>(a)</w:t>
      </w:r>
      <w:r>
        <w:rPr>
          <w:snapToGrid w:val="0"/>
        </w:rPr>
        <w:tab/>
        <w:t>the amount financed is more than $20 000; or</w:t>
      </w:r>
    </w:p>
    <w:p>
      <w:pPr>
        <w:pStyle w:val="Indenta"/>
        <w:spacing w:before="60"/>
        <w:rPr>
          <w:snapToGrid w:val="0"/>
        </w:rPr>
      </w:pPr>
      <w:r>
        <w:rPr>
          <w:snapToGrid w:val="0"/>
        </w:rPr>
        <w:tab/>
        <w:t>(b)</w:t>
      </w:r>
      <w:r>
        <w:rPr>
          <w:snapToGrid w:val="0"/>
        </w:rPr>
        <w:tab/>
        <w:t xml:space="preserve">there is no annual percentage rate or there is only one annual percentage rate and that rate does not exceed 14% or, in the case of a loan contract made after such date as may be prescribed by regulation following the coming into operation of section 5 of the </w:t>
      </w:r>
      <w:r>
        <w:rPr>
          <w:i/>
          <w:snapToGrid w:val="0"/>
        </w:rPr>
        <w:t>Credit Amendment Act 1992</w:t>
      </w:r>
      <w:r>
        <w:rPr>
          <w:snapToGrid w:val="0"/>
        </w:rPr>
        <w:t xml:space="preserve"> </w:t>
      </w:r>
      <w:r>
        <w:rPr>
          <w:snapToGrid w:val="0"/>
          <w:vertAlign w:val="superscript"/>
        </w:rPr>
        <w:t>1</w:t>
      </w:r>
      <w:r>
        <w:rPr>
          <w:snapToGrid w:val="0"/>
        </w:rPr>
        <w:t>, such lesser rate as is prescribed; or</w:t>
      </w:r>
    </w:p>
    <w:p>
      <w:pPr>
        <w:pStyle w:val="Indenta"/>
        <w:spacing w:before="60"/>
        <w:rPr>
          <w:snapToGrid w:val="0"/>
        </w:rPr>
      </w:pPr>
      <w:r>
        <w:rPr>
          <w:snapToGrid w:val="0"/>
        </w:rPr>
        <w:tab/>
        <w:t>(c)</w:t>
      </w:r>
      <w:r>
        <w:rPr>
          <w:snapToGrid w:val="0"/>
        </w:rPr>
        <w:tab/>
        <w:t xml:space="preserve">there is an acceptable rate of interest and a higher annual percentage rate that exceeds the acceptable rate by not more than 2% and that acceptable rate does not exceed 14% or, in the case of a loan contract made after such date as may be prescribed by regulation following the coming into operation of section 5 of the </w:t>
      </w:r>
      <w:r>
        <w:rPr>
          <w:i/>
          <w:snapToGrid w:val="0"/>
        </w:rPr>
        <w:t>Credit Amendment Act 1992</w:t>
      </w:r>
      <w:r>
        <w:rPr>
          <w:snapToGrid w:val="0"/>
        </w:rPr>
        <w:t xml:space="preserve"> </w:t>
      </w:r>
      <w:r>
        <w:rPr>
          <w:snapToGrid w:val="0"/>
          <w:vertAlign w:val="superscript"/>
        </w:rPr>
        <w:t>1</w:t>
      </w:r>
      <w:r>
        <w:rPr>
          <w:snapToGrid w:val="0"/>
        </w:rPr>
        <w:t>, such lesser rate as is prescribed,</w:t>
      </w:r>
    </w:p>
    <w:p>
      <w:pPr>
        <w:pStyle w:val="Subsection"/>
        <w:spacing w:before="100"/>
        <w:rPr>
          <w:snapToGrid w:val="0"/>
        </w:rPr>
      </w:pPr>
      <w:r>
        <w:rPr>
          <w:snapToGrid w:val="0"/>
        </w:rPr>
        <w:tab/>
      </w:r>
      <w:r>
        <w:rPr>
          <w:snapToGrid w:val="0"/>
        </w:rPr>
        <w:tab/>
        <w:t>unless, when the contract is made, a mortgage relating to a commercial vehicle or farm machinery has been, or is agreed to be, entered into to secure the payment of a debt or the performance of an obligation under the contract.</w:t>
      </w:r>
    </w:p>
    <w:p>
      <w:pPr>
        <w:pStyle w:val="Subsection"/>
        <w:rPr>
          <w:snapToGrid w:val="0"/>
        </w:rPr>
      </w:pPr>
      <w:r>
        <w:rPr>
          <w:snapToGrid w:val="0"/>
        </w:rPr>
        <w:tab/>
        <w:t>(3)</w:t>
      </w:r>
      <w:r>
        <w:rPr>
          <w:snapToGrid w:val="0"/>
        </w:rPr>
        <w:tab/>
        <w:t>Where the annual percentage rate in respect of a loan contract may, at the option of the credit provider, be any rate less than, or not exceeding, an annual percentage rate specified by the credit provider, that specified rate shall, for the purposes of subsection (2)(b), be deemed to be the annual percentage rate in respect of the contract, whether or not the annual percentage rate applied under the contract is a lower rate than that specified rate.</w:t>
      </w:r>
    </w:p>
    <w:p>
      <w:pPr>
        <w:pStyle w:val="Footnotesection"/>
      </w:pPr>
      <w:r>
        <w:tab/>
        <w:t xml:space="preserve">[Section 30 amended by No. 58 of 1992 s. 5.] </w:t>
      </w:r>
    </w:p>
    <w:p>
      <w:pPr>
        <w:pStyle w:val="Heading5"/>
        <w:rPr>
          <w:snapToGrid w:val="0"/>
        </w:rPr>
      </w:pPr>
      <w:bookmarkStart w:id="74" w:name="_Toc392496499"/>
      <w:r>
        <w:rPr>
          <w:rStyle w:val="CharSectno"/>
        </w:rPr>
        <w:t>31</w:t>
      </w:r>
      <w:r>
        <w:rPr>
          <w:snapToGrid w:val="0"/>
        </w:rPr>
        <w:t>.</w:t>
      </w:r>
      <w:r>
        <w:rPr>
          <w:snapToGrid w:val="0"/>
        </w:rPr>
        <w:tab/>
        <w:t>Contracts to be in writing</w:t>
      </w:r>
      <w:bookmarkEnd w:id="74"/>
    </w:p>
    <w:p>
      <w:pPr>
        <w:pStyle w:val="Subsection"/>
        <w:rPr>
          <w:snapToGrid w:val="0"/>
        </w:rPr>
      </w:pPr>
      <w:r>
        <w:rPr>
          <w:snapToGrid w:val="0"/>
        </w:rPr>
        <w:tab/>
        <w:t>(1)</w:t>
      </w:r>
      <w:r>
        <w:rPr>
          <w:snapToGrid w:val="0"/>
        </w:rPr>
        <w:tab/>
        <w:t>Subject to subsection (2), a credit provider shall not enter into a credit sale contract or a loan contract that is not in writing signed by the debtor.</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Subsection (1) is not contravened if a credit sale contract or a loan contract is made by the acceptance of an offer in writing signed by the debtor to the credit provider to enter into the contract.</w:t>
      </w:r>
    </w:p>
    <w:p>
      <w:pPr>
        <w:pStyle w:val="Heading5"/>
        <w:rPr>
          <w:snapToGrid w:val="0"/>
        </w:rPr>
      </w:pPr>
      <w:bookmarkStart w:id="75" w:name="_Toc392496500"/>
      <w:r>
        <w:rPr>
          <w:rStyle w:val="CharSectno"/>
        </w:rPr>
        <w:t>32</w:t>
      </w:r>
      <w:r>
        <w:rPr>
          <w:snapToGrid w:val="0"/>
        </w:rPr>
        <w:t>.</w:t>
      </w:r>
      <w:r>
        <w:rPr>
          <w:snapToGrid w:val="0"/>
        </w:rPr>
        <w:tab/>
        <w:t>Form of offer to enter into contract</w:t>
      </w:r>
      <w:bookmarkEnd w:id="75"/>
    </w:p>
    <w:p>
      <w:pPr>
        <w:pStyle w:val="Subsection"/>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 credit provider; or</w:t>
      </w:r>
    </w:p>
    <w:p>
      <w:pPr>
        <w:pStyle w:val="Indenta"/>
        <w:rPr>
          <w:snapToGrid w:val="0"/>
        </w:rPr>
      </w:pPr>
      <w:r>
        <w:rPr>
          <w:snapToGrid w:val="0"/>
        </w:rPr>
        <w:tab/>
        <w:t>(b)</w:t>
      </w:r>
      <w:r>
        <w:rPr>
          <w:snapToGrid w:val="0"/>
        </w:rPr>
        <w:tab/>
        <w:t>an agent of a credit provider authorised to receive an offer to the credit provider to enter into a credit sale contract or a loan contract; or</w:t>
      </w:r>
    </w:p>
    <w:p>
      <w:pPr>
        <w:pStyle w:val="Indenta"/>
        <w:rPr>
          <w:snapToGrid w:val="0"/>
        </w:rPr>
      </w:pPr>
      <w:r>
        <w:rPr>
          <w:snapToGrid w:val="0"/>
        </w:rPr>
        <w:tab/>
        <w:t>(c)</w:t>
      </w:r>
      <w:r>
        <w:rPr>
          <w:snapToGrid w:val="0"/>
        </w:rPr>
        <w:tab/>
        <w:t>a supplier in relation to whom a credit provider is a linked credit provider,</w:t>
      </w:r>
    </w:p>
    <w:p>
      <w:pPr>
        <w:pStyle w:val="Subsection"/>
        <w:rPr>
          <w:snapToGrid w:val="0"/>
        </w:rPr>
      </w:pPr>
      <w:r>
        <w:rPr>
          <w:snapToGrid w:val="0"/>
        </w:rPr>
        <w:tab/>
      </w:r>
      <w:r>
        <w:rPr>
          <w:snapToGrid w:val="0"/>
        </w:rPr>
        <w:tab/>
        <w:t>shall not give to a person a document for signature by that person as an offer in writing to the credit provider to enter into a credit sale contract or a loan contract unless it includes a notice that is in the form prescribed for the purposes</w:t>
      </w:r>
      <w:bookmarkStart w:id="76" w:name="RuleErr_76"/>
      <w:r>
        <w:rPr>
          <w:snapToGrid w:val="0"/>
        </w:rPr>
        <w:t xml:space="preserve"> of this subsection</w:t>
      </w:r>
      <w:bookmarkEnd w:id="76"/>
      <w:r>
        <w:rPr>
          <w:snapToGrid w:val="0"/>
        </w:rPr>
        <w:t xml:space="preserve"> and is in a position so prescribed or, in particular case, in a position approved by the Tribunal.</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credit provider or an agent of a credit provider shall not give to a person an offer in writing signed by or on behalf of the credit provider to enter into a credit sale contract or a loan contract unless it includes a notice that is in the form prescribed for the purposes</w:t>
      </w:r>
      <w:bookmarkStart w:id="77" w:name="RuleErr_77"/>
      <w:r>
        <w:rPr>
          <w:snapToGrid w:val="0"/>
        </w:rPr>
        <w:t xml:space="preserve"> of this subsection</w:t>
      </w:r>
      <w:bookmarkEnd w:id="77"/>
      <w:r>
        <w:rPr>
          <w:snapToGrid w:val="0"/>
        </w:rPr>
        <w:t> and is in a position so prescribed or, in a particular case, in a position approved by the Tribunal.</w:t>
      </w:r>
    </w:p>
    <w:p>
      <w:pPr>
        <w:pStyle w:val="Penstart"/>
        <w:rPr>
          <w:snapToGrid w:val="0"/>
        </w:rPr>
      </w:pPr>
      <w:r>
        <w:rPr>
          <w:snapToGrid w:val="0"/>
        </w:rPr>
        <w:tab/>
        <w:t>Penalty: $2 000.</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credit provider; or</w:t>
      </w:r>
    </w:p>
    <w:p>
      <w:pPr>
        <w:pStyle w:val="Indenta"/>
        <w:rPr>
          <w:snapToGrid w:val="0"/>
        </w:rPr>
      </w:pPr>
      <w:r>
        <w:rPr>
          <w:snapToGrid w:val="0"/>
        </w:rPr>
        <w:tab/>
        <w:t>(b)</w:t>
      </w:r>
      <w:r>
        <w:rPr>
          <w:snapToGrid w:val="0"/>
        </w:rPr>
        <w:tab/>
        <w:t>an agent of a credit provider authorised to receive an offer to the credit provider to enter into a credit sale contract or a loan contract; or</w:t>
      </w:r>
    </w:p>
    <w:p>
      <w:pPr>
        <w:pStyle w:val="Indenta"/>
        <w:rPr>
          <w:snapToGrid w:val="0"/>
        </w:rPr>
      </w:pPr>
      <w:r>
        <w:rPr>
          <w:snapToGrid w:val="0"/>
        </w:rPr>
        <w:tab/>
        <w:t>(c)</w:t>
      </w:r>
      <w:r>
        <w:rPr>
          <w:snapToGrid w:val="0"/>
        </w:rPr>
        <w:tab/>
        <w:t>a supplier in relation to whom a credit provider is a linked credit provider,</w:t>
      </w:r>
    </w:p>
    <w:p>
      <w:pPr>
        <w:pStyle w:val="Subsection"/>
        <w:rPr>
          <w:snapToGrid w:val="0"/>
        </w:rPr>
      </w:pPr>
      <w:r>
        <w:rPr>
          <w:snapToGrid w:val="0"/>
        </w:rPr>
        <w:tab/>
      </w:r>
      <w:r>
        <w:rPr>
          <w:snapToGrid w:val="0"/>
        </w:rPr>
        <w:tab/>
        <w:t>gives to a person a document for signature by that person as an offer in writing to the credit provider to enter into a credit sale contract or a loan contract, the credit provider, agent or supplier, as the case may be, shall, before that person signs the document, also give to that person a true copy of the document for his own use certified by the credit provider, agent or supplier as a true copy of the first</w:t>
      </w:r>
      <w:r>
        <w:rPr>
          <w:snapToGrid w:val="0"/>
        </w:rPr>
        <w:noBreakHyphen/>
      </w:r>
      <w:bookmarkStart w:id="78" w:name="RuleErr_140"/>
      <w:r>
        <w:rPr>
          <w:snapToGrid w:val="0"/>
        </w:rPr>
        <w:t>mentioned</w:t>
      </w:r>
      <w:bookmarkEnd w:id="78"/>
      <w:r>
        <w:rPr>
          <w:snapToGrid w:val="0"/>
        </w:rPr>
        <w:t xml:space="preserve"> document.</w:t>
      </w:r>
    </w:p>
    <w:p>
      <w:pPr>
        <w:pStyle w:val="Penstart"/>
        <w:rPr>
          <w:snapToGrid w:val="0"/>
        </w:rPr>
      </w:pPr>
      <w:r>
        <w:rPr>
          <w:snapToGrid w:val="0"/>
        </w:rPr>
        <w:tab/>
        <w:t>Penalty: $1 000.</w:t>
      </w:r>
    </w:p>
    <w:p>
      <w:pPr>
        <w:pStyle w:val="Subsection"/>
        <w:rPr>
          <w:snapToGrid w:val="0"/>
        </w:rPr>
      </w:pPr>
      <w:r>
        <w:rPr>
          <w:snapToGrid w:val="0"/>
        </w:rPr>
        <w:tab/>
        <w:t>(4)</w:t>
      </w:r>
      <w:r>
        <w:rPr>
          <w:snapToGrid w:val="0"/>
        </w:rPr>
        <w:tab/>
        <w:t>Where a credit provider or an agent of a credit provider gives to a person an offer in writing signed by or on behalf of the credit provider to enter into a credit sale contract or a loan contract, the credit provider or agent shall, before that person accepts the offer, also give to that person a true copy of the offer for his own use certified by the credit provider or agent as a true copy of the offer.</w:t>
      </w:r>
    </w:p>
    <w:p>
      <w:pPr>
        <w:pStyle w:val="Penstart"/>
        <w:rPr>
          <w:snapToGrid w:val="0"/>
        </w:rPr>
      </w:pPr>
      <w:r>
        <w:rPr>
          <w:snapToGrid w:val="0"/>
        </w:rPr>
        <w:tab/>
        <w:t>Penalty: $1 000.</w:t>
      </w:r>
    </w:p>
    <w:p>
      <w:pPr>
        <w:pStyle w:val="Subsection"/>
        <w:rPr>
          <w:snapToGrid w:val="0"/>
        </w:rPr>
      </w:pPr>
      <w:r>
        <w:rPr>
          <w:snapToGrid w:val="0"/>
        </w:rPr>
        <w:tab/>
        <w:t>(5)</w:t>
      </w:r>
      <w:r>
        <w:rPr>
          <w:snapToGrid w:val="0"/>
        </w:rPr>
        <w:tab/>
        <w:t>Where a person signs a document and thereby offers to enter into, or enters into, a credit sale contract or a loan contract, any subsequent alteration of, or addition to, the terms and conditions of the contract has no force or effect unless, after the alteration or addition has been made, the person has, opposite the alteration or addition, signed or initialled the margin of — </w:t>
      </w:r>
    </w:p>
    <w:p>
      <w:pPr>
        <w:pStyle w:val="Indenta"/>
        <w:rPr>
          <w:snapToGrid w:val="0"/>
        </w:rPr>
      </w:pPr>
      <w:r>
        <w:rPr>
          <w:snapToGrid w:val="0"/>
        </w:rPr>
        <w:tab/>
        <w:t>(a)</w:t>
      </w:r>
      <w:r>
        <w:rPr>
          <w:snapToGrid w:val="0"/>
        </w:rPr>
        <w:tab/>
        <w:t>the document in which the terms and conditions of the contract are specified; and</w:t>
      </w:r>
    </w:p>
    <w:p>
      <w:pPr>
        <w:pStyle w:val="Indenta"/>
        <w:rPr>
          <w:snapToGrid w:val="0"/>
        </w:rPr>
      </w:pPr>
      <w:r>
        <w:rPr>
          <w:snapToGrid w:val="0"/>
        </w:rPr>
        <w:tab/>
        <w:t>(b)</w:t>
      </w:r>
      <w:r>
        <w:rPr>
          <w:snapToGrid w:val="0"/>
        </w:rPr>
        <w:tab/>
        <w:t>the copy of the document given to him pursuant to subsection (3) or (4).</w:t>
      </w:r>
    </w:p>
    <w:p>
      <w:pPr>
        <w:pStyle w:val="Subsection"/>
        <w:rPr>
          <w:snapToGrid w:val="0"/>
        </w:rPr>
      </w:pPr>
      <w:r>
        <w:rPr>
          <w:snapToGrid w:val="0"/>
        </w:rPr>
        <w:tab/>
        <w:t>(6)</w:t>
      </w:r>
      <w:r>
        <w:rPr>
          <w:snapToGrid w:val="0"/>
        </w:rPr>
        <w:tab/>
        <w:t>Where a person signs a document and thereby offers to enter into, or enters into, a credit sale contract, or a loan contract — </w:t>
      </w:r>
    </w:p>
    <w:p>
      <w:pPr>
        <w:pStyle w:val="Indenta"/>
        <w:rPr>
          <w:snapToGrid w:val="0"/>
        </w:rPr>
      </w:pPr>
      <w:r>
        <w:rPr>
          <w:snapToGrid w:val="0"/>
        </w:rPr>
        <w:tab/>
        <w:t>(a)</w:t>
      </w:r>
      <w:r>
        <w:rPr>
          <w:snapToGrid w:val="0"/>
        </w:rPr>
        <w:tab/>
        <w:t>the credit provider; or</w:t>
      </w:r>
    </w:p>
    <w:p>
      <w:pPr>
        <w:pStyle w:val="Indenta"/>
        <w:rPr>
          <w:snapToGrid w:val="0"/>
        </w:rPr>
      </w:pPr>
      <w:r>
        <w:rPr>
          <w:snapToGrid w:val="0"/>
        </w:rPr>
        <w:tab/>
        <w:t>(b)</w:t>
      </w:r>
      <w:r>
        <w:rPr>
          <w:snapToGrid w:val="0"/>
        </w:rPr>
        <w:tab/>
        <w:t>an agent of the credit provider authorised to make or receive the offer to enter into the contract; or</w:t>
      </w:r>
    </w:p>
    <w:p>
      <w:pPr>
        <w:pStyle w:val="Indenta"/>
        <w:rPr>
          <w:snapToGrid w:val="0"/>
        </w:rPr>
      </w:pPr>
      <w:r>
        <w:rPr>
          <w:snapToGrid w:val="0"/>
        </w:rPr>
        <w:tab/>
        <w:t>(c)</w:t>
      </w:r>
      <w:r>
        <w:rPr>
          <w:snapToGrid w:val="0"/>
        </w:rPr>
        <w:tab/>
        <w:t>a supplier in relation to whom the credit provider is a linked credit provider,</w:t>
      </w:r>
    </w:p>
    <w:p>
      <w:pPr>
        <w:pStyle w:val="Subsection"/>
        <w:rPr>
          <w:snapToGrid w:val="0"/>
        </w:rPr>
      </w:pPr>
      <w:r>
        <w:rPr>
          <w:snapToGrid w:val="0"/>
        </w:rPr>
        <w:tab/>
      </w:r>
      <w:r>
        <w:rPr>
          <w:snapToGrid w:val="0"/>
        </w:rPr>
        <w:tab/>
        <w:t>shall not alter or add to the terms and conditions specified in the document with intent to deceive the debtor or, where the alteration or addition is made by the supplier, with intent to deceive the credit provider, whether or not the document in which those terms and conditions are specified has been signed or initialled as provided in subsection (5).</w:t>
      </w:r>
    </w:p>
    <w:p>
      <w:pPr>
        <w:pStyle w:val="Penstart"/>
        <w:rPr>
          <w:snapToGrid w:val="0"/>
        </w:rPr>
      </w:pPr>
      <w:r>
        <w:rPr>
          <w:snapToGrid w:val="0"/>
        </w:rPr>
        <w:tab/>
        <w:t>Penalty: $5 000.</w:t>
      </w:r>
    </w:p>
    <w:p>
      <w:pPr>
        <w:pStyle w:val="Subsection"/>
        <w:rPr>
          <w:snapToGrid w:val="0"/>
        </w:rPr>
      </w:pPr>
      <w:r>
        <w:rPr>
          <w:snapToGrid w:val="0"/>
        </w:rPr>
        <w:tab/>
        <w:t>(7)</w:t>
      </w:r>
      <w:r>
        <w:rPr>
          <w:snapToGrid w:val="0"/>
        </w:rPr>
        <w:tab/>
        <w:t>In this section </w:t>
      </w:r>
      <w:r>
        <w:rPr>
          <w:rStyle w:val="CharDefText"/>
        </w:rPr>
        <w:t>offer in writing</w:t>
      </w:r>
      <w:r>
        <w:rPr>
          <w:snapToGrid w:val="0"/>
        </w:rPr>
        <w:t xml:space="preserve"> includes a document that, if signed by or on behalf of the credit provider and the debtor, would be a credit sale contract or a loan contract.</w:t>
      </w:r>
    </w:p>
    <w:p>
      <w:pPr>
        <w:pStyle w:val="Heading5"/>
        <w:rPr>
          <w:snapToGrid w:val="0"/>
        </w:rPr>
      </w:pPr>
      <w:bookmarkStart w:id="79" w:name="_Toc392496501"/>
      <w:r>
        <w:rPr>
          <w:rStyle w:val="CharSectno"/>
        </w:rPr>
        <w:t>33</w:t>
      </w:r>
      <w:r>
        <w:rPr>
          <w:snapToGrid w:val="0"/>
        </w:rPr>
        <w:t>.</w:t>
      </w:r>
      <w:r>
        <w:rPr>
          <w:snapToGrid w:val="0"/>
        </w:rPr>
        <w:tab/>
        <w:t>Credit provider to give offeror notice of acceptance etc.</w:t>
      </w:r>
      <w:bookmarkEnd w:id="79"/>
    </w:p>
    <w:p>
      <w:pPr>
        <w:pStyle w:val="Subsection"/>
        <w:rPr>
          <w:snapToGrid w:val="0"/>
        </w:rPr>
      </w:pPr>
      <w:r>
        <w:rPr>
          <w:snapToGrid w:val="0"/>
        </w:rPr>
        <w:tab/>
        <w:t>(1)</w:t>
      </w:r>
      <w:r>
        <w:rPr>
          <w:snapToGrid w:val="0"/>
        </w:rPr>
        <w:tab/>
        <w:t>Where a person has signed an offer in writing to a credit provider to enter into a credit sale contract or a loan contract, the credit provider shall, not later than 14 days after accepting the offer, give to the debtor notice in writing of the acceptance endorsed on, or accompanied by, a copy of the offer.</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does not apply in relation to — </w:t>
      </w:r>
    </w:p>
    <w:p>
      <w:pPr>
        <w:pStyle w:val="Indenta"/>
        <w:rPr>
          <w:snapToGrid w:val="0"/>
        </w:rPr>
      </w:pPr>
      <w:r>
        <w:rPr>
          <w:snapToGrid w:val="0"/>
        </w:rPr>
        <w:tab/>
        <w:t xml:space="preserve">(a) </w:t>
      </w:r>
      <w:r>
        <w:rPr>
          <w:snapToGrid w:val="0"/>
        </w:rPr>
        <w:tab/>
        <w:t>an offer to enter into a credit sale contract relating to goods that, in accordance with the offer, is accepted by delivery of the goods; or</w:t>
      </w:r>
    </w:p>
    <w:p>
      <w:pPr>
        <w:pStyle w:val="Indenta"/>
        <w:rPr>
          <w:snapToGrid w:val="0"/>
        </w:rPr>
      </w:pPr>
      <w:r>
        <w:rPr>
          <w:snapToGrid w:val="0"/>
        </w:rPr>
        <w:tab/>
        <w:t xml:space="preserve">(b) </w:t>
      </w:r>
      <w:r>
        <w:rPr>
          <w:snapToGrid w:val="0"/>
        </w:rPr>
        <w:tab/>
        <w:t>an offer to enter into a credit sale contract relating to services that, in accordance with the offer, is accepted by commencement of performance of the services.</w:t>
      </w:r>
    </w:p>
    <w:p>
      <w:pPr>
        <w:pStyle w:val="Subsection"/>
        <w:rPr>
          <w:snapToGrid w:val="0"/>
        </w:rPr>
      </w:pPr>
      <w:r>
        <w:rPr>
          <w:snapToGrid w:val="0"/>
        </w:rPr>
        <w:tab/>
        <w:t>(3)</w:t>
      </w:r>
      <w:r>
        <w:rPr>
          <w:snapToGrid w:val="0"/>
        </w:rPr>
        <w:tab/>
        <w:t xml:space="preserve">In this section, </w:t>
      </w:r>
      <w:r>
        <w:rPr>
          <w:rStyle w:val="CharDefText"/>
        </w:rPr>
        <w:t>offer in writing</w:t>
      </w:r>
      <w:r>
        <w:rPr>
          <w:snapToGrid w:val="0"/>
        </w:rPr>
        <w:t xml:space="preserve"> includes a document that, if signed by or on behalf of the credit provider and the debtor, would be a credit sale contract or a loan contract.</w:t>
      </w:r>
    </w:p>
    <w:p>
      <w:pPr>
        <w:pStyle w:val="Heading5"/>
        <w:rPr>
          <w:snapToGrid w:val="0"/>
        </w:rPr>
      </w:pPr>
      <w:bookmarkStart w:id="80" w:name="_Toc392496502"/>
      <w:r>
        <w:rPr>
          <w:rStyle w:val="CharSectno"/>
        </w:rPr>
        <w:t>34</w:t>
      </w:r>
      <w:r>
        <w:rPr>
          <w:snapToGrid w:val="0"/>
        </w:rPr>
        <w:t>.</w:t>
      </w:r>
      <w:r>
        <w:rPr>
          <w:snapToGrid w:val="0"/>
        </w:rPr>
        <w:tab/>
        <w:t>Credit provider to give debtor prescribed statement</w:t>
      </w:r>
      <w:bookmarkEnd w:id="80"/>
    </w:p>
    <w:p>
      <w:pPr>
        <w:pStyle w:val="Subsection"/>
        <w:rPr>
          <w:snapToGrid w:val="0"/>
        </w:rPr>
      </w:pPr>
      <w:r>
        <w:rPr>
          <w:snapToGrid w:val="0"/>
        </w:rPr>
        <w:tab/>
        <w:t>(1)</w:t>
      </w:r>
      <w:r>
        <w:rPr>
          <w:snapToGrid w:val="0"/>
        </w:rPr>
        <w:tab/>
        <w:t>Where a credit sale contract or a loan contract is made, the credit provider shall, not later than 14 days after the contract is made, give to the debtor a statement in or to the effect of the form prescribed for the purposes</w:t>
      </w:r>
      <w:bookmarkStart w:id="81" w:name="RuleErr_44"/>
      <w:r>
        <w:rPr>
          <w:snapToGrid w:val="0"/>
        </w:rPr>
        <w:t xml:space="preserve"> of this section</w:t>
      </w:r>
      <w:bookmarkEnd w:id="81"/>
      <w:r>
        <w:rPr>
          <w:snapToGrid w:val="0"/>
        </w:rPr>
        <w:t>.</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does not apply if the credit provider, an agent of the credit provider or a supplier in relation to whom the credit provider is a linked credit provider gives to the debtor at or before the time when the credit sale contract or loan contract is made the statement referred to in that subsection.</w:t>
      </w:r>
    </w:p>
    <w:p>
      <w:pPr>
        <w:pStyle w:val="Heading5"/>
        <w:rPr>
          <w:snapToGrid w:val="0"/>
        </w:rPr>
      </w:pPr>
      <w:bookmarkStart w:id="82" w:name="_Toc392496503"/>
      <w:r>
        <w:rPr>
          <w:rStyle w:val="CharSectno"/>
        </w:rPr>
        <w:t>35</w:t>
      </w:r>
      <w:r>
        <w:rPr>
          <w:snapToGrid w:val="0"/>
        </w:rPr>
        <w:t>.</w:t>
      </w:r>
      <w:r>
        <w:rPr>
          <w:snapToGrid w:val="0"/>
        </w:rPr>
        <w:tab/>
        <w:t>Credit sale contracts, content of</w:t>
      </w:r>
      <w:bookmarkEnd w:id="82"/>
    </w:p>
    <w:p>
      <w:pPr>
        <w:pStyle w:val="Subsection"/>
        <w:keepNext/>
        <w:rPr>
          <w:snapToGrid w:val="0"/>
        </w:rPr>
      </w:pPr>
      <w:r>
        <w:rPr>
          <w:snapToGrid w:val="0"/>
        </w:rPr>
        <w:tab/>
        <w:t>(1)</w:t>
      </w:r>
      <w:r>
        <w:rPr>
          <w:snapToGrid w:val="0"/>
        </w:rPr>
        <w:tab/>
        <w:t>A credit sale contract relating to goods or services shall include — </w:t>
      </w:r>
    </w:p>
    <w:p>
      <w:pPr>
        <w:pStyle w:val="Indenta"/>
        <w:spacing w:before="70"/>
        <w:rPr>
          <w:snapToGrid w:val="0"/>
        </w:rPr>
      </w:pPr>
      <w:r>
        <w:rPr>
          <w:snapToGrid w:val="0"/>
        </w:rPr>
        <w:tab/>
        <w:t>(a)</w:t>
      </w:r>
      <w:r>
        <w:rPr>
          <w:snapToGrid w:val="0"/>
        </w:rPr>
        <w:tab/>
        <w:t>the date on which the contract, or an offer to enter into the contract, was signed by the debtor; and</w:t>
      </w:r>
    </w:p>
    <w:p>
      <w:pPr>
        <w:pStyle w:val="Indenta"/>
        <w:spacing w:before="70"/>
        <w:rPr>
          <w:snapToGrid w:val="0"/>
        </w:rPr>
      </w:pPr>
      <w:r>
        <w:rPr>
          <w:snapToGrid w:val="0"/>
        </w:rPr>
        <w:tab/>
        <w:t>(b)</w:t>
      </w:r>
      <w:r>
        <w:rPr>
          <w:snapToGrid w:val="0"/>
        </w:rPr>
        <w:tab/>
        <w:t>a description or identification of the goods or services; and</w:t>
      </w:r>
    </w:p>
    <w:p>
      <w:pPr>
        <w:pStyle w:val="Indenta"/>
        <w:spacing w:before="70"/>
        <w:rPr>
          <w:snapToGrid w:val="0"/>
        </w:rPr>
      </w:pPr>
      <w:r>
        <w:rPr>
          <w:snapToGrid w:val="0"/>
        </w:rPr>
        <w:tab/>
        <w:t>(c)</w:t>
      </w:r>
      <w:r>
        <w:rPr>
          <w:snapToGrid w:val="0"/>
        </w:rPr>
        <w:tab/>
        <w:t>a statement of the amount financed in accordance with Schedule 2; and</w:t>
      </w:r>
    </w:p>
    <w:p>
      <w:pPr>
        <w:pStyle w:val="Indenta"/>
        <w:spacing w:before="70"/>
        <w:rPr>
          <w:snapToGrid w:val="0"/>
        </w:rPr>
      </w:pPr>
      <w:r>
        <w:rPr>
          <w:snapToGrid w:val="0"/>
        </w:rPr>
        <w:tab/>
        <w:t>(d)</w:t>
      </w:r>
      <w:r>
        <w:rPr>
          <w:snapToGrid w:val="0"/>
        </w:rPr>
        <w:tab/>
        <w:t>a statement of the credit charge in accordance with Schedule 3; and</w:t>
      </w:r>
    </w:p>
    <w:p>
      <w:pPr>
        <w:pStyle w:val="Indenta"/>
        <w:spacing w:before="70"/>
        <w:rPr>
          <w:snapToGrid w:val="0"/>
        </w:rPr>
      </w:pPr>
      <w:r>
        <w:rPr>
          <w:snapToGrid w:val="0"/>
        </w:rPr>
        <w:tab/>
        <w:t>(e)</w:t>
      </w:r>
      <w:r>
        <w:rPr>
          <w:snapToGrid w:val="0"/>
        </w:rPr>
        <w:tab/>
        <w:t>where, at the relevant date, it is possible to express the whole of the credit charge as an amount of money, a statement of the total of — </w:t>
      </w:r>
    </w:p>
    <w:p>
      <w:pPr>
        <w:pStyle w:val="Indenti"/>
        <w:spacing w:before="70"/>
        <w:rPr>
          <w:snapToGrid w:val="0"/>
        </w:rPr>
      </w:pPr>
      <w:r>
        <w:rPr>
          <w:snapToGrid w:val="0"/>
        </w:rPr>
        <w:tab/>
        <w:t>(i)</w:t>
      </w:r>
      <w:r>
        <w:rPr>
          <w:snapToGrid w:val="0"/>
        </w:rPr>
        <w:tab/>
        <w:t>the credit charge; and</w:t>
      </w:r>
    </w:p>
    <w:p>
      <w:pPr>
        <w:pStyle w:val="Indenti"/>
        <w:spacing w:before="70"/>
        <w:rPr>
          <w:snapToGrid w:val="0"/>
        </w:rPr>
      </w:pPr>
      <w:r>
        <w:rPr>
          <w:snapToGrid w:val="0"/>
        </w:rPr>
        <w:tab/>
        <w:t>(ii)</w:t>
      </w:r>
      <w:r>
        <w:rPr>
          <w:snapToGrid w:val="0"/>
        </w:rPr>
        <w:tab/>
        <w:t>the amount financed;</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(f)</w:t>
      </w:r>
      <w:r>
        <w:rPr>
          <w:snapToGrid w:val="0"/>
        </w:rPr>
        <w:tab/>
        <w:t>a statement of the annual percentage rate in accordance with section 38; and</w:t>
      </w:r>
    </w:p>
    <w:p>
      <w:pPr>
        <w:pStyle w:val="Indenta"/>
        <w:spacing w:before="70"/>
        <w:rPr>
          <w:snapToGrid w:val="0"/>
        </w:rPr>
      </w:pPr>
      <w:r>
        <w:rPr>
          <w:snapToGrid w:val="0"/>
        </w:rPr>
        <w:tab/>
        <w:t>(g)</w:t>
      </w:r>
      <w:r>
        <w:rPr>
          <w:snapToGrid w:val="0"/>
        </w:rPr>
        <w:tab/>
        <w:t>a statement of the person to whom, and the place at which, payments by the debtor are to be made; and</w:t>
      </w:r>
    </w:p>
    <w:p>
      <w:pPr>
        <w:pStyle w:val="Indenta"/>
        <w:spacing w:before="70"/>
        <w:rPr>
          <w:snapToGrid w:val="0"/>
        </w:rPr>
      </w:pPr>
      <w:r>
        <w:rPr>
          <w:snapToGrid w:val="0"/>
        </w:rPr>
        <w:tab/>
        <w:t>(h)</w:t>
      </w:r>
      <w:r>
        <w:rPr>
          <w:snapToGrid w:val="0"/>
        </w:rPr>
        <w:tab/>
        <w:t>a statement whether payments are to be made by instalments and, if they are to be so made, a statement of such of the following as are known or can be calculated at the relevant date — </w:t>
      </w:r>
    </w:p>
    <w:p>
      <w:pPr>
        <w:pStyle w:val="Indenti"/>
        <w:spacing w:before="70"/>
        <w:rPr>
          <w:snapToGrid w:val="0"/>
        </w:rPr>
      </w:pPr>
      <w:r>
        <w:rPr>
          <w:snapToGrid w:val="0"/>
        </w:rPr>
        <w:tab/>
        <w:t>(i)</w:t>
      </w:r>
      <w:r>
        <w:rPr>
          <w:snapToGrid w:val="0"/>
        </w:rPr>
        <w:tab/>
        <w:t>where each instalment is the same amount, that amount; and</w:t>
      </w:r>
    </w:p>
    <w:p>
      <w:pPr>
        <w:pStyle w:val="Indenti"/>
        <w:spacing w:before="70"/>
        <w:rPr>
          <w:snapToGrid w:val="0"/>
        </w:rPr>
      </w:pPr>
      <w:r>
        <w:rPr>
          <w:snapToGrid w:val="0"/>
        </w:rPr>
        <w:tab/>
        <w:t>(ii)</w:t>
      </w:r>
      <w:r>
        <w:rPr>
          <w:snapToGrid w:val="0"/>
        </w:rPr>
        <w:tab/>
        <w:t>where each instalment except the last is the same amount, that amount and the amount of the last instalment; and</w:t>
      </w:r>
    </w:p>
    <w:p>
      <w:pPr>
        <w:pStyle w:val="Indenti"/>
        <w:spacing w:before="70"/>
        <w:rPr>
          <w:snapToGrid w:val="0"/>
        </w:rPr>
      </w:pPr>
      <w:r>
        <w:rPr>
          <w:snapToGrid w:val="0"/>
        </w:rPr>
        <w:tab/>
        <w:t>(iii)</w:t>
      </w:r>
      <w:r>
        <w:rPr>
          <w:snapToGrid w:val="0"/>
        </w:rPr>
        <w:tab/>
        <w:t>where neither subparagraph (i) nor subparagraph (ii) applies, the amount of each instalment; and</w:t>
      </w:r>
    </w:p>
    <w:p>
      <w:pPr>
        <w:pStyle w:val="Indenti"/>
        <w:rPr>
          <w:snapToGrid w:val="0"/>
        </w:rPr>
      </w:pPr>
      <w:r>
        <w:rPr>
          <w:snapToGrid w:val="0"/>
        </w:rPr>
        <w:tab/>
        <w:t>(iv)</w:t>
      </w:r>
      <w:r>
        <w:rPr>
          <w:snapToGrid w:val="0"/>
        </w:rPr>
        <w:tab/>
        <w:t>the number of instalments; and</w:t>
      </w:r>
    </w:p>
    <w:p>
      <w:pPr>
        <w:pStyle w:val="Indenti"/>
        <w:rPr>
          <w:snapToGrid w:val="0"/>
        </w:rPr>
      </w:pPr>
      <w:r>
        <w:rPr>
          <w:snapToGrid w:val="0"/>
        </w:rPr>
        <w:tab/>
        <w:t>(v)</w:t>
      </w:r>
      <w:r>
        <w:rPr>
          <w:snapToGrid w:val="0"/>
        </w:rPr>
        <w:tab/>
        <w:t>the time for the payment of each instalment or the time for the payment of the first instalment and the interval between each instalment and the subsequent instalment;</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if a commission charge is payable, a statement to that effect and, except in so far as the information is not known by the credit provider or is not readily available to the credit provider, a statement of the person to whom and the person by whom the commission charge is payable; and</w:t>
      </w:r>
    </w:p>
    <w:p>
      <w:pPr>
        <w:pStyle w:val="Indenta"/>
        <w:rPr>
          <w:snapToGrid w:val="0"/>
        </w:rPr>
      </w:pPr>
      <w:r>
        <w:rPr>
          <w:snapToGrid w:val="0"/>
        </w:rPr>
        <w:tab/>
        <w:t>(j)</w:t>
      </w:r>
      <w:r>
        <w:rPr>
          <w:snapToGrid w:val="0"/>
        </w:rPr>
        <w:tab/>
        <w:t>a statement whether any mortgage relating to the contract has been or is agreed to be entered into.</w:t>
      </w:r>
    </w:p>
    <w:p>
      <w:pPr>
        <w:pStyle w:val="Subsection"/>
        <w:rPr>
          <w:snapToGrid w:val="0"/>
        </w:rPr>
      </w:pPr>
      <w:r>
        <w:rPr>
          <w:snapToGrid w:val="0"/>
        </w:rPr>
        <w:tab/>
        <w:t>(2)</w:t>
      </w:r>
      <w:r>
        <w:rPr>
          <w:snapToGrid w:val="0"/>
        </w:rPr>
        <w:tab/>
        <w:t>A credit provider shall not include in the amount financed under a credit sale contract — </w:t>
      </w:r>
    </w:p>
    <w:p>
      <w:pPr>
        <w:pStyle w:val="Indenta"/>
        <w:rPr>
          <w:snapToGrid w:val="0"/>
        </w:rPr>
      </w:pPr>
      <w:r>
        <w:rPr>
          <w:snapToGrid w:val="0"/>
        </w:rPr>
        <w:tab/>
        <w:t>(a)</w:t>
      </w:r>
      <w:r>
        <w:rPr>
          <w:snapToGrid w:val="0"/>
        </w:rPr>
        <w:tab/>
        <w:t>an amount payable by the debtor to the credit provider in respect of a risk under a contract of insurance (not being compulsory insurance relating to goods) other than a risk specified in clause 1(d)(iv) or 1(e) of Schedule 2; or</w:t>
      </w:r>
    </w:p>
    <w:p>
      <w:pPr>
        <w:pStyle w:val="Indenta"/>
        <w:rPr>
          <w:snapToGrid w:val="0"/>
        </w:rPr>
      </w:pPr>
      <w:r>
        <w:rPr>
          <w:snapToGrid w:val="0"/>
        </w:rPr>
        <w:tab/>
        <w:t>(b)</w:t>
      </w:r>
      <w:r>
        <w:rPr>
          <w:snapToGrid w:val="0"/>
        </w:rPr>
        <w:tab/>
        <w:t>where a mortgage relating to the contract has been entered into, an amount in respect of insurance against loss of the security interest of the mortgagee in any goods subject to the mortgage by reason of any Act exceeding an amount calculated by applying the prescribed rate for title insurance in relation to goods of that class; or</w:t>
      </w:r>
    </w:p>
    <w:p>
      <w:pPr>
        <w:pStyle w:val="Indenta"/>
        <w:rPr>
          <w:snapToGrid w:val="0"/>
        </w:rPr>
      </w:pPr>
      <w:r>
        <w:rPr>
          <w:snapToGrid w:val="0"/>
        </w:rPr>
        <w:tab/>
        <w:t>(c)</w:t>
      </w:r>
      <w:r>
        <w:rPr>
          <w:snapToGrid w:val="0"/>
        </w:rPr>
        <w:tab/>
        <w:t>an amount in respect of the discharge of a liability of the debtor to the credit provider under a regulated contract that exceeds the amount of the net balance due to the credit provider calculated in accordance with section 103 immediately before the discharge of the liability.</w:t>
      </w:r>
    </w:p>
    <w:p>
      <w:pPr>
        <w:pStyle w:val="Subsection"/>
        <w:rPr>
          <w:snapToGrid w:val="0"/>
        </w:rPr>
      </w:pPr>
      <w:r>
        <w:rPr>
          <w:snapToGrid w:val="0"/>
        </w:rPr>
        <w:tab/>
        <w:t>(3)</w:t>
      </w:r>
      <w:r>
        <w:rPr>
          <w:snapToGrid w:val="0"/>
        </w:rPr>
        <w:tab/>
        <w:t>Nothing in this section requires the inclusion in a credit sale contract of a statement referred to in this section that is not applicable to the contract.</w:t>
      </w:r>
    </w:p>
    <w:p>
      <w:pPr>
        <w:pStyle w:val="Subsection"/>
        <w:rPr>
          <w:snapToGrid w:val="0"/>
        </w:rPr>
      </w:pPr>
      <w:r>
        <w:rPr>
          <w:snapToGrid w:val="0"/>
        </w:rPr>
        <w:tab/>
        <w:t>(4)</w:t>
      </w:r>
      <w:r>
        <w:rPr>
          <w:snapToGrid w:val="0"/>
        </w:rPr>
        <w:tab/>
        <w:t xml:space="preserve">In this section, </w:t>
      </w:r>
      <w:r>
        <w:rPr>
          <w:rStyle w:val="CharDefText"/>
        </w:rPr>
        <w:t>relevant date</w:t>
      </w:r>
      <w:r>
        <w:rPr>
          <w:snapToGrid w:val="0"/>
        </w:rPr>
        <w:t xml:space="preserve"> means the date on which the credit sale contract is entered into or, if the credit sale contract is entered into by the acceptance by the credit provider of an offer made by the debtor, the date on which the offer is made.</w:t>
      </w:r>
    </w:p>
    <w:p>
      <w:pPr>
        <w:pStyle w:val="Heading5"/>
        <w:spacing w:before="200"/>
        <w:rPr>
          <w:snapToGrid w:val="0"/>
        </w:rPr>
      </w:pPr>
      <w:bookmarkStart w:id="83" w:name="_Toc392496504"/>
      <w:r>
        <w:rPr>
          <w:rStyle w:val="CharSectno"/>
        </w:rPr>
        <w:t>36</w:t>
      </w:r>
      <w:r>
        <w:rPr>
          <w:snapToGrid w:val="0"/>
        </w:rPr>
        <w:t>.</w:t>
      </w:r>
      <w:r>
        <w:rPr>
          <w:snapToGrid w:val="0"/>
        </w:rPr>
        <w:tab/>
        <w:t>Loan contracts, content of</w:t>
      </w:r>
      <w:bookmarkEnd w:id="83"/>
    </w:p>
    <w:p>
      <w:pPr>
        <w:pStyle w:val="Subsection"/>
        <w:spacing w:before="140"/>
        <w:rPr>
          <w:snapToGrid w:val="0"/>
        </w:rPr>
      </w:pPr>
      <w:r>
        <w:rPr>
          <w:snapToGrid w:val="0"/>
        </w:rPr>
        <w:tab/>
        <w:t>(1)</w:t>
      </w:r>
      <w:r>
        <w:rPr>
          <w:snapToGrid w:val="0"/>
        </w:rPr>
        <w:tab/>
        <w:t>A loan contract shall include — </w:t>
      </w:r>
    </w:p>
    <w:p>
      <w:pPr>
        <w:pStyle w:val="Indenta"/>
        <w:spacing w:before="60"/>
        <w:rPr>
          <w:snapToGrid w:val="0"/>
        </w:rPr>
      </w:pPr>
      <w:r>
        <w:rPr>
          <w:snapToGrid w:val="0"/>
        </w:rPr>
        <w:tab/>
        <w:t>(a)</w:t>
      </w:r>
      <w:r>
        <w:rPr>
          <w:snapToGrid w:val="0"/>
        </w:rPr>
        <w:tab/>
        <w:t>the date on which the contract, or an offer to enter into the contract, was signed by the debtor; and</w:t>
      </w:r>
    </w:p>
    <w:p>
      <w:pPr>
        <w:pStyle w:val="Indenta"/>
        <w:spacing w:before="60"/>
        <w:rPr>
          <w:snapToGrid w:val="0"/>
        </w:rPr>
      </w:pPr>
      <w:r>
        <w:rPr>
          <w:snapToGrid w:val="0"/>
        </w:rPr>
        <w:tab/>
        <w:t>(b)</w:t>
      </w:r>
      <w:r>
        <w:rPr>
          <w:snapToGrid w:val="0"/>
        </w:rPr>
        <w:tab/>
        <w:t>a statement of the amount financed in accordance with Schedule 4; and</w:t>
      </w:r>
    </w:p>
    <w:p>
      <w:pPr>
        <w:pStyle w:val="Indenta"/>
        <w:spacing w:before="60"/>
        <w:rPr>
          <w:snapToGrid w:val="0"/>
        </w:rPr>
      </w:pPr>
      <w:r>
        <w:rPr>
          <w:snapToGrid w:val="0"/>
        </w:rPr>
        <w:tab/>
        <w:t>(c)</w:t>
      </w:r>
      <w:r>
        <w:rPr>
          <w:snapToGrid w:val="0"/>
        </w:rPr>
        <w:tab/>
        <w:t>a statement of the credit charge in accordance with Schedule 5; and</w:t>
      </w:r>
    </w:p>
    <w:p>
      <w:pPr>
        <w:pStyle w:val="Indenta"/>
        <w:spacing w:before="60"/>
        <w:rPr>
          <w:snapToGrid w:val="0"/>
        </w:rPr>
      </w:pPr>
      <w:r>
        <w:rPr>
          <w:snapToGrid w:val="0"/>
        </w:rPr>
        <w:tab/>
        <w:t>(d)</w:t>
      </w:r>
      <w:r>
        <w:rPr>
          <w:snapToGrid w:val="0"/>
        </w:rPr>
        <w:tab/>
        <w:t>where, at the relevant date, it is possible to express the whole of the credit charge as an amount of money, a statement of the total of — </w:t>
      </w:r>
    </w:p>
    <w:p>
      <w:pPr>
        <w:pStyle w:val="Indenti"/>
        <w:spacing w:before="60"/>
        <w:rPr>
          <w:snapToGrid w:val="0"/>
        </w:rPr>
      </w:pPr>
      <w:r>
        <w:rPr>
          <w:snapToGrid w:val="0"/>
        </w:rPr>
        <w:tab/>
        <w:t>(i)</w:t>
      </w:r>
      <w:r>
        <w:rPr>
          <w:snapToGrid w:val="0"/>
        </w:rPr>
        <w:tab/>
        <w:t>the credit charge; and</w:t>
      </w:r>
    </w:p>
    <w:p>
      <w:pPr>
        <w:pStyle w:val="Indenti"/>
        <w:spacing w:before="60"/>
        <w:rPr>
          <w:snapToGrid w:val="0"/>
        </w:rPr>
      </w:pPr>
      <w:r>
        <w:rPr>
          <w:snapToGrid w:val="0"/>
        </w:rPr>
        <w:tab/>
        <w:t>(ii)</w:t>
      </w:r>
      <w:r>
        <w:rPr>
          <w:snapToGrid w:val="0"/>
        </w:rPr>
        <w:tab/>
        <w:t>the amount financed;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(e)</w:t>
      </w:r>
      <w:r>
        <w:rPr>
          <w:snapToGrid w:val="0"/>
        </w:rPr>
        <w:tab/>
        <w:t>a statement of the annual percentage rate in accordance with section 38; and</w:t>
      </w:r>
    </w:p>
    <w:p>
      <w:pPr>
        <w:pStyle w:val="Indenta"/>
        <w:spacing w:before="60"/>
        <w:rPr>
          <w:snapToGrid w:val="0"/>
        </w:rPr>
      </w:pPr>
      <w:r>
        <w:rPr>
          <w:snapToGrid w:val="0"/>
        </w:rPr>
        <w:tab/>
        <w:t>(f)</w:t>
      </w:r>
      <w:r>
        <w:rPr>
          <w:snapToGrid w:val="0"/>
        </w:rPr>
        <w:tab/>
        <w:t>a statement of the person to whom and the place at which payments by the debtor are to be made; and</w:t>
      </w:r>
    </w:p>
    <w:p>
      <w:pPr>
        <w:pStyle w:val="Indenta"/>
        <w:spacing w:before="60"/>
        <w:rPr>
          <w:snapToGrid w:val="0"/>
        </w:rPr>
      </w:pPr>
      <w:r>
        <w:rPr>
          <w:snapToGrid w:val="0"/>
        </w:rPr>
        <w:tab/>
        <w:t>(g)</w:t>
      </w:r>
      <w:r>
        <w:rPr>
          <w:snapToGrid w:val="0"/>
        </w:rPr>
        <w:tab/>
        <w:t>a statement whether payments are to be made by instalments and if they are to be so made, a statement of such of the following as are known or can be calculated at the relevant date — </w:t>
      </w:r>
    </w:p>
    <w:p>
      <w:pPr>
        <w:pStyle w:val="Indenti"/>
        <w:spacing w:before="60"/>
        <w:rPr>
          <w:snapToGrid w:val="0"/>
        </w:rPr>
      </w:pPr>
      <w:r>
        <w:rPr>
          <w:snapToGrid w:val="0"/>
        </w:rPr>
        <w:tab/>
        <w:t>(i)</w:t>
      </w:r>
      <w:r>
        <w:rPr>
          <w:snapToGrid w:val="0"/>
        </w:rPr>
        <w:tab/>
        <w:t>where each instalment is the same amount, that amount; and</w:t>
      </w:r>
    </w:p>
    <w:p>
      <w:pPr>
        <w:pStyle w:val="Indenti"/>
        <w:spacing w:before="60"/>
        <w:rPr>
          <w:snapToGrid w:val="0"/>
        </w:rPr>
      </w:pPr>
      <w:r>
        <w:rPr>
          <w:snapToGrid w:val="0"/>
        </w:rPr>
        <w:tab/>
        <w:t>(ii)</w:t>
      </w:r>
      <w:r>
        <w:rPr>
          <w:snapToGrid w:val="0"/>
        </w:rPr>
        <w:tab/>
        <w:t>where each instalment except the last is the same amount, that amount and the amount of the last instalment; and</w:t>
      </w:r>
    </w:p>
    <w:p>
      <w:pPr>
        <w:pStyle w:val="Indenti"/>
        <w:spacing w:before="60"/>
        <w:rPr>
          <w:snapToGrid w:val="0"/>
        </w:rPr>
      </w:pPr>
      <w:r>
        <w:rPr>
          <w:snapToGrid w:val="0"/>
        </w:rPr>
        <w:tab/>
        <w:t>(iii)</w:t>
      </w:r>
      <w:r>
        <w:rPr>
          <w:snapToGrid w:val="0"/>
        </w:rPr>
        <w:tab/>
        <w:t>where neither subparagraph (i) nor subparagraph (ii) applies, the amount of each instalment; and</w:t>
      </w:r>
    </w:p>
    <w:p>
      <w:pPr>
        <w:pStyle w:val="Indenti"/>
        <w:rPr>
          <w:snapToGrid w:val="0"/>
        </w:rPr>
      </w:pPr>
      <w:r>
        <w:rPr>
          <w:snapToGrid w:val="0"/>
        </w:rPr>
        <w:tab/>
        <w:t>(iv)</w:t>
      </w:r>
      <w:r>
        <w:rPr>
          <w:snapToGrid w:val="0"/>
        </w:rPr>
        <w:tab/>
        <w:t>the number of instalments; and</w:t>
      </w:r>
    </w:p>
    <w:p>
      <w:pPr>
        <w:pStyle w:val="Indenti"/>
        <w:rPr>
          <w:snapToGrid w:val="0"/>
        </w:rPr>
      </w:pPr>
      <w:r>
        <w:rPr>
          <w:snapToGrid w:val="0"/>
        </w:rPr>
        <w:tab/>
        <w:t>(v)</w:t>
      </w:r>
      <w:r>
        <w:rPr>
          <w:snapToGrid w:val="0"/>
        </w:rPr>
        <w:tab/>
        <w:t>the time for the payment of each instalment or the time for the payment of the first instalment and the interval between each instalment and the subsequent instalment;</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if a commission charge is payable, a statement to that effect and, except in so far as the information is not known by the credit provider or is not readily available to the credit provider, a statement of the person to whom and the person by whom the commission charge is payable; and</w:t>
      </w:r>
    </w:p>
    <w:p>
      <w:pPr>
        <w:pStyle w:val="Indenta"/>
        <w:rPr>
          <w:snapToGrid w:val="0"/>
        </w:rPr>
      </w:pPr>
      <w:r>
        <w:rPr>
          <w:snapToGrid w:val="0"/>
        </w:rPr>
        <w:tab/>
        <w:t>(i)</w:t>
      </w:r>
      <w:r>
        <w:rPr>
          <w:snapToGrid w:val="0"/>
        </w:rPr>
        <w:tab/>
        <w:t>a statement whether any mortgage relating to the contract has been or is agreed to be entered into.</w:t>
      </w:r>
    </w:p>
    <w:p>
      <w:pPr>
        <w:pStyle w:val="Subsection"/>
        <w:rPr>
          <w:snapToGrid w:val="0"/>
        </w:rPr>
      </w:pPr>
      <w:r>
        <w:rPr>
          <w:snapToGrid w:val="0"/>
        </w:rPr>
        <w:tab/>
        <w:t>(2)</w:t>
      </w:r>
      <w:r>
        <w:rPr>
          <w:snapToGrid w:val="0"/>
        </w:rPr>
        <w:tab/>
        <w:t>A credit provider shall not include in the amount financed under a loan contract — </w:t>
      </w:r>
    </w:p>
    <w:p>
      <w:pPr>
        <w:pStyle w:val="Indenta"/>
        <w:rPr>
          <w:snapToGrid w:val="0"/>
        </w:rPr>
      </w:pPr>
      <w:r>
        <w:rPr>
          <w:snapToGrid w:val="0"/>
        </w:rPr>
        <w:tab/>
        <w:t>(a)</w:t>
      </w:r>
      <w:r>
        <w:rPr>
          <w:snapToGrid w:val="0"/>
        </w:rPr>
        <w:tab/>
        <w:t>an amount payable by the debtor to the credit provider in respect of a risk under a contract of insurance other than a risk specified in clause 1(b) of Schedule 4; or</w:t>
      </w:r>
    </w:p>
    <w:p>
      <w:pPr>
        <w:pStyle w:val="Indenta"/>
        <w:rPr>
          <w:snapToGrid w:val="0"/>
        </w:rPr>
      </w:pPr>
      <w:r>
        <w:rPr>
          <w:snapToGrid w:val="0"/>
        </w:rPr>
        <w:tab/>
        <w:t>(b)</w:t>
      </w:r>
      <w:r>
        <w:rPr>
          <w:snapToGrid w:val="0"/>
        </w:rPr>
        <w:tab/>
        <w:t>where a mortgage relating to the contract has been entered into, an amount in respect of insurance against loss of the security interest of the mortgagee in any goods subject to the mortgage by reason of any Act exceeding an amount calculated by applying the prescribed rate for title insurance in relation to goods of that class; or</w:t>
      </w:r>
    </w:p>
    <w:p>
      <w:pPr>
        <w:pStyle w:val="Indenta"/>
        <w:rPr>
          <w:snapToGrid w:val="0"/>
        </w:rPr>
      </w:pPr>
      <w:r>
        <w:rPr>
          <w:snapToGrid w:val="0"/>
        </w:rPr>
        <w:tab/>
        <w:t>(c)</w:t>
      </w:r>
      <w:r>
        <w:rPr>
          <w:snapToGrid w:val="0"/>
        </w:rPr>
        <w:tab/>
        <w:t>an amount in respect of the discharge of the liability of the debtor to the credit provider under a regulated contract that exceeds the amount of the net balance due to the credit provider calculated in accordance with section 103 immediately before the discharge of the liability.</w:t>
      </w:r>
    </w:p>
    <w:p>
      <w:pPr>
        <w:pStyle w:val="Subsection"/>
        <w:rPr>
          <w:snapToGrid w:val="0"/>
        </w:rPr>
      </w:pPr>
      <w:r>
        <w:rPr>
          <w:snapToGrid w:val="0"/>
        </w:rPr>
        <w:tab/>
        <w:t>(3)</w:t>
      </w:r>
      <w:r>
        <w:rPr>
          <w:snapToGrid w:val="0"/>
        </w:rPr>
        <w:tab/>
        <w:t>Nothing in this section requires the inclusion in a loan contract of a statement referred to in this section that is not applicable to the contract.</w:t>
      </w:r>
    </w:p>
    <w:p>
      <w:pPr>
        <w:pStyle w:val="Subsection"/>
        <w:rPr>
          <w:snapToGrid w:val="0"/>
        </w:rPr>
      </w:pPr>
      <w:r>
        <w:rPr>
          <w:snapToGrid w:val="0"/>
        </w:rPr>
        <w:tab/>
        <w:t>(4)</w:t>
      </w:r>
      <w:r>
        <w:rPr>
          <w:snapToGrid w:val="0"/>
        </w:rPr>
        <w:tab/>
        <w:t xml:space="preserve">In this section, </w:t>
      </w:r>
      <w:r>
        <w:rPr>
          <w:rStyle w:val="CharDefText"/>
        </w:rPr>
        <w:t>relevant date</w:t>
      </w:r>
      <w:r>
        <w:rPr>
          <w:snapToGrid w:val="0"/>
        </w:rPr>
        <w:t xml:space="preserve"> means the date on which the loan contract is entered into or, if the loan contract is entered into by the acceptance by the credit provider of an offer made by the debtor the date on which the offer is made.</w:t>
      </w:r>
    </w:p>
    <w:p>
      <w:pPr>
        <w:pStyle w:val="Heading5"/>
        <w:rPr>
          <w:snapToGrid w:val="0"/>
        </w:rPr>
      </w:pPr>
      <w:bookmarkStart w:id="84" w:name="_Toc392496505"/>
      <w:r>
        <w:rPr>
          <w:rStyle w:val="CharSectno"/>
        </w:rPr>
        <w:t>37</w:t>
      </w:r>
      <w:r>
        <w:rPr>
          <w:snapToGrid w:val="0"/>
        </w:rPr>
        <w:t>.</w:t>
      </w:r>
      <w:r>
        <w:rPr>
          <w:snapToGrid w:val="0"/>
        </w:rPr>
        <w:tab/>
        <w:t>Credit sale contracts that consolidate amounts due under other such contracts, content and rescission of</w:t>
      </w:r>
      <w:bookmarkEnd w:id="84"/>
    </w:p>
    <w:p>
      <w:pPr>
        <w:pStyle w:val="Subsection"/>
        <w:rPr>
          <w:snapToGrid w:val="0"/>
        </w:rPr>
      </w:pPr>
      <w:r>
        <w:rPr>
          <w:snapToGrid w:val="0"/>
        </w:rPr>
        <w:tab/>
        <w:t>(1)</w:t>
      </w:r>
      <w:r>
        <w:rPr>
          <w:snapToGrid w:val="0"/>
        </w:rPr>
        <w:tab/>
        <w:t>This section applies to a credit sale contract that provides for the consolidation of the amount payable under the contract with the net balance due to the credit provider (at the time the contract is entered into) under another credit sale contract (not being a credit sale contract in relation to which there is a mortgage) that is discharged upon the entering into of the first</w:t>
      </w:r>
      <w:r>
        <w:rPr>
          <w:snapToGrid w:val="0"/>
        </w:rPr>
        <w:noBreakHyphen/>
      </w:r>
      <w:bookmarkStart w:id="85" w:name="RuleErr_141"/>
      <w:r>
        <w:rPr>
          <w:snapToGrid w:val="0"/>
        </w:rPr>
        <w:t>mentioned</w:t>
      </w:r>
      <w:bookmarkEnd w:id="85"/>
      <w:r>
        <w:rPr>
          <w:snapToGrid w:val="0"/>
        </w:rPr>
        <w:t xml:space="preserve"> contract.</w:t>
      </w:r>
    </w:p>
    <w:p>
      <w:pPr>
        <w:pStyle w:val="Subsection"/>
        <w:rPr>
          <w:snapToGrid w:val="0"/>
        </w:rPr>
      </w:pPr>
      <w:r>
        <w:rPr>
          <w:snapToGrid w:val="0"/>
        </w:rPr>
        <w:tab/>
        <w:t>(2)</w:t>
      </w:r>
      <w:r>
        <w:rPr>
          <w:snapToGrid w:val="0"/>
        </w:rPr>
        <w:tab/>
        <w:t>A credit sale contract to which this section applies does not fail to be in accordance with section 35 by reason only that the statements referred to in section 35(1)(c) to (h) are not included in the contract, but only if the conditions specified in subsection (3) are satisfied.</w:t>
      </w:r>
    </w:p>
    <w:p>
      <w:pPr>
        <w:pStyle w:val="Subsection"/>
        <w:rPr>
          <w:snapToGrid w:val="0"/>
        </w:rPr>
      </w:pPr>
      <w:r>
        <w:rPr>
          <w:snapToGrid w:val="0"/>
        </w:rPr>
        <w:tab/>
        <w:t>(3)</w:t>
      </w:r>
      <w:r>
        <w:rPr>
          <w:snapToGrid w:val="0"/>
        </w:rPr>
        <w:tab/>
        <w:t>The conditions referred to in subsection (2) are that — </w:t>
      </w:r>
    </w:p>
    <w:p>
      <w:pPr>
        <w:pStyle w:val="Indenta"/>
        <w:rPr>
          <w:snapToGrid w:val="0"/>
        </w:rPr>
      </w:pPr>
      <w:r>
        <w:rPr>
          <w:snapToGrid w:val="0"/>
        </w:rPr>
        <w:tab/>
        <w:t>(a)</w:t>
      </w:r>
      <w:r>
        <w:rPr>
          <w:snapToGrid w:val="0"/>
        </w:rPr>
        <w:tab/>
        <w:t>to the extent to which the statements referred to in section 35(1)(c), (d), (f), (g) and (h) were not included in the contract, they are included in a written notice given to the debtor within 28 days after the contract is entered into; and</w:t>
      </w:r>
    </w:p>
    <w:p>
      <w:pPr>
        <w:pStyle w:val="Indenta"/>
        <w:rPr>
          <w:snapToGrid w:val="0"/>
        </w:rPr>
      </w:pPr>
      <w:r>
        <w:rPr>
          <w:snapToGrid w:val="0"/>
        </w:rPr>
        <w:tab/>
        <w:t>(b)</w:t>
      </w:r>
      <w:r>
        <w:rPr>
          <w:snapToGrid w:val="0"/>
        </w:rPr>
        <w:tab/>
        <w:t>if a statement of the total of the amount financed and the credit charge is not included in the contract, it is included in the notice referred to in paragraph (a); and</w:t>
      </w:r>
    </w:p>
    <w:p>
      <w:pPr>
        <w:pStyle w:val="Indenta"/>
        <w:rPr>
          <w:snapToGrid w:val="0"/>
        </w:rPr>
      </w:pPr>
      <w:r>
        <w:rPr>
          <w:snapToGrid w:val="0"/>
        </w:rPr>
        <w:tab/>
        <w:t>(c)</w:t>
      </w:r>
      <w:r>
        <w:rPr>
          <w:snapToGrid w:val="0"/>
        </w:rPr>
        <w:tab/>
        <w:t>the notice given under paragraph (a) is accompanied by a notice in or to the effect of the prescribed form.</w:t>
      </w:r>
    </w:p>
    <w:p>
      <w:pPr>
        <w:pStyle w:val="Subsection"/>
        <w:spacing w:before="100"/>
        <w:rPr>
          <w:snapToGrid w:val="0"/>
        </w:rPr>
      </w:pPr>
      <w:r>
        <w:rPr>
          <w:snapToGrid w:val="0"/>
        </w:rPr>
        <w:tab/>
        <w:t>(4)</w:t>
      </w:r>
      <w:r>
        <w:rPr>
          <w:snapToGrid w:val="0"/>
        </w:rPr>
        <w:tab/>
        <w:t>At any time after a credit sale contract to which this section applies is entered into and before the expiration of 10 days after the day on which the notice referred to in subsection (3)(a) has been given, the debtor may rescind the contract by notice in writing given to the credit provider.</w:t>
      </w:r>
    </w:p>
    <w:p>
      <w:pPr>
        <w:pStyle w:val="Subsection"/>
        <w:spacing w:before="100"/>
        <w:rPr>
          <w:snapToGrid w:val="0"/>
        </w:rPr>
      </w:pPr>
      <w:r>
        <w:rPr>
          <w:snapToGrid w:val="0"/>
        </w:rPr>
        <w:tab/>
        <w:t>(5)</w:t>
      </w:r>
      <w:r>
        <w:rPr>
          <w:snapToGrid w:val="0"/>
        </w:rPr>
        <w:tab/>
        <w:t>Upon rescission under subsection (4) by the debtor of a credit sale contract to which this section applies, the other credit sale contract referred to in subsection (1) shall, by force</w:t>
      </w:r>
      <w:bookmarkStart w:id="86" w:name="RuleErr_78"/>
      <w:r>
        <w:rPr>
          <w:snapToGrid w:val="0"/>
        </w:rPr>
        <w:t xml:space="preserve"> of this subsection</w:t>
      </w:r>
      <w:bookmarkEnd w:id="86"/>
      <w:r>
        <w:rPr>
          <w:snapToGrid w:val="0"/>
        </w:rPr>
        <w:t>, revive, and any payments made under the credit sale contract to which this section applies shall be deemed to have been made under the revived contract.</w:t>
      </w:r>
    </w:p>
    <w:p>
      <w:pPr>
        <w:pStyle w:val="Subsection"/>
        <w:rPr>
          <w:snapToGrid w:val="0"/>
        </w:rPr>
      </w:pPr>
      <w:r>
        <w:rPr>
          <w:snapToGrid w:val="0"/>
        </w:rPr>
        <w:tab/>
        <w:t>(6)</w:t>
      </w:r>
      <w:r>
        <w:rPr>
          <w:snapToGrid w:val="0"/>
        </w:rPr>
        <w:tab/>
        <w:t>Where a credit sale contract revives by force of subsection (5), the debtor shall be deemed not to be or have been in breach of, or in default under, the revived contract in respect of the period during which the credit sale contract to which this section applies was in force, if the debtor was not in breach of, or in default under, the credit sale contract to which this section applies.</w:t>
      </w:r>
    </w:p>
    <w:p>
      <w:pPr>
        <w:pStyle w:val="Subsection"/>
        <w:rPr>
          <w:snapToGrid w:val="0"/>
        </w:rPr>
      </w:pPr>
      <w:r>
        <w:rPr>
          <w:snapToGrid w:val="0"/>
        </w:rPr>
        <w:tab/>
        <w:t>(7)</w:t>
      </w:r>
      <w:r>
        <w:rPr>
          <w:snapToGrid w:val="0"/>
        </w:rPr>
        <w:tab/>
        <w:t>Where a credit sale contract to which this section applies is rescinded by the debtor, the debtor shall, on demand by the supplier, return any goods to which the contract relates, other than goods to which the revived contract applies.</w:t>
      </w:r>
    </w:p>
    <w:p>
      <w:pPr>
        <w:pStyle w:val="Penstart"/>
        <w:rPr>
          <w:snapToGrid w:val="0"/>
        </w:rPr>
      </w:pPr>
      <w:r>
        <w:rPr>
          <w:snapToGrid w:val="0"/>
        </w:rPr>
        <w:tab/>
        <w:t>Penalty: $1 000.</w:t>
      </w:r>
    </w:p>
    <w:p>
      <w:pPr>
        <w:pStyle w:val="Subsection"/>
        <w:rPr>
          <w:snapToGrid w:val="0"/>
        </w:rPr>
      </w:pPr>
      <w:r>
        <w:rPr>
          <w:snapToGrid w:val="0"/>
        </w:rPr>
        <w:tab/>
        <w:t>(8)</w:t>
      </w:r>
      <w:r>
        <w:rPr>
          <w:snapToGrid w:val="0"/>
        </w:rPr>
        <w:tab/>
        <w:t>Where there is a dispute arising out of the operation</w:t>
      </w:r>
      <w:bookmarkStart w:id="87" w:name="RuleErr_45"/>
      <w:r>
        <w:rPr>
          <w:snapToGrid w:val="0"/>
        </w:rPr>
        <w:t xml:space="preserve"> of this section</w:t>
      </w:r>
      <w:bookmarkEnd w:id="87"/>
      <w:r>
        <w:rPr>
          <w:snapToGrid w:val="0"/>
        </w:rPr>
        <w:t>, a court may, on the application of a debtor, credit provider or guarantor, make an order declaring or adjusting rights or liabilities affected by the operation</w:t>
      </w:r>
      <w:bookmarkStart w:id="88" w:name="RuleErr_46"/>
      <w:r>
        <w:rPr>
          <w:snapToGrid w:val="0"/>
        </w:rPr>
        <w:t xml:space="preserve"> of this section</w:t>
      </w:r>
      <w:bookmarkEnd w:id="88"/>
      <w:r>
        <w:rPr>
          <w:snapToGrid w:val="0"/>
        </w:rPr>
        <w:t> — </w:t>
      </w:r>
    </w:p>
    <w:p>
      <w:pPr>
        <w:pStyle w:val="Indenta"/>
        <w:rPr>
          <w:snapToGrid w:val="0"/>
        </w:rPr>
      </w:pPr>
      <w:r>
        <w:rPr>
          <w:snapToGrid w:val="0"/>
        </w:rPr>
        <w:tab/>
        <w:t>(a)</w:t>
      </w:r>
      <w:r>
        <w:rPr>
          <w:snapToGrid w:val="0"/>
        </w:rPr>
        <w:tab/>
        <w:t>to give effect to, or to enforce, any rights or liabilities consequent upon that operation; or</w:t>
      </w:r>
    </w:p>
    <w:p>
      <w:pPr>
        <w:pStyle w:val="Indenta"/>
        <w:rPr>
          <w:snapToGrid w:val="0"/>
        </w:rPr>
      </w:pPr>
      <w:r>
        <w:rPr>
          <w:snapToGrid w:val="0"/>
        </w:rPr>
        <w:tab/>
        <w:t>(b)</w:t>
      </w:r>
      <w:r>
        <w:rPr>
          <w:snapToGrid w:val="0"/>
        </w:rPr>
        <w:tab/>
        <w:t>subject to any such rights or liabilities, to restore the debtor, credit provider or guarantor, as nearly as practicable to their respective positions before the credit sale contract to which this section applies was entered into.</w:t>
      </w:r>
    </w:p>
    <w:p>
      <w:pPr>
        <w:pStyle w:val="Subsection"/>
        <w:rPr>
          <w:snapToGrid w:val="0"/>
        </w:rPr>
      </w:pPr>
      <w:r>
        <w:rPr>
          <w:snapToGrid w:val="0"/>
        </w:rPr>
        <w:tab/>
        <w:t>(9)</w:t>
      </w:r>
      <w:r>
        <w:rPr>
          <w:snapToGrid w:val="0"/>
        </w:rPr>
        <w:tab/>
        <w:t>The reference in subsection (1) to the net balance due to the credit provider shall be construed in accordance with section 103, and as if that section were contained in this Part.</w:t>
      </w:r>
    </w:p>
    <w:p>
      <w:pPr>
        <w:pStyle w:val="Heading5"/>
        <w:rPr>
          <w:snapToGrid w:val="0"/>
        </w:rPr>
      </w:pPr>
      <w:bookmarkStart w:id="89" w:name="_Toc392496506"/>
      <w:r>
        <w:rPr>
          <w:rStyle w:val="CharSectno"/>
        </w:rPr>
        <w:t>38</w:t>
      </w:r>
      <w:r>
        <w:rPr>
          <w:snapToGrid w:val="0"/>
        </w:rPr>
        <w:t>.</w:t>
      </w:r>
      <w:r>
        <w:rPr>
          <w:snapToGrid w:val="0"/>
        </w:rPr>
        <w:tab/>
        <w:t>Annual percentage rate in contracts</w:t>
      </w:r>
      <w:bookmarkEnd w:id="89"/>
    </w:p>
    <w:p>
      <w:pPr>
        <w:pStyle w:val="Subsection"/>
        <w:spacing w:before="100"/>
        <w:rPr>
          <w:snapToGrid w:val="0"/>
        </w:rPr>
      </w:pPr>
      <w:r>
        <w:rPr>
          <w:snapToGrid w:val="0"/>
        </w:rPr>
        <w:tab/>
      </w:r>
      <w:r>
        <w:rPr>
          <w:snapToGrid w:val="0"/>
        </w:rPr>
        <w:tab/>
        <w:t>The annual percentage rate required under section 35 or 36 to be stated in a credit sale contract or a loan contract is — </w:t>
      </w:r>
    </w:p>
    <w:p>
      <w:pPr>
        <w:pStyle w:val="Indenta"/>
        <w:rPr>
          <w:snapToGrid w:val="0"/>
        </w:rPr>
      </w:pPr>
      <w:r>
        <w:rPr>
          <w:snapToGrid w:val="0"/>
        </w:rPr>
        <w:tab/>
        <w:t>(a)</w:t>
      </w:r>
      <w:r>
        <w:rPr>
          <w:snapToGrid w:val="0"/>
        </w:rPr>
        <w:tab/>
        <w:t>where, under the contract, the whole of the credit charge is determined by the application of a percentage rate per annum to the daily unpaid balance of the amount financed — that percentage rate; and</w:t>
      </w:r>
    </w:p>
    <w:p>
      <w:pPr>
        <w:pStyle w:val="Indenta"/>
        <w:rPr>
          <w:snapToGrid w:val="0"/>
        </w:rPr>
      </w:pPr>
      <w:r>
        <w:rPr>
          <w:snapToGrid w:val="0"/>
        </w:rPr>
        <w:tab/>
        <w:t>(b)</w:t>
      </w:r>
      <w:r>
        <w:rPr>
          <w:snapToGrid w:val="0"/>
        </w:rPr>
        <w:tab/>
        <w:t>where under the contract the whole of the credit charge is not so determined — </w:t>
      </w:r>
    </w:p>
    <w:p>
      <w:pPr>
        <w:pStyle w:val="Indenti"/>
        <w:rPr>
          <w:snapToGrid w:val="0"/>
        </w:rPr>
      </w:pPr>
      <w:r>
        <w:rPr>
          <w:snapToGrid w:val="0"/>
        </w:rPr>
        <w:tab/>
        <w:t>(i)</w:t>
      </w:r>
      <w:r>
        <w:rPr>
          <w:snapToGrid w:val="0"/>
        </w:rPr>
        <w:tab/>
        <w:t>the percentage rate per annum which when applied to the daily unpaid balance of the amount financed calculated according to the actuarial method will yield a sum equal to the amount which under the contract would be the credit charge if all payments under the contract were paid on the respective days on which under the contract they are required to be paid; or</w:t>
      </w:r>
    </w:p>
    <w:p>
      <w:pPr>
        <w:pStyle w:val="Indenti"/>
        <w:rPr>
          <w:snapToGrid w:val="0"/>
        </w:rPr>
      </w:pPr>
      <w:r>
        <w:rPr>
          <w:snapToGrid w:val="0"/>
        </w:rPr>
        <w:tab/>
        <w:t>(ii)</w:t>
      </w:r>
      <w:r>
        <w:rPr>
          <w:snapToGrid w:val="0"/>
        </w:rPr>
        <w:tab/>
        <w:t>where Schedule 6 applies to the credit sale contract or loan contract, the percentage rate per annum determined in accordance with the formula set out in that Schedule; or</w:t>
      </w:r>
    </w:p>
    <w:p>
      <w:pPr>
        <w:pStyle w:val="Indenti"/>
        <w:rPr>
          <w:snapToGrid w:val="0"/>
        </w:rPr>
      </w:pPr>
      <w:r>
        <w:rPr>
          <w:snapToGrid w:val="0"/>
        </w:rPr>
        <w:tab/>
        <w:t>(iii)</w:t>
      </w:r>
      <w:r>
        <w:rPr>
          <w:snapToGrid w:val="0"/>
        </w:rPr>
        <w:tab/>
        <w:t>where an applicable method has been prescribed for the purposes</w:t>
      </w:r>
      <w:bookmarkStart w:id="90" w:name="RuleErr_47"/>
      <w:r>
        <w:rPr>
          <w:snapToGrid w:val="0"/>
        </w:rPr>
        <w:t xml:space="preserve"> of this section</w:t>
      </w:r>
      <w:bookmarkEnd w:id="90"/>
      <w:r>
        <w:rPr>
          <w:snapToGrid w:val="0"/>
        </w:rPr>
        <w:t>, the percentage rate per annum determined according to that method,</w:t>
      </w:r>
    </w:p>
    <w:p>
      <w:pPr>
        <w:pStyle w:val="Indenta"/>
        <w:rPr>
          <w:snapToGrid w:val="0"/>
        </w:rPr>
      </w:pPr>
      <w:r>
        <w:rPr>
          <w:snapToGrid w:val="0"/>
        </w:rPr>
        <w:tab/>
      </w:r>
      <w:r>
        <w:rPr>
          <w:snapToGrid w:val="0"/>
        </w:rPr>
        <w:tab/>
        <w:t>whichever the credit provider determines.</w:t>
      </w:r>
    </w:p>
    <w:p>
      <w:pPr>
        <w:pStyle w:val="Heading5"/>
        <w:rPr>
          <w:snapToGrid w:val="0"/>
        </w:rPr>
      </w:pPr>
      <w:bookmarkStart w:id="91" w:name="_Toc392496507"/>
      <w:r>
        <w:rPr>
          <w:rStyle w:val="CharSectno"/>
        </w:rPr>
        <w:t>39</w:t>
      </w:r>
      <w:r>
        <w:rPr>
          <w:snapToGrid w:val="0"/>
        </w:rPr>
        <w:t>.</w:t>
      </w:r>
      <w:r>
        <w:rPr>
          <w:snapToGrid w:val="0"/>
        </w:rPr>
        <w:tab/>
        <w:t>Annual percentage rates for loan contracts secured by land mortgage</w:t>
      </w:r>
      <w:bookmarkEnd w:id="91"/>
    </w:p>
    <w:p>
      <w:pPr>
        <w:pStyle w:val="Subsection"/>
        <w:rPr>
          <w:snapToGrid w:val="0"/>
        </w:rPr>
      </w:pPr>
      <w:r>
        <w:rPr>
          <w:snapToGrid w:val="0"/>
        </w:rPr>
        <w:tab/>
        <w:t>(1)</w:t>
      </w:r>
      <w:r>
        <w:rPr>
          <w:snapToGrid w:val="0"/>
        </w:rPr>
        <w:tab/>
        <w:t>Where the payment of a debt or other pecuniary obligation or the performance of any other obligation under a loan contract is secured by a mortgage of land, the loan contract may, notwithstanding section 40, include an acceptable rate of interest and a higher annual percentage rate that does not exceed the acceptable rate by more than 2%.</w:t>
      </w:r>
    </w:p>
    <w:p>
      <w:pPr>
        <w:pStyle w:val="Subsection"/>
        <w:rPr>
          <w:snapToGrid w:val="0"/>
        </w:rPr>
      </w:pPr>
      <w:r>
        <w:rPr>
          <w:snapToGrid w:val="0"/>
        </w:rPr>
        <w:tab/>
        <w:t>(2)</w:t>
      </w:r>
      <w:r>
        <w:rPr>
          <w:snapToGrid w:val="0"/>
        </w:rPr>
        <w:tab/>
        <w:t>Where, in accordance with subsection (1), a loan contract includes 2 annual percentage rates, the statement in accordance with section 38 of the annual percentage rate required under section 36 shall be made in respect of each rate.</w:t>
      </w:r>
    </w:p>
    <w:p>
      <w:pPr>
        <w:pStyle w:val="Heading5"/>
        <w:rPr>
          <w:snapToGrid w:val="0"/>
        </w:rPr>
      </w:pPr>
      <w:bookmarkStart w:id="92" w:name="_Toc392496508"/>
      <w:r>
        <w:rPr>
          <w:rStyle w:val="CharSectno"/>
        </w:rPr>
        <w:t>40</w:t>
      </w:r>
      <w:r>
        <w:rPr>
          <w:snapToGrid w:val="0"/>
        </w:rPr>
        <w:t>.</w:t>
      </w:r>
      <w:r>
        <w:rPr>
          <w:snapToGrid w:val="0"/>
        </w:rPr>
        <w:tab/>
        <w:t>More than one rate of interest in contract etc. not permitted in contracts</w:t>
      </w:r>
      <w:bookmarkEnd w:id="92"/>
    </w:p>
    <w:p>
      <w:pPr>
        <w:pStyle w:val="Subsection"/>
        <w:spacing w:before="140"/>
        <w:rPr>
          <w:snapToGrid w:val="0"/>
        </w:rPr>
      </w:pPr>
      <w:r>
        <w:rPr>
          <w:snapToGrid w:val="0"/>
        </w:rPr>
        <w:tab/>
        <w:t>(1)</w:t>
      </w:r>
      <w:r>
        <w:rPr>
          <w:snapToGrid w:val="0"/>
        </w:rPr>
        <w:tab/>
        <w:t>Subject to section 39, a credit sale contract or a loan contract shall be deemed to be not in accordance with the provisions of this Division if it includes — </w:t>
      </w:r>
    </w:p>
    <w:p>
      <w:pPr>
        <w:pStyle w:val="Indenta"/>
        <w:rPr>
          <w:snapToGrid w:val="0"/>
        </w:rPr>
      </w:pPr>
      <w:r>
        <w:rPr>
          <w:snapToGrid w:val="0"/>
        </w:rPr>
        <w:tab/>
        <w:t>(a)</w:t>
      </w:r>
      <w:r>
        <w:rPr>
          <w:snapToGrid w:val="0"/>
        </w:rPr>
        <w:tab/>
        <w:t>a statement of, or a reference to, more than one annual percentage rate for the purposes of the contract; or</w:t>
      </w:r>
    </w:p>
    <w:p>
      <w:pPr>
        <w:pStyle w:val="Indenta"/>
        <w:rPr>
          <w:snapToGrid w:val="0"/>
        </w:rPr>
      </w:pPr>
      <w:r>
        <w:rPr>
          <w:snapToGrid w:val="0"/>
        </w:rPr>
        <w:tab/>
        <w:t>(b)</w:t>
      </w:r>
      <w:r>
        <w:rPr>
          <w:snapToGrid w:val="0"/>
        </w:rPr>
        <w:tab/>
        <w:t>a statement of, or a reference to, any other rate to the effect that the credit charge under the contract is or is to be determined by the application of that rate to the whole or any part of the amount financed; or</w:t>
      </w:r>
    </w:p>
    <w:p>
      <w:pPr>
        <w:pStyle w:val="Indenta"/>
        <w:rPr>
          <w:snapToGrid w:val="0"/>
        </w:rPr>
      </w:pPr>
      <w:r>
        <w:rPr>
          <w:snapToGrid w:val="0"/>
        </w:rPr>
        <w:tab/>
        <w:t>(c)</w:t>
      </w:r>
      <w:r>
        <w:rPr>
          <w:snapToGrid w:val="0"/>
        </w:rPr>
        <w:tab/>
        <w:t>a statement of, or a reference to, a right of the credit provider or any other person to increase, or take any action that results in the increase of, the annual percentage rate.</w:t>
      </w:r>
    </w:p>
    <w:p>
      <w:pPr>
        <w:pStyle w:val="Subsection"/>
        <w:spacing w:before="140"/>
        <w:rPr>
          <w:snapToGrid w:val="0"/>
        </w:rPr>
      </w:pPr>
      <w:r>
        <w:rPr>
          <w:snapToGrid w:val="0"/>
        </w:rPr>
        <w:tab/>
        <w:t>(2)</w:t>
      </w:r>
      <w:r>
        <w:rPr>
          <w:snapToGrid w:val="0"/>
        </w:rPr>
        <w:tab/>
        <w:t>Where, in a credit sale contract or a loan contract, there is a statement of, or a reference to, more than one annual percentage rate for the purposes of the contract or a statement of, or a reference to, any other rate referred to in subsection (1), the annual percentage rate for the purposes of the contract shall be the lowest rate so stated or referred to.</w:t>
      </w:r>
    </w:p>
    <w:p>
      <w:pPr>
        <w:pStyle w:val="Heading5"/>
        <w:rPr>
          <w:snapToGrid w:val="0"/>
        </w:rPr>
      </w:pPr>
      <w:bookmarkStart w:id="93" w:name="_Toc392496509"/>
      <w:r>
        <w:rPr>
          <w:rStyle w:val="CharSectno"/>
        </w:rPr>
        <w:t>41</w:t>
      </w:r>
      <w:r>
        <w:rPr>
          <w:snapToGrid w:val="0"/>
        </w:rPr>
        <w:t>.</w:t>
      </w:r>
      <w:r>
        <w:rPr>
          <w:snapToGrid w:val="0"/>
        </w:rPr>
        <w:tab/>
        <w:t>Variation of contracts ineffective without notice</w:t>
      </w:r>
      <w:bookmarkEnd w:id="93"/>
    </w:p>
    <w:p>
      <w:pPr>
        <w:pStyle w:val="Subsection"/>
        <w:spacing w:before="140"/>
        <w:rPr>
          <w:snapToGrid w:val="0"/>
        </w:rPr>
      </w:pPr>
      <w:r>
        <w:rPr>
          <w:snapToGrid w:val="0"/>
        </w:rPr>
        <w:tab/>
        <w:t>(1)</w:t>
      </w:r>
      <w:r>
        <w:rPr>
          <w:snapToGrid w:val="0"/>
        </w:rPr>
        <w:tab/>
        <w:t>Where, in accordance with a provision in a credit sale contract or a loan contract, the credit provider exercises a right under the contract to vary the contract (otherwise than at the request of the debtor or in a manner referred to in section 37, 69, 70 or 71) the variation does not have effect until the prescribed period (or, where the contract provides for a longer period of notice of the variation, that longer period) has elapsed after notice of the variation has been given to the debtor.</w:t>
      </w:r>
    </w:p>
    <w:p>
      <w:pPr>
        <w:pStyle w:val="Subsection"/>
        <w:rPr>
          <w:snapToGrid w:val="0"/>
        </w:rPr>
      </w:pPr>
      <w:r>
        <w:rPr>
          <w:snapToGrid w:val="0"/>
        </w:rPr>
        <w:tab/>
        <w:t>(2)</w:t>
      </w:r>
      <w:r>
        <w:rPr>
          <w:snapToGrid w:val="0"/>
        </w:rPr>
        <w:tab/>
        <w:t>Where notice of the variation of a credit sale contract or loan contract is given in a common form and posted by bulk postage, the notice shall be deemed to have been given 21 days after the date on which the last of the bulk postages was made.</w:t>
      </w:r>
    </w:p>
    <w:p>
      <w:pPr>
        <w:pStyle w:val="Heading5"/>
        <w:rPr>
          <w:snapToGrid w:val="0"/>
        </w:rPr>
      </w:pPr>
      <w:bookmarkStart w:id="94" w:name="_Toc392496510"/>
      <w:r>
        <w:rPr>
          <w:rStyle w:val="CharSectno"/>
        </w:rPr>
        <w:t>42</w:t>
      </w:r>
      <w:r>
        <w:rPr>
          <w:snapToGrid w:val="0"/>
        </w:rPr>
        <w:t>.</w:t>
      </w:r>
      <w:r>
        <w:rPr>
          <w:snapToGrid w:val="0"/>
        </w:rPr>
        <w:tab/>
        <w:t>Breach of s. 31, 35, 36, 38, 39, 40(1) or 91(1), effect of</w:t>
      </w:r>
      <w:bookmarkEnd w:id="94"/>
    </w:p>
    <w:p>
      <w:pPr>
        <w:pStyle w:val="Subsection"/>
        <w:rPr>
          <w:snapToGrid w:val="0"/>
        </w:rPr>
      </w:pPr>
      <w:r>
        <w:rPr>
          <w:snapToGrid w:val="0"/>
        </w:rPr>
        <w:tab/>
        <w:t>(1)</w:t>
      </w:r>
      <w:r>
        <w:rPr>
          <w:snapToGrid w:val="0"/>
        </w:rPr>
        <w:tab/>
        <w:t>Subject to section 85, where — </w:t>
      </w:r>
    </w:p>
    <w:p>
      <w:pPr>
        <w:pStyle w:val="Indenta"/>
        <w:rPr>
          <w:snapToGrid w:val="0"/>
        </w:rPr>
      </w:pPr>
      <w:r>
        <w:rPr>
          <w:snapToGrid w:val="0"/>
        </w:rPr>
        <w:tab/>
        <w:t>(a)</w:t>
      </w:r>
      <w:r>
        <w:rPr>
          <w:snapToGrid w:val="0"/>
        </w:rPr>
        <w:tab/>
        <w:t>a credit sale contract is not in writing signed by the debtor or is not in accordance with section 35; or</w:t>
      </w:r>
    </w:p>
    <w:p>
      <w:pPr>
        <w:pStyle w:val="Indenta"/>
        <w:rPr>
          <w:snapToGrid w:val="0"/>
        </w:rPr>
      </w:pPr>
      <w:r>
        <w:rPr>
          <w:snapToGrid w:val="0"/>
        </w:rPr>
        <w:tab/>
        <w:t>(b)</w:t>
      </w:r>
      <w:r>
        <w:rPr>
          <w:snapToGrid w:val="0"/>
        </w:rPr>
        <w:tab/>
        <w:t>a loan contract is not in writing signed by the debtor or is not in accordance with section 36; or</w:t>
      </w:r>
    </w:p>
    <w:p>
      <w:pPr>
        <w:pStyle w:val="Indenta"/>
        <w:rPr>
          <w:snapToGrid w:val="0"/>
        </w:rPr>
      </w:pPr>
      <w:r>
        <w:rPr>
          <w:snapToGrid w:val="0"/>
        </w:rPr>
        <w:tab/>
        <w:t>(c)</w:t>
      </w:r>
      <w:r>
        <w:rPr>
          <w:snapToGrid w:val="0"/>
        </w:rPr>
        <w:tab/>
        <w:t>the annual percentage rate under a credit sale contract, or a loan contract, is not disclosed in accordance with section 38 and, if applicable, section 39; or</w:t>
      </w:r>
    </w:p>
    <w:p>
      <w:pPr>
        <w:pStyle w:val="Indenta"/>
        <w:rPr>
          <w:snapToGrid w:val="0"/>
        </w:rPr>
      </w:pPr>
      <w:r>
        <w:rPr>
          <w:snapToGrid w:val="0"/>
        </w:rPr>
        <w:tab/>
        <w:t>(d)</w:t>
      </w:r>
      <w:r>
        <w:rPr>
          <w:snapToGrid w:val="0"/>
        </w:rPr>
        <w:tab/>
        <w:t>a credit sale contract or a loan contract is deemed to be not in accordance with the provisions of this Division by reason of section 40(1); or</w:t>
      </w:r>
    </w:p>
    <w:p>
      <w:pPr>
        <w:pStyle w:val="Indenta"/>
        <w:rPr>
          <w:snapToGrid w:val="0"/>
        </w:rPr>
      </w:pPr>
      <w:r>
        <w:rPr>
          <w:snapToGrid w:val="0"/>
        </w:rPr>
        <w:tab/>
        <w:t>(e)</w:t>
      </w:r>
      <w:r>
        <w:rPr>
          <w:snapToGrid w:val="0"/>
        </w:rPr>
        <w:tab/>
        <w:t>a mortgage relating to a credit sale contract, or a loan contract, is entered into in contravention of section 91(1),</w:t>
      </w:r>
    </w:p>
    <w:p>
      <w:pPr>
        <w:pStyle w:val="Subsection"/>
        <w:rPr>
          <w:snapToGrid w:val="0"/>
        </w:rPr>
      </w:pPr>
      <w:r>
        <w:rPr>
          <w:snapToGrid w:val="0"/>
        </w:rPr>
        <w:tab/>
      </w:r>
      <w:r>
        <w:rPr>
          <w:snapToGrid w:val="0"/>
        </w:rPr>
        <w:tab/>
        <w:t>the debtor is not liable to pay to the credit provider the credit charge under the contract.</w:t>
      </w:r>
    </w:p>
    <w:p>
      <w:pPr>
        <w:pStyle w:val="Subsection"/>
        <w:keepNext/>
        <w:keepLines/>
        <w:rPr>
          <w:snapToGrid w:val="0"/>
        </w:rPr>
      </w:pPr>
      <w:r>
        <w:rPr>
          <w:snapToGrid w:val="0"/>
        </w:rPr>
        <w:tab/>
        <w:t>(2)</w:t>
      </w:r>
      <w:r>
        <w:rPr>
          <w:snapToGrid w:val="0"/>
        </w:rPr>
        <w:tab/>
        <w:t>An amount paid by a debtor in respect of the credit charge that, in accordance with subsection (1), he is not liable to pay may be set off by the debtor against the amount that is due or becomes due to the credit provider under the credit sale contract or the loan contract or, where there is not such an amount, is a debt due by the credit provider to the debtor.</w:t>
      </w:r>
    </w:p>
    <w:p>
      <w:pPr>
        <w:pStyle w:val="Subsection"/>
        <w:rPr>
          <w:snapToGrid w:val="0"/>
        </w:rPr>
      </w:pPr>
      <w:r>
        <w:rPr>
          <w:snapToGrid w:val="0"/>
        </w:rPr>
        <w:tab/>
        <w:t>(3)</w:t>
      </w:r>
      <w:r>
        <w:rPr>
          <w:snapToGrid w:val="0"/>
        </w:rPr>
        <w:tab/>
        <w:t>Nothing in this section affects the liability of a person to be convicted of an offence under this Act.</w:t>
      </w:r>
    </w:p>
    <w:p>
      <w:pPr>
        <w:pStyle w:val="Heading5"/>
        <w:rPr>
          <w:snapToGrid w:val="0"/>
        </w:rPr>
      </w:pPr>
      <w:bookmarkStart w:id="95" w:name="_Toc392496511"/>
      <w:r>
        <w:rPr>
          <w:rStyle w:val="CharSectno"/>
        </w:rPr>
        <w:t>43</w:t>
      </w:r>
      <w:r>
        <w:rPr>
          <w:snapToGrid w:val="0"/>
        </w:rPr>
        <w:t>.</w:t>
      </w:r>
      <w:r>
        <w:rPr>
          <w:snapToGrid w:val="0"/>
        </w:rPr>
        <w:tab/>
        <w:t>Credit provider not to enter contract that does not comply with this Division</w:t>
      </w:r>
      <w:bookmarkEnd w:id="95"/>
    </w:p>
    <w:p>
      <w:pPr>
        <w:pStyle w:val="Subsection"/>
        <w:rPr>
          <w:snapToGrid w:val="0"/>
        </w:rPr>
      </w:pPr>
      <w:r>
        <w:rPr>
          <w:snapToGrid w:val="0"/>
        </w:rPr>
        <w:tab/>
      </w:r>
      <w:r>
        <w:rPr>
          <w:snapToGrid w:val="0"/>
        </w:rPr>
        <w:tab/>
        <w:t>A credit provider shall not enter into a credit sale contract, or a loan contract, that is in writing but is otherwise not in accordance with this Division.</w:t>
      </w:r>
    </w:p>
    <w:p>
      <w:pPr>
        <w:pStyle w:val="Penstart"/>
        <w:spacing w:before="100"/>
        <w:rPr>
          <w:snapToGrid w:val="0"/>
        </w:rPr>
      </w:pPr>
      <w:r>
        <w:rPr>
          <w:snapToGrid w:val="0"/>
        </w:rPr>
        <w:tab/>
        <w:t>Penalty: $1 000.</w:t>
      </w:r>
    </w:p>
    <w:p>
      <w:pPr>
        <w:pStyle w:val="Heading5"/>
        <w:rPr>
          <w:snapToGrid w:val="0"/>
        </w:rPr>
      </w:pPr>
      <w:bookmarkStart w:id="96" w:name="_Toc392496512"/>
      <w:r>
        <w:rPr>
          <w:rStyle w:val="CharSectno"/>
        </w:rPr>
        <w:t>44</w:t>
      </w:r>
      <w:r>
        <w:rPr>
          <w:snapToGrid w:val="0"/>
        </w:rPr>
        <w:t>.</w:t>
      </w:r>
      <w:r>
        <w:rPr>
          <w:snapToGrid w:val="0"/>
        </w:rPr>
        <w:tab/>
        <w:t>Minimum credit charge, restrictions as to</w:t>
      </w:r>
      <w:bookmarkEnd w:id="96"/>
    </w:p>
    <w:p>
      <w:pPr>
        <w:pStyle w:val="Subsection"/>
        <w:rPr>
          <w:snapToGrid w:val="0"/>
        </w:rPr>
      </w:pPr>
      <w:r>
        <w:rPr>
          <w:snapToGrid w:val="0"/>
        </w:rPr>
        <w:tab/>
        <w:t>(1)</w:t>
      </w:r>
      <w:r>
        <w:rPr>
          <w:snapToGrid w:val="0"/>
        </w:rPr>
        <w:tab/>
        <w:t>A provision in a credit sale contract or a loan contract to the effect that the minimum credit charge exceeds — </w:t>
      </w:r>
    </w:p>
    <w:p>
      <w:pPr>
        <w:pStyle w:val="Indenta"/>
        <w:spacing w:before="100"/>
        <w:rPr>
          <w:snapToGrid w:val="0"/>
        </w:rPr>
      </w:pPr>
      <w:r>
        <w:rPr>
          <w:snapToGrid w:val="0"/>
        </w:rPr>
        <w:tab/>
        <w:t>(a)</w:t>
      </w:r>
      <w:r>
        <w:rPr>
          <w:snapToGrid w:val="0"/>
        </w:rPr>
        <w:tab/>
        <w:t>where the amount financed under the contract is not more than $75 — $5 or, where some other amount is prescribed for the purposes</w:t>
      </w:r>
      <w:bookmarkStart w:id="97" w:name="RuleErr_79"/>
      <w:r>
        <w:rPr>
          <w:snapToGrid w:val="0"/>
        </w:rPr>
        <w:t xml:space="preserve"> of this paragraph</w:t>
      </w:r>
      <w:bookmarkEnd w:id="97"/>
      <w:r>
        <w:rPr>
          <w:snapToGrid w:val="0"/>
        </w:rPr>
        <w:t>, that other amount; or</w:t>
      </w:r>
    </w:p>
    <w:p>
      <w:pPr>
        <w:pStyle w:val="Indenta"/>
        <w:spacing w:before="100"/>
        <w:rPr>
          <w:snapToGrid w:val="0"/>
        </w:rPr>
      </w:pPr>
      <w:r>
        <w:rPr>
          <w:snapToGrid w:val="0"/>
        </w:rPr>
        <w:tab/>
        <w:t>(b)</w:t>
      </w:r>
      <w:r>
        <w:rPr>
          <w:snapToGrid w:val="0"/>
        </w:rPr>
        <w:tab/>
        <w:t>where the amount financed under the contract is more than $75 — $7.50 or, where some other amount is prescribed for the purposes</w:t>
      </w:r>
      <w:bookmarkStart w:id="98" w:name="RuleErr_80"/>
      <w:r>
        <w:rPr>
          <w:snapToGrid w:val="0"/>
        </w:rPr>
        <w:t xml:space="preserve"> of this paragraph</w:t>
      </w:r>
      <w:bookmarkEnd w:id="98"/>
      <w:r>
        <w:rPr>
          <w:snapToGrid w:val="0"/>
        </w:rPr>
        <w:t>, that other amount,</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credit provider shall not enter into a credit sale contract or a loan contract that includes a provision that by reason of subsection (1) is void.</w:t>
      </w:r>
    </w:p>
    <w:p>
      <w:pPr>
        <w:pStyle w:val="Penstart"/>
        <w:spacing w:before="100"/>
        <w:rPr>
          <w:snapToGrid w:val="0"/>
        </w:rPr>
      </w:pPr>
      <w:r>
        <w:rPr>
          <w:snapToGrid w:val="0"/>
        </w:rPr>
        <w:tab/>
        <w:t>Penalty: $2 000.</w:t>
      </w:r>
    </w:p>
    <w:p>
      <w:pPr>
        <w:pStyle w:val="Heading5"/>
        <w:rPr>
          <w:snapToGrid w:val="0"/>
        </w:rPr>
      </w:pPr>
      <w:bookmarkStart w:id="99" w:name="_Toc392496513"/>
      <w:r>
        <w:rPr>
          <w:rStyle w:val="CharSectno"/>
        </w:rPr>
        <w:t>45</w:t>
      </w:r>
      <w:r>
        <w:rPr>
          <w:snapToGrid w:val="0"/>
        </w:rPr>
        <w:t>.</w:t>
      </w:r>
      <w:r>
        <w:rPr>
          <w:snapToGrid w:val="0"/>
        </w:rPr>
        <w:tab/>
        <w:t>Credit provider, on request, to give debtor etc. statement of payments etc.</w:t>
      </w:r>
      <w:bookmarkEnd w:id="99"/>
    </w:p>
    <w:p>
      <w:pPr>
        <w:pStyle w:val="Subsection"/>
        <w:rPr>
          <w:snapToGrid w:val="0"/>
        </w:rPr>
      </w:pPr>
      <w:r>
        <w:rPr>
          <w:snapToGrid w:val="0"/>
        </w:rPr>
        <w:tab/>
        <w:t>(1)</w:t>
      </w:r>
      <w:r>
        <w:rPr>
          <w:snapToGrid w:val="0"/>
        </w:rPr>
        <w:tab/>
        <w:t>Where a credit provider receives a request in writing for a statement under this subsection, together with the prescribed fee (if any) from a debtor under a credit sale contract or a loan contract or from a guarantor who has entered into a contract of guarantee with the credit provider in respect of the obligations of the debtor under a credit sale contract or a loan contract, the credit provider shall within 14 days after receiving the request give to the debtor or guarantor who made the request a statement in writing showing — </w:t>
      </w:r>
    </w:p>
    <w:p>
      <w:pPr>
        <w:pStyle w:val="Indenta"/>
        <w:rPr>
          <w:snapToGrid w:val="0"/>
        </w:rPr>
      </w:pPr>
      <w:r>
        <w:rPr>
          <w:snapToGrid w:val="0"/>
        </w:rPr>
        <w:tab/>
        <w:t>(a)</w:t>
      </w:r>
      <w:r>
        <w:rPr>
          <w:snapToGrid w:val="0"/>
        </w:rPr>
        <w:tab/>
        <w:t>each amount received under the contract by the credit provider and the date on which it was received; and</w:t>
      </w:r>
    </w:p>
    <w:p>
      <w:pPr>
        <w:pStyle w:val="Indenta"/>
        <w:rPr>
          <w:snapToGrid w:val="0"/>
        </w:rPr>
      </w:pPr>
      <w:r>
        <w:rPr>
          <w:snapToGrid w:val="0"/>
        </w:rPr>
        <w:tab/>
        <w:t>(b)</w:t>
      </w:r>
      <w:r>
        <w:rPr>
          <w:snapToGrid w:val="0"/>
        </w:rPr>
        <w:tab/>
        <w:t>each amount due under the contract and payable to the credit provider that has not been received by the credit provider and the date on which it became due; and</w:t>
      </w:r>
    </w:p>
    <w:p>
      <w:pPr>
        <w:pStyle w:val="Indenta"/>
        <w:rPr>
          <w:snapToGrid w:val="0"/>
        </w:rPr>
      </w:pPr>
      <w:r>
        <w:rPr>
          <w:snapToGrid w:val="0"/>
        </w:rPr>
        <w:tab/>
        <w:t>(c)</w:t>
      </w:r>
      <w:r>
        <w:rPr>
          <w:snapToGrid w:val="0"/>
        </w:rPr>
        <w:tab/>
        <w:t>each amount payable under the contract to the credit provider that has not become due and the date on which it becomes due.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credit provider is not required to comply with a request under subsection (1) from a debtor under a credit sale contract or a loan contract or from a guarantor who has entered into a contract of guarantee if, within the period of 3 months immediately preceding the receipt of the request, he has complied with an earlier request from that debtor or guarantor in relation to the credit sale contract, loan contract or contract of guarantee.</w:t>
      </w:r>
    </w:p>
    <w:p>
      <w:pPr>
        <w:pStyle w:val="Heading5"/>
        <w:rPr>
          <w:snapToGrid w:val="0"/>
        </w:rPr>
      </w:pPr>
      <w:bookmarkStart w:id="100" w:name="_Toc392496514"/>
      <w:r>
        <w:rPr>
          <w:rStyle w:val="CharSectno"/>
        </w:rPr>
        <w:t>46</w:t>
      </w:r>
      <w:r>
        <w:rPr>
          <w:snapToGrid w:val="0"/>
        </w:rPr>
        <w:t>.</w:t>
      </w:r>
      <w:r>
        <w:rPr>
          <w:snapToGrid w:val="0"/>
        </w:rPr>
        <w:tab/>
        <w:t>Credit provider, on request, to give debtor etc. copy of some documents</w:t>
      </w:r>
      <w:bookmarkEnd w:id="100"/>
    </w:p>
    <w:p>
      <w:pPr>
        <w:pStyle w:val="Subsection"/>
        <w:rPr>
          <w:snapToGrid w:val="0"/>
        </w:rPr>
      </w:pPr>
      <w:r>
        <w:rPr>
          <w:snapToGrid w:val="0"/>
        </w:rPr>
        <w:tab/>
        <w:t>(1)</w:t>
      </w:r>
      <w:r>
        <w:rPr>
          <w:snapToGrid w:val="0"/>
        </w:rPr>
        <w:tab/>
        <w:t>Where a credit provider receives a request in writing for a copy of a document that he is required by this section to provide together with the prescribed fee (if any) from a debtor under a credit sale contract or a loan contract or from a guarantor who has entered into a contract of guarantee with the credit provider in respect of the obligations of the debtor under a credit sale contract or a loan contract, the credit provider shall within 14 days after receiving the request give to the debtor or guarantor who made the request — </w:t>
      </w:r>
    </w:p>
    <w:p>
      <w:pPr>
        <w:pStyle w:val="Indenta"/>
        <w:rPr>
          <w:snapToGrid w:val="0"/>
        </w:rPr>
      </w:pPr>
      <w:r>
        <w:rPr>
          <w:snapToGrid w:val="0"/>
        </w:rPr>
        <w:tab/>
        <w:t>(a)</w:t>
      </w:r>
      <w:r>
        <w:rPr>
          <w:snapToGrid w:val="0"/>
        </w:rPr>
        <w:tab/>
        <w:t>a copy of the contract or of the offer or other document signed by the debtor or guarantor relating to the contract and to which the request relates; or</w:t>
      </w:r>
    </w:p>
    <w:p>
      <w:pPr>
        <w:pStyle w:val="Indenta"/>
        <w:rPr>
          <w:snapToGrid w:val="0"/>
        </w:rPr>
      </w:pPr>
      <w:r>
        <w:rPr>
          <w:snapToGrid w:val="0"/>
        </w:rPr>
        <w:tab/>
        <w:t>(b)</w:t>
      </w:r>
      <w:r>
        <w:rPr>
          <w:snapToGrid w:val="0"/>
        </w:rPr>
        <w:tab/>
        <w:t>where the request relates to a contract of insurance in relation to which an amount is included in the amount financed — </w:t>
      </w:r>
    </w:p>
    <w:p>
      <w:pPr>
        <w:pStyle w:val="Indenti"/>
        <w:rPr>
          <w:snapToGrid w:val="0"/>
        </w:rPr>
      </w:pPr>
      <w:r>
        <w:rPr>
          <w:snapToGrid w:val="0"/>
        </w:rPr>
        <w:tab/>
        <w:t>(i)</w:t>
      </w:r>
      <w:r>
        <w:rPr>
          <w:snapToGrid w:val="0"/>
        </w:rPr>
        <w:tab/>
        <w:t>a copy of the contract of insurance; or</w:t>
      </w:r>
    </w:p>
    <w:p>
      <w:pPr>
        <w:pStyle w:val="Indenti"/>
        <w:rPr>
          <w:snapToGrid w:val="0"/>
        </w:rPr>
      </w:pPr>
      <w:r>
        <w:rPr>
          <w:snapToGrid w:val="0"/>
        </w:rPr>
        <w:tab/>
        <w:t>(ii)</w:t>
      </w:r>
      <w:r>
        <w:rPr>
          <w:snapToGrid w:val="0"/>
        </w:rPr>
        <w:tab/>
        <w:t>a statement of the terms and conditions of the contract of insurance which affect or concern the rights of the debtor.</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credit provider is not required to comply with a request under subsection (1) from a debtor under a credit sale contract or a loan contract or from a guarantor under a contract of guarantee if, within the period of 3 months immediately preceding the receipt of the request, he has complied with an earlier request from that debtor or guarantor in relation to that credit sale contract, loan contract or contract of guarantee.</w:t>
      </w:r>
    </w:p>
    <w:p>
      <w:pPr>
        <w:pStyle w:val="Heading5"/>
        <w:rPr>
          <w:snapToGrid w:val="0"/>
        </w:rPr>
      </w:pPr>
      <w:bookmarkStart w:id="101" w:name="_Toc392496515"/>
      <w:r>
        <w:rPr>
          <w:rStyle w:val="CharSectno"/>
        </w:rPr>
        <w:t>47</w:t>
      </w:r>
      <w:r>
        <w:rPr>
          <w:snapToGrid w:val="0"/>
        </w:rPr>
        <w:t>.</w:t>
      </w:r>
      <w:r>
        <w:rPr>
          <w:snapToGrid w:val="0"/>
        </w:rPr>
        <w:tab/>
        <w:t>Tribunal may determine reasonable legal fees etc.</w:t>
      </w:r>
      <w:bookmarkEnd w:id="101"/>
    </w:p>
    <w:p>
      <w:pPr>
        <w:pStyle w:val="Subsection"/>
        <w:rPr>
          <w:snapToGrid w:val="0"/>
        </w:rPr>
      </w:pPr>
      <w:r>
        <w:rPr>
          <w:snapToGrid w:val="0"/>
        </w:rPr>
        <w:tab/>
        <w:t>(1)</w:t>
      </w:r>
      <w:r>
        <w:rPr>
          <w:snapToGrid w:val="0"/>
        </w:rPr>
        <w:tab/>
        <w:t>Where a credit provider enters into a credit sale contract or a loan contract that includes a statement of — </w:t>
      </w:r>
    </w:p>
    <w:p>
      <w:pPr>
        <w:pStyle w:val="Indenta"/>
        <w:rPr>
          <w:snapToGrid w:val="0"/>
        </w:rPr>
      </w:pPr>
      <w:r>
        <w:rPr>
          <w:snapToGrid w:val="0"/>
        </w:rPr>
        <w:tab/>
        <w:t>(a)</w:t>
      </w:r>
      <w:r>
        <w:rPr>
          <w:snapToGrid w:val="0"/>
        </w:rPr>
        <w:tab/>
        <w:t>the amount of fees payable to a duly qualified legal practitioner authorised to prepare documents for the contract or for a mortgage entered into in relation to the contract; or</w:t>
      </w:r>
    </w:p>
    <w:p>
      <w:pPr>
        <w:pStyle w:val="Indenta"/>
        <w:rPr>
          <w:snapToGrid w:val="0"/>
        </w:rPr>
      </w:pPr>
      <w:r>
        <w:rPr>
          <w:snapToGrid w:val="0"/>
        </w:rPr>
        <w:tab/>
        <w:t>(b)</w:t>
      </w:r>
      <w:r>
        <w:rPr>
          <w:snapToGrid w:val="0"/>
        </w:rPr>
        <w:tab/>
        <w:t>the amount of any charge prescribed for the purposes of clause 1(g) of Schedule 2 or clause 1(d) of Schedule 4; or</w:t>
      </w:r>
    </w:p>
    <w:p>
      <w:pPr>
        <w:pStyle w:val="Indenta"/>
        <w:rPr>
          <w:snapToGrid w:val="0"/>
        </w:rPr>
      </w:pPr>
      <w:r>
        <w:rPr>
          <w:snapToGrid w:val="0"/>
        </w:rPr>
        <w:tab/>
        <w:t>(c)</w:t>
      </w:r>
      <w:r>
        <w:rPr>
          <w:snapToGrid w:val="0"/>
        </w:rPr>
        <w:tab/>
        <w:t>the value of any consideration of a kind prescribed for the purposes of clause 1(i) of Schedule 2 or clause 1(f) of Schedule 4,</w:t>
      </w:r>
    </w:p>
    <w:p>
      <w:pPr>
        <w:pStyle w:val="Subsection"/>
        <w:rPr>
          <w:snapToGrid w:val="0"/>
        </w:rPr>
      </w:pPr>
      <w:r>
        <w:rPr>
          <w:snapToGrid w:val="0"/>
        </w:rPr>
        <w:tab/>
      </w:r>
      <w:r>
        <w:rPr>
          <w:snapToGrid w:val="0"/>
        </w:rPr>
        <w:tab/>
        <w:t>and the debtor claims that the amount or value is not a reasonable amount or value he may apply to the Tribunal for determination of the amount or value.</w:t>
      </w:r>
    </w:p>
    <w:p>
      <w:pPr>
        <w:pStyle w:val="Subsection"/>
        <w:spacing w:before="180"/>
        <w:rPr>
          <w:snapToGrid w:val="0"/>
        </w:rPr>
      </w:pPr>
      <w:r>
        <w:rPr>
          <w:snapToGrid w:val="0"/>
        </w:rPr>
        <w:tab/>
        <w:t>(2)</w:t>
      </w:r>
      <w:r>
        <w:rPr>
          <w:snapToGrid w:val="0"/>
        </w:rPr>
        <w:tab/>
        <w:t>Where an application is made under subsection (1), the Tribunal shall — </w:t>
      </w:r>
    </w:p>
    <w:p>
      <w:pPr>
        <w:pStyle w:val="Indenta"/>
        <w:rPr>
          <w:snapToGrid w:val="0"/>
        </w:rPr>
      </w:pPr>
      <w:r>
        <w:rPr>
          <w:snapToGrid w:val="0"/>
        </w:rPr>
        <w:tab/>
        <w:t>(a)</w:t>
      </w:r>
      <w:r>
        <w:rPr>
          <w:snapToGrid w:val="0"/>
        </w:rPr>
        <w:tab/>
        <w:t>determine the amount or value and make such orders as are necessary to give effect to its determination; or</w:t>
      </w:r>
    </w:p>
    <w:p>
      <w:pPr>
        <w:pStyle w:val="Indenta"/>
        <w:rPr>
          <w:snapToGrid w:val="0"/>
        </w:rPr>
      </w:pPr>
      <w:r>
        <w:rPr>
          <w:snapToGrid w:val="0"/>
        </w:rPr>
        <w:tab/>
        <w:t>(b)</w:t>
      </w:r>
      <w:r>
        <w:rPr>
          <w:snapToGrid w:val="0"/>
        </w:rPr>
        <w:tab/>
        <w:t>dismiss the application.</w:t>
      </w:r>
    </w:p>
    <w:p>
      <w:pPr>
        <w:pStyle w:val="Subsection"/>
        <w:spacing w:before="180"/>
        <w:rPr>
          <w:snapToGrid w:val="0"/>
        </w:rPr>
      </w:pPr>
      <w:r>
        <w:rPr>
          <w:snapToGrid w:val="0"/>
        </w:rPr>
        <w:tab/>
        <w:t>(3)</w:t>
      </w:r>
      <w:r>
        <w:rPr>
          <w:snapToGrid w:val="0"/>
        </w:rPr>
        <w:tab/>
        <w:t>Where the Tribunal makes a determination under this section in relation to a credit sale contract or a loan contract, the contract as varied in accordance with the determination shall be deemed not to fail to comply with section 35 or 36 by reason only of the determination.</w:t>
      </w:r>
    </w:p>
    <w:p>
      <w:pPr>
        <w:pStyle w:val="Heading3"/>
        <w:spacing w:before="300"/>
        <w:rPr>
          <w:snapToGrid w:val="0"/>
        </w:rPr>
      </w:pPr>
      <w:bookmarkStart w:id="102" w:name="_Toc378152592"/>
      <w:bookmarkStart w:id="103" w:name="_Toc392496516"/>
      <w:r>
        <w:rPr>
          <w:rStyle w:val="CharDivNo"/>
        </w:rPr>
        <w:t>Division 2</w:t>
      </w:r>
      <w:r>
        <w:rPr>
          <w:snapToGrid w:val="0"/>
        </w:rPr>
        <w:t> — </w:t>
      </w:r>
      <w:r>
        <w:rPr>
          <w:rStyle w:val="CharDivText"/>
        </w:rPr>
        <w:t>Continuing credit contracts</w:t>
      </w:r>
      <w:bookmarkEnd w:id="102"/>
      <w:bookmarkEnd w:id="103"/>
    </w:p>
    <w:p>
      <w:pPr>
        <w:pStyle w:val="Heading5"/>
        <w:rPr>
          <w:snapToGrid w:val="0"/>
        </w:rPr>
      </w:pPr>
      <w:bookmarkStart w:id="104" w:name="_Toc392496517"/>
      <w:r>
        <w:rPr>
          <w:rStyle w:val="CharSectno"/>
        </w:rPr>
        <w:t>48</w:t>
      </w:r>
      <w:r>
        <w:rPr>
          <w:snapToGrid w:val="0"/>
        </w:rPr>
        <w:t>.</w:t>
      </w:r>
      <w:r>
        <w:rPr>
          <w:snapToGrid w:val="0"/>
        </w:rPr>
        <w:tab/>
        <w:t>Interpretation</w:t>
      </w:r>
      <w:bookmarkEnd w:id="104"/>
    </w:p>
    <w:p>
      <w:pPr>
        <w:pStyle w:val="Subsection"/>
        <w:spacing w:before="180"/>
        <w:rPr>
          <w:snapToGrid w:val="0"/>
        </w:rPr>
      </w:pPr>
      <w:r>
        <w:rPr>
          <w:snapToGrid w:val="0"/>
        </w:rPr>
        <w:tab/>
        <w:t>(1)</w:t>
      </w:r>
      <w:r>
        <w:rPr>
          <w:snapToGrid w:val="0"/>
        </w:rPr>
        <w:tab/>
        <w:t>For the purposes</w:t>
      </w:r>
      <w:bookmarkStart w:id="105" w:name="RuleErr_48"/>
      <w:r>
        <w:rPr>
          <w:snapToGrid w:val="0"/>
        </w:rPr>
        <w:t xml:space="preserve"> of this section</w:t>
      </w:r>
      <w:bookmarkEnd w:id="105"/>
      <w:r>
        <w:rPr>
          <w:snapToGrid w:val="0"/>
        </w:rPr>
        <w:t> — </w:t>
      </w:r>
    </w:p>
    <w:p>
      <w:pPr>
        <w:pStyle w:val="Indenta"/>
        <w:rPr>
          <w:snapToGrid w:val="0"/>
        </w:rPr>
      </w:pPr>
      <w:r>
        <w:rPr>
          <w:snapToGrid w:val="0"/>
        </w:rPr>
        <w:tab/>
        <w:t>(a)</w:t>
      </w:r>
      <w:r>
        <w:rPr>
          <w:snapToGrid w:val="0"/>
        </w:rPr>
        <w:tab/>
        <w:t>a reference to an agreement includes a reference to an arrangement, understanding or course of dealing; and</w:t>
      </w:r>
    </w:p>
    <w:p>
      <w:pPr>
        <w:pStyle w:val="Indenta"/>
        <w:rPr>
          <w:snapToGrid w:val="0"/>
        </w:rPr>
      </w:pPr>
      <w:r>
        <w:rPr>
          <w:snapToGrid w:val="0"/>
        </w:rPr>
        <w:tab/>
        <w:t>(b)</w:t>
      </w:r>
      <w:r>
        <w:rPr>
          <w:snapToGrid w:val="0"/>
        </w:rPr>
        <w:tab/>
        <w:t>a person shall be deemed to agree with another person with respect to a matter if the first</w:t>
      </w:r>
      <w:r>
        <w:rPr>
          <w:snapToGrid w:val="0"/>
        </w:rPr>
        <w:noBreakHyphen/>
      </w:r>
      <w:bookmarkStart w:id="106" w:name="RuleErr_142"/>
      <w:r>
        <w:rPr>
          <w:snapToGrid w:val="0"/>
        </w:rPr>
        <w:t>mentioned</w:t>
      </w:r>
      <w:bookmarkEnd w:id="106"/>
      <w:r>
        <w:rPr>
          <w:snapToGrid w:val="0"/>
        </w:rPr>
        <w:t xml:space="preserve"> person has an agreement, arrangement or understanding with the other person, or is engaged in a course of dealing with the other person, with respect to the matter.</w:t>
      </w:r>
    </w:p>
    <w:p>
      <w:pPr>
        <w:pStyle w:val="Subsection"/>
        <w:keepNext/>
        <w:spacing w:before="180"/>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 person (in this section referred to as </w:t>
      </w:r>
      <w:r>
        <w:t xml:space="preserve">the </w:t>
      </w:r>
      <w:r>
        <w:rPr>
          <w:rStyle w:val="CharDefText"/>
        </w:rPr>
        <w:t>creditor</w:t>
      </w:r>
      <w:r>
        <w:rPr>
          <w:snapToGrid w:val="0"/>
        </w:rPr>
        <w:t>), in the course of a business carried on by him, agrees with another person (not being a body corporate) to provide credit to that other person in respect of — </w:t>
      </w:r>
    </w:p>
    <w:p>
      <w:pPr>
        <w:pStyle w:val="Indenti"/>
        <w:rPr>
          <w:snapToGrid w:val="0"/>
        </w:rPr>
      </w:pPr>
      <w:r>
        <w:rPr>
          <w:snapToGrid w:val="0"/>
        </w:rPr>
        <w:tab/>
        <w:t>(i)</w:t>
      </w:r>
      <w:r>
        <w:rPr>
          <w:snapToGrid w:val="0"/>
        </w:rPr>
        <w:tab/>
        <w:t>payment for goods or services or cash supplied by the creditor to that other person from time to time; or</w:t>
      </w:r>
    </w:p>
    <w:p>
      <w:pPr>
        <w:pStyle w:val="Indenti"/>
        <w:rPr>
          <w:snapToGrid w:val="0"/>
        </w:rPr>
      </w:pPr>
      <w:r>
        <w:rPr>
          <w:snapToGrid w:val="0"/>
        </w:rPr>
        <w:tab/>
        <w:t>(ii)</w:t>
      </w:r>
      <w:r>
        <w:rPr>
          <w:snapToGrid w:val="0"/>
        </w:rPr>
        <w:tab/>
        <w:t xml:space="preserve">payment by the creditor to a third person in respect of goods or services or cash supplied by that third person to that other person from time to time;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amounts owing to the creditor from time to time under the agreement are or are to be calculated on the basis that all amounts owing, and all payments made, by that other person under or in respect of the agreement are entered in one or more accounts kept for the purpose of the agreement,</w:t>
      </w:r>
    </w:p>
    <w:p>
      <w:pPr>
        <w:pStyle w:val="Subsection"/>
        <w:rPr>
          <w:snapToGrid w:val="0"/>
        </w:rPr>
      </w:pPr>
      <w:r>
        <w:rPr>
          <w:snapToGrid w:val="0"/>
        </w:rPr>
        <w:tab/>
      </w:r>
      <w:r>
        <w:rPr>
          <w:snapToGrid w:val="0"/>
        </w:rPr>
        <w:tab/>
        <w:t>the agreement is, for the purposes</w:t>
      </w:r>
      <w:bookmarkStart w:id="107" w:name="RuleErr_108"/>
      <w:r>
        <w:rPr>
          <w:snapToGrid w:val="0"/>
        </w:rPr>
        <w:t xml:space="preserve"> of this Act</w:t>
      </w:r>
      <w:bookmarkEnd w:id="107"/>
      <w:r>
        <w:rPr>
          <w:snapToGrid w:val="0"/>
        </w:rPr>
        <w:t>, a continuing credit contract.</w:t>
      </w:r>
    </w:p>
    <w:p>
      <w:pPr>
        <w:pStyle w:val="Subsection"/>
        <w:rPr>
          <w:snapToGrid w:val="0"/>
        </w:rPr>
      </w:pPr>
      <w:r>
        <w:rPr>
          <w:snapToGrid w:val="0"/>
        </w:rPr>
        <w:tab/>
        <w:t>(3)</w:t>
      </w:r>
      <w:r>
        <w:rPr>
          <w:snapToGrid w:val="0"/>
        </w:rPr>
        <w:tab/>
        <w:t>Where the creditor agrees to make payments to a third person in respect of goods or services or cash supplied by that third person to the other person, as referred to in subsection (2)(a)(ii), then, for the purposes</w:t>
      </w:r>
      <w:bookmarkStart w:id="108" w:name="RuleErr_109"/>
      <w:r>
        <w:rPr>
          <w:snapToGrid w:val="0"/>
        </w:rPr>
        <w:t xml:space="preserve"> of this Act</w:t>
      </w:r>
      <w:bookmarkEnd w:id="108"/>
      <w:r>
        <w:rPr>
          <w:snapToGrid w:val="0"/>
        </w:rPr>
        <w:t>, the creditor shall, in respect of any goods or services or cash so supplied, be deemed to have provided credit to that other person to the extent of any payments made or to be made by the creditor to that third person.</w:t>
      </w:r>
    </w:p>
    <w:p>
      <w:pPr>
        <w:pStyle w:val="Subsection"/>
        <w:spacing w:before="100"/>
        <w:rPr>
          <w:snapToGrid w:val="0"/>
        </w:rPr>
      </w:pPr>
      <w:r>
        <w:rPr>
          <w:snapToGrid w:val="0"/>
        </w:rPr>
        <w:tab/>
        <w:t>(4)</w:t>
      </w:r>
      <w:r>
        <w:rPr>
          <w:snapToGrid w:val="0"/>
        </w:rPr>
        <w:tab/>
        <w:t>Where in respect of the provision of credit — </w:t>
      </w:r>
    </w:p>
    <w:p>
      <w:pPr>
        <w:pStyle w:val="Indenta"/>
        <w:rPr>
          <w:snapToGrid w:val="0"/>
        </w:rPr>
      </w:pPr>
      <w:r>
        <w:rPr>
          <w:snapToGrid w:val="0"/>
        </w:rPr>
        <w:tab/>
        <w:t>(a)</w:t>
      </w:r>
      <w:r>
        <w:rPr>
          <w:snapToGrid w:val="0"/>
        </w:rPr>
        <w:tab/>
        <w:t>the only credit charge is a pre</w:t>
      </w:r>
      <w:r>
        <w:rPr>
          <w:snapToGrid w:val="0"/>
        </w:rPr>
        <w:noBreakHyphen/>
        <w:t>determined credit charge; or</w:t>
      </w:r>
    </w:p>
    <w:p>
      <w:pPr>
        <w:pStyle w:val="Indenta"/>
        <w:keepNext/>
        <w:rPr>
          <w:snapToGrid w:val="0"/>
        </w:rPr>
      </w:pPr>
      <w:r>
        <w:rPr>
          <w:snapToGrid w:val="0"/>
        </w:rPr>
        <w:tab/>
        <w:t>(b)</w:t>
      </w:r>
      <w:r>
        <w:rPr>
          <w:snapToGrid w:val="0"/>
        </w:rPr>
        <w:tab/>
        <w:t>the credit is, or is to be, provided by specified instalments,</w:t>
      </w:r>
    </w:p>
    <w:p>
      <w:pPr>
        <w:pStyle w:val="Subsection"/>
        <w:spacing w:before="100"/>
        <w:rPr>
          <w:snapToGrid w:val="0"/>
        </w:rPr>
      </w:pPr>
      <w:r>
        <w:rPr>
          <w:snapToGrid w:val="0"/>
        </w:rPr>
        <w:tab/>
      </w:r>
      <w:r>
        <w:rPr>
          <w:snapToGrid w:val="0"/>
        </w:rPr>
        <w:tab/>
        <w:t>the provision of the credit is not, and does not form part of, the provision of credit under a continuing credit contract.</w:t>
      </w:r>
    </w:p>
    <w:p>
      <w:pPr>
        <w:pStyle w:val="Subsection"/>
        <w:spacing w:before="100"/>
        <w:rPr>
          <w:snapToGrid w:val="0"/>
        </w:rPr>
      </w:pPr>
      <w:r>
        <w:rPr>
          <w:snapToGrid w:val="0"/>
        </w:rPr>
        <w:tab/>
        <w:t>(5)</w:t>
      </w:r>
      <w:r>
        <w:rPr>
          <w:snapToGrid w:val="0"/>
        </w:rPr>
        <w:tab/>
        <w:t>This section does not apply to an agreement of a class or description of agreements prescribed as being continuing credit contracts that are not continuing credit contracts within the meaning</w:t>
      </w:r>
      <w:bookmarkStart w:id="109" w:name="RuleErr_49"/>
      <w:r>
        <w:rPr>
          <w:snapToGrid w:val="0"/>
        </w:rPr>
        <w:t xml:space="preserve"> of this section</w:t>
      </w:r>
      <w:bookmarkEnd w:id="109"/>
      <w:r>
        <w:rPr>
          <w:snapToGrid w:val="0"/>
        </w:rPr>
        <w:t>.</w:t>
      </w:r>
    </w:p>
    <w:p>
      <w:pPr>
        <w:pStyle w:val="Heading5"/>
        <w:rPr>
          <w:snapToGrid w:val="0"/>
        </w:rPr>
      </w:pPr>
      <w:bookmarkStart w:id="110" w:name="_Toc392496518"/>
      <w:r>
        <w:rPr>
          <w:rStyle w:val="CharSectno"/>
        </w:rPr>
        <w:t>49</w:t>
      </w:r>
      <w:r>
        <w:rPr>
          <w:snapToGrid w:val="0"/>
        </w:rPr>
        <w:t>.</w:t>
      </w:r>
      <w:r>
        <w:rPr>
          <w:snapToGrid w:val="0"/>
        </w:rPr>
        <w:tab/>
        <w:t>Application of Part</w:t>
      </w:r>
      <w:bookmarkEnd w:id="110"/>
    </w:p>
    <w:p>
      <w:pPr>
        <w:pStyle w:val="Subsection"/>
        <w:rPr>
          <w:snapToGrid w:val="0"/>
        </w:rPr>
      </w:pPr>
      <w:r>
        <w:rPr>
          <w:snapToGrid w:val="0"/>
        </w:rPr>
        <w:tab/>
        <w:t>(1)</w:t>
      </w:r>
      <w:r>
        <w:rPr>
          <w:snapToGrid w:val="0"/>
        </w:rPr>
        <w:tab/>
        <w:t>Subject to subsection (2), a reference in this Part (other than in section 48) to a continuing credit contract is a reference to a continuing credit contract under which — </w:t>
      </w:r>
    </w:p>
    <w:p>
      <w:pPr>
        <w:pStyle w:val="Indenta"/>
        <w:rPr>
          <w:snapToGrid w:val="0"/>
        </w:rPr>
      </w:pPr>
      <w:r>
        <w:rPr>
          <w:snapToGrid w:val="0"/>
        </w:rPr>
        <w:tab/>
        <w:t>(a)</w:t>
      </w:r>
      <w:r>
        <w:rPr>
          <w:snapToGrid w:val="0"/>
        </w:rPr>
        <w:tab/>
        <w:t>where credit is or may be provided to the debtor by way of the supply of cash by the credit provider or any other person (whether to the debtor or to another person) — a charge is or may be made for the provision of credit in respect of which the annual percentage rate exceeds 14%; or</w:t>
      </w:r>
    </w:p>
    <w:p>
      <w:pPr>
        <w:pStyle w:val="Indenta"/>
        <w:rPr>
          <w:snapToGrid w:val="0"/>
        </w:rPr>
      </w:pPr>
      <w:r>
        <w:rPr>
          <w:snapToGrid w:val="0"/>
        </w:rPr>
        <w:tab/>
        <w:t>(b)</w:t>
      </w:r>
      <w:r>
        <w:rPr>
          <w:snapToGrid w:val="0"/>
        </w:rPr>
        <w:tab/>
        <w:t>where credit is or may be provided to the debtor by the credit provider in respect of payment for goods or services supplied by the credit provider or any other person (whether to the debtor or to another person) — </w:t>
      </w:r>
    </w:p>
    <w:p>
      <w:pPr>
        <w:pStyle w:val="Indenti"/>
        <w:rPr>
          <w:snapToGrid w:val="0"/>
        </w:rPr>
      </w:pPr>
      <w:r>
        <w:rPr>
          <w:snapToGrid w:val="0"/>
        </w:rPr>
        <w:tab/>
        <w:t>(i)</w:t>
      </w:r>
      <w:r>
        <w:rPr>
          <w:snapToGrid w:val="0"/>
        </w:rPr>
        <w:tab/>
        <w:t>a charge, other than an account charge, is or may be made for the provision of credit; or</w:t>
      </w:r>
    </w:p>
    <w:p>
      <w:pPr>
        <w:pStyle w:val="Indenti"/>
        <w:rPr>
          <w:snapToGrid w:val="0"/>
        </w:rPr>
      </w:pPr>
      <w:r>
        <w:rPr>
          <w:snapToGrid w:val="0"/>
        </w:rPr>
        <w:tab/>
        <w:t>(ii)</w:t>
      </w:r>
      <w:r>
        <w:rPr>
          <w:snapToGrid w:val="0"/>
        </w:rPr>
        <w:tab/>
        <w:t>an amount, other than an account charge, owing at any time by the debtor is not required to be paid within the period of 4 months after it is first owed; or</w:t>
      </w:r>
    </w:p>
    <w:p>
      <w:pPr>
        <w:pStyle w:val="Indenti"/>
        <w:rPr>
          <w:snapToGrid w:val="0"/>
        </w:rPr>
      </w:pPr>
      <w:r>
        <w:rPr>
          <w:snapToGrid w:val="0"/>
        </w:rPr>
        <w:tab/>
        <w:t>(iii)</w:t>
      </w:r>
      <w:r>
        <w:rPr>
          <w:snapToGrid w:val="0"/>
        </w:rPr>
        <w:tab/>
        <w:t>an amount, other than an account charge, owing at any time by the debtor is or will become payable by 5 or more instalments or by a deposit and 4 or more instalments.</w:t>
      </w:r>
    </w:p>
    <w:p>
      <w:pPr>
        <w:pStyle w:val="Subsection"/>
        <w:rPr>
          <w:snapToGrid w:val="0"/>
        </w:rPr>
      </w:pPr>
      <w:r>
        <w:rPr>
          <w:snapToGrid w:val="0"/>
        </w:rPr>
        <w:tab/>
        <w:t>(2)</w:t>
      </w:r>
      <w:r>
        <w:rPr>
          <w:snapToGrid w:val="0"/>
        </w:rPr>
        <w:tab/>
        <w:t>This Part does not apply to a continuing credit contract under which — </w:t>
      </w:r>
    </w:p>
    <w:p>
      <w:pPr>
        <w:pStyle w:val="Indenta"/>
        <w:rPr>
          <w:snapToGrid w:val="0"/>
        </w:rPr>
      </w:pPr>
      <w:r>
        <w:rPr>
          <w:snapToGrid w:val="0"/>
        </w:rPr>
        <w:tab/>
        <w:t>(a)</w:t>
      </w:r>
      <w:r>
        <w:rPr>
          <w:snapToGrid w:val="0"/>
        </w:rPr>
        <w:tab/>
        <w:t>where credit is or may be provided to the debtor by way of the supply of cash by the credit provider or any other person (whether to the debtor or to another person) — a charge is or may be made for the provision of credit in respect of which, where the payment of a debt or other pecuniary obligation or the performance of any other obligation under the continuing credit contract is secured by a mortgage of land — there is an acceptable rate of interest that does not exceed 14% and a higher annual percentage rate that exceeds 14% but does not exceed the acceptable rate by more than 2%; or</w:t>
      </w:r>
    </w:p>
    <w:p>
      <w:pPr>
        <w:pStyle w:val="Indenta"/>
        <w:rPr>
          <w:snapToGrid w:val="0"/>
        </w:rPr>
      </w:pPr>
      <w:r>
        <w:rPr>
          <w:snapToGrid w:val="0"/>
        </w:rPr>
        <w:tab/>
        <w:t>(b)</w:t>
      </w:r>
      <w:r>
        <w:rPr>
          <w:snapToGrid w:val="0"/>
        </w:rPr>
        <w:tab/>
        <w:t>an amount exceeding $20 000 is agreed as the maximum amount that at any time may be owed by the debtor under the contract; or</w:t>
      </w:r>
    </w:p>
    <w:p>
      <w:pPr>
        <w:pStyle w:val="Indenta"/>
        <w:rPr>
          <w:snapToGrid w:val="0"/>
        </w:rPr>
      </w:pPr>
      <w:r>
        <w:rPr>
          <w:snapToGrid w:val="0"/>
        </w:rPr>
        <w:tab/>
        <w:t>(c)</w:t>
      </w:r>
      <w:r>
        <w:rPr>
          <w:snapToGrid w:val="0"/>
        </w:rPr>
        <w:tab/>
        <w:t>a bank or a pastoral finance company provides credit to a person by overdraft on current account.</w:t>
      </w:r>
    </w:p>
    <w:p>
      <w:pPr>
        <w:pStyle w:val="Subsection"/>
        <w:rPr>
          <w:snapToGrid w:val="0"/>
        </w:rPr>
      </w:pPr>
      <w:r>
        <w:rPr>
          <w:snapToGrid w:val="0"/>
        </w:rPr>
        <w:tab/>
        <w:t>(3)</w:t>
      </w:r>
      <w:r>
        <w:rPr>
          <w:snapToGrid w:val="0"/>
        </w:rPr>
        <w:tab/>
        <w:t>For the purposes of subsection (2)(b), a continuing credit contract shall be deemed not to be a contract under which an amount exceeding $20 000 is agreed as the maximum amount that at any time may be owed by the debtor under the contract where — </w:t>
      </w:r>
    </w:p>
    <w:p>
      <w:pPr>
        <w:pStyle w:val="Indenta"/>
        <w:rPr>
          <w:snapToGrid w:val="0"/>
        </w:rPr>
      </w:pPr>
      <w:r>
        <w:rPr>
          <w:snapToGrid w:val="0"/>
        </w:rPr>
        <w:tab/>
        <w:t>(a)</w:t>
      </w:r>
      <w:r>
        <w:rPr>
          <w:snapToGrid w:val="0"/>
        </w:rPr>
        <w:tab/>
        <w:t>under the contract, the debtor may not, otherwise than by reason of his default, owe more than $20 000 excluding any credit charge; or</w:t>
      </w:r>
    </w:p>
    <w:p>
      <w:pPr>
        <w:pStyle w:val="Indenta"/>
        <w:rPr>
          <w:snapToGrid w:val="0"/>
        </w:rPr>
      </w:pPr>
      <w:r>
        <w:rPr>
          <w:snapToGrid w:val="0"/>
        </w:rPr>
        <w:tab/>
        <w:t>(b)</w:t>
      </w:r>
      <w:r>
        <w:rPr>
          <w:snapToGrid w:val="0"/>
        </w:rPr>
        <w:tab/>
        <w:t>when the contract is made, it is probable, having regard to the terms of the contract and all other relevant considerations, that the amount owed by the debtor under the contract will not at any time exceed $20 000 excluding any credit charge.</w:t>
      </w:r>
    </w:p>
    <w:p>
      <w:pPr>
        <w:pStyle w:val="Subsection"/>
        <w:rPr>
          <w:snapToGrid w:val="0"/>
        </w:rPr>
      </w:pPr>
      <w:r>
        <w:rPr>
          <w:snapToGrid w:val="0"/>
        </w:rPr>
        <w:tab/>
        <w:t>(4)</w:t>
      </w:r>
      <w:r>
        <w:rPr>
          <w:snapToGrid w:val="0"/>
        </w:rPr>
        <w:tab/>
        <w:t>Where more than one account is maintained under a continuing credit contract, this Division (this section and sections 58, 59, 60 and 66 excepted) has effect as if separate continuing credit contracts in the same terms as the contract under which the accounts are maintained had been entered into in relation to each account.</w:t>
      </w:r>
    </w:p>
    <w:p>
      <w:pPr>
        <w:pStyle w:val="Heading5"/>
        <w:rPr>
          <w:snapToGrid w:val="0"/>
        </w:rPr>
      </w:pPr>
      <w:bookmarkStart w:id="111" w:name="_Toc392496519"/>
      <w:r>
        <w:rPr>
          <w:rStyle w:val="CharSectno"/>
        </w:rPr>
        <w:t>50</w:t>
      </w:r>
      <w:r>
        <w:rPr>
          <w:snapToGrid w:val="0"/>
        </w:rPr>
        <w:t>.</w:t>
      </w:r>
      <w:r>
        <w:rPr>
          <w:snapToGrid w:val="0"/>
        </w:rPr>
        <w:tab/>
        <w:t>Billing cycle, meaning and maximum period of</w:t>
      </w:r>
      <w:bookmarkEnd w:id="111"/>
    </w:p>
    <w:p>
      <w:pPr>
        <w:pStyle w:val="Subsection"/>
        <w:rPr>
          <w:snapToGrid w:val="0"/>
        </w:rPr>
      </w:pPr>
      <w:r>
        <w:rPr>
          <w:snapToGrid w:val="0"/>
        </w:rPr>
        <w:tab/>
        <w:t>(1)</w:t>
      </w:r>
      <w:r>
        <w:rPr>
          <w:snapToGrid w:val="0"/>
        </w:rPr>
        <w:tab/>
        <w:t>For the purposes</w:t>
      </w:r>
      <w:bookmarkStart w:id="112" w:name="RuleErr_110"/>
      <w:r>
        <w:rPr>
          <w:snapToGrid w:val="0"/>
        </w:rPr>
        <w:t xml:space="preserve"> of this Act</w:t>
      </w:r>
      <w:bookmarkEnd w:id="112"/>
      <w:r>
        <w:rPr>
          <w:snapToGrid w:val="0"/>
        </w:rPr>
        <w:t>, a reference to a billing cycle in relation to a continuing credit contract is a reference to the period applied from time to time in accordance with the contract as the billing cycle in relation to the contract.</w:t>
      </w:r>
    </w:p>
    <w:p>
      <w:pPr>
        <w:pStyle w:val="Subsection"/>
        <w:rPr>
          <w:snapToGrid w:val="0"/>
        </w:rPr>
      </w:pPr>
      <w:r>
        <w:rPr>
          <w:snapToGrid w:val="0"/>
        </w:rPr>
        <w:tab/>
        <w:t>(2)</w:t>
      </w:r>
      <w:r>
        <w:rPr>
          <w:snapToGrid w:val="0"/>
        </w:rPr>
        <w:tab/>
        <w:t>A credit provider under a continuing credit contract shall not apply as a billing cycle for the purposes of section 61 or Schedule 7 a period exceeding 40 days.</w:t>
      </w:r>
    </w:p>
    <w:p>
      <w:pPr>
        <w:pStyle w:val="Heading5"/>
        <w:spacing w:before="240"/>
        <w:rPr>
          <w:snapToGrid w:val="0"/>
        </w:rPr>
      </w:pPr>
      <w:bookmarkStart w:id="113" w:name="_Toc392496520"/>
      <w:r>
        <w:rPr>
          <w:rStyle w:val="CharSectno"/>
        </w:rPr>
        <w:t>51</w:t>
      </w:r>
      <w:r>
        <w:rPr>
          <w:snapToGrid w:val="0"/>
        </w:rPr>
        <w:t>.</w:t>
      </w:r>
      <w:r>
        <w:rPr>
          <w:snapToGrid w:val="0"/>
        </w:rPr>
        <w:tab/>
        <w:t>Payment of supplier by credit provider on behalf of debtor</w:t>
      </w:r>
      <w:bookmarkEnd w:id="113"/>
    </w:p>
    <w:p>
      <w:pPr>
        <w:pStyle w:val="Subsection"/>
        <w:rPr>
          <w:snapToGrid w:val="0"/>
        </w:rPr>
      </w:pPr>
      <w:r>
        <w:rPr>
          <w:snapToGrid w:val="0"/>
        </w:rPr>
        <w:tab/>
      </w:r>
      <w:r>
        <w:rPr>
          <w:snapToGrid w:val="0"/>
        </w:rPr>
        <w:tab/>
        <w:t>Where, under a continuing credit contract, the credit provider satisfies the amount payable by the debtor to a supplier in respect of the supply of goods or services or cash, the credit provider shall, for the purposes of this Division, be deemed to have paid to the supplier the amount (whether or not it is the same as the first</w:t>
      </w:r>
      <w:r>
        <w:rPr>
          <w:snapToGrid w:val="0"/>
        </w:rPr>
        <w:noBreakHyphen/>
      </w:r>
      <w:bookmarkStart w:id="114" w:name="RuleErr_143"/>
      <w:r>
        <w:rPr>
          <w:snapToGrid w:val="0"/>
        </w:rPr>
        <w:t>mentioned</w:t>
      </w:r>
      <w:bookmarkEnd w:id="114"/>
      <w:r>
        <w:rPr>
          <w:snapToGrid w:val="0"/>
        </w:rPr>
        <w:t xml:space="preserve"> amount) that would have been payable by the debtor to satisfy the amount so payable.</w:t>
      </w:r>
    </w:p>
    <w:p>
      <w:pPr>
        <w:pStyle w:val="Heading5"/>
        <w:spacing w:before="240"/>
        <w:rPr>
          <w:snapToGrid w:val="0"/>
        </w:rPr>
      </w:pPr>
      <w:bookmarkStart w:id="115" w:name="_Toc392496521"/>
      <w:r>
        <w:rPr>
          <w:rStyle w:val="CharSectno"/>
        </w:rPr>
        <w:t>52</w:t>
      </w:r>
      <w:r>
        <w:rPr>
          <w:snapToGrid w:val="0"/>
        </w:rPr>
        <w:t>.</w:t>
      </w:r>
      <w:r>
        <w:rPr>
          <w:snapToGrid w:val="0"/>
        </w:rPr>
        <w:tab/>
        <w:t>Chargeable amount for billing cycle, meaning and maximum of</w:t>
      </w:r>
      <w:bookmarkEnd w:id="115"/>
    </w:p>
    <w:p>
      <w:pPr>
        <w:pStyle w:val="Subsection"/>
        <w:rPr>
          <w:snapToGrid w:val="0"/>
        </w:rPr>
      </w:pPr>
      <w:r>
        <w:rPr>
          <w:snapToGrid w:val="0"/>
        </w:rPr>
        <w:tab/>
        <w:t>(1)</w:t>
      </w:r>
      <w:r>
        <w:rPr>
          <w:snapToGrid w:val="0"/>
        </w:rPr>
        <w:tab/>
        <w:t>Subject to this section, a reference in this Division to the chargeable amount in respect of a billing cycle of a continuing credit contract is a reference to the sum of such of the amounts included in the statement of account referred to in section 61 for that billing cycle as, under the contract, the credit provider determines constitutes the chargeable amount, being an amount not exceeding — </w:t>
      </w:r>
    </w:p>
    <w:p>
      <w:pPr>
        <w:pStyle w:val="Indenta"/>
        <w:rPr>
          <w:snapToGrid w:val="0"/>
        </w:rPr>
      </w:pPr>
      <w:r>
        <w:rPr>
          <w:snapToGrid w:val="0"/>
        </w:rPr>
        <w:tab/>
        <w:t>(a)</w:t>
      </w:r>
      <w:r>
        <w:rPr>
          <w:snapToGrid w:val="0"/>
        </w:rPr>
        <w:tab/>
        <w:t>the amount that is the amount owed under the contract by the debtor immediately before the commencement of the billing cycle less amounts included in the statement of account in respect of payments by the debtor during the billing cycle; or</w:t>
      </w:r>
    </w:p>
    <w:p>
      <w:pPr>
        <w:pStyle w:val="Indenta"/>
        <w:rPr>
          <w:snapToGrid w:val="0"/>
        </w:rPr>
      </w:pPr>
      <w:r>
        <w:rPr>
          <w:snapToGrid w:val="0"/>
        </w:rPr>
        <w:tab/>
        <w:t>(b)</w:t>
      </w:r>
      <w:r>
        <w:rPr>
          <w:snapToGrid w:val="0"/>
        </w:rPr>
        <w:tab/>
        <w:t>the amount that is the sum of the balances owed under the contract by the debtor at the end of each day of the billing cycle, divided by the number of days in the billing cycle,</w:t>
      </w:r>
    </w:p>
    <w:p>
      <w:pPr>
        <w:pStyle w:val="Subsection"/>
        <w:spacing w:before="120"/>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A credit provider shall not determine as an amount constituting the chargeable amount for a billing cycle of a continuing credit contract an amount that exceeds the greater of the amounts referred to in subsection (1)(a) and (b).</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Where an amount determined as an amount constituting the chargeable amount for a billing cycle exceeds the greater of the amounts referred to in subsection (1)(a) and (b), the chargeable amount for that billing cycle shall be deemed, for the purposes of this Division, to be the lesser of the amounts referred to in subsection (1)(a) and (b).</w:t>
      </w:r>
    </w:p>
    <w:p>
      <w:pPr>
        <w:pStyle w:val="Heading5"/>
        <w:rPr>
          <w:snapToGrid w:val="0"/>
        </w:rPr>
      </w:pPr>
      <w:bookmarkStart w:id="116" w:name="_Toc392496522"/>
      <w:r>
        <w:rPr>
          <w:rStyle w:val="CharSectno"/>
        </w:rPr>
        <w:t>53</w:t>
      </w:r>
      <w:r>
        <w:rPr>
          <w:snapToGrid w:val="0"/>
        </w:rPr>
        <w:t>.</w:t>
      </w:r>
      <w:r>
        <w:rPr>
          <w:snapToGrid w:val="0"/>
        </w:rPr>
        <w:tab/>
        <w:t>Amount payable under contract, restrictions as to</w:t>
      </w:r>
      <w:bookmarkEnd w:id="116"/>
    </w:p>
    <w:p>
      <w:pPr>
        <w:pStyle w:val="Subsection"/>
        <w:keepNext/>
        <w:rPr>
          <w:snapToGrid w:val="0"/>
        </w:rPr>
      </w:pPr>
      <w:r>
        <w:rPr>
          <w:snapToGrid w:val="0"/>
        </w:rPr>
        <w:tab/>
        <w:t>(1)</w:t>
      </w:r>
      <w:r>
        <w:rPr>
          <w:snapToGrid w:val="0"/>
        </w:rPr>
        <w:tab/>
        <w:t>A provision in a continuing credit contract which requires the debtor to pay to the credit provider an amount other than an amount that is — </w:t>
      </w:r>
    </w:p>
    <w:p>
      <w:pPr>
        <w:pStyle w:val="Indenta"/>
        <w:rPr>
          <w:snapToGrid w:val="0"/>
        </w:rPr>
      </w:pPr>
      <w:r>
        <w:rPr>
          <w:snapToGrid w:val="0"/>
        </w:rPr>
        <w:tab/>
        <w:t>(a)</w:t>
      </w:r>
      <w:r>
        <w:rPr>
          <w:snapToGrid w:val="0"/>
        </w:rPr>
        <w:tab/>
        <w:t>the cash price of goods or services supplied by the credit provider or by another supplier in respect of payment for which credit is provided under the contract; or</w:t>
      </w:r>
    </w:p>
    <w:p>
      <w:pPr>
        <w:pStyle w:val="Indenta"/>
        <w:rPr>
          <w:snapToGrid w:val="0"/>
        </w:rPr>
      </w:pPr>
      <w:r>
        <w:rPr>
          <w:snapToGrid w:val="0"/>
        </w:rPr>
        <w:tab/>
        <w:t>(b)</w:t>
      </w:r>
      <w:r>
        <w:rPr>
          <w:snapToGrid w:val="0"/>
        </w:rPr>
        <w:tab/>
        <w:t>an amount of cash supplied by the credit provider or by another supplier for the supply of which credit is provided under the contract; or</w:t>
      </w:r>
    </w:p>
    <w:p>
      <w:pPr>
        <w:pStyle w:val="Indenta"/>
        <w:rPr>
          <w:snapToGrid w:val="0"/>
        </w:rPr>
      </w:pPr>
      <w:r>
        <w:rPr>
          <w:snapToGrid w:val="0"/>
        </w:rPr>
        <w:tab/>
        <w:t>(c)</w:t>
      </w:r>
      <w:r>
        <w:rPr>
          <w:snapToGrid w:val="0"/>
        </w:rPr>
        <w:tab/>
        <w:t>a credit charge; or</w:t>
      </w:r>
    </w:p>
    <w:p>
      <w:pPr>
        <w:pStyle w:val="Indenta"/>
        <w:rPr>
          <w:snapToGrid w:val="0"/>
        </w:rPr>
      </w:pPr>
      <w:r>
        <w:rPr>
          <w:snapToGrid w:val="0"/>
        </w:rPr>
        <w:tab/>
        <w:t>(d)</w:t>
      </w:r>
      <w:r>
        <w:rPr>
          <w:snapToGrid w:val="0"/>
        </w:rPr>
        <w:tab/>
        <w:t>an amount of enforcement expenses; or</w:t>
      </w:r>
    </w:p>
    <w:p>
      <w:pPr>
        <w:pStyle w:val="Indenta"/>
        <w:rPr>
          <w:snapToGrid w:val="0"/>
        </w:rPr>
      </w:pPr>
      <w:r>
        <w:rPr>
          <w:snapToGrid w:val="0"/>
        </w:rPr>
        <w:tab/>
        <w:t>(e)</w:t>
      </w:r>
      <w:r>
        <w:rPr>
          <w:snapToGrid w:val="0"/>
        </w:rPr>
        <w:tab/>
        <w:t>an amount of stamp duty in respect of or in relation to the contract payable by the debtor to the credit provider; or</w:t>
      </w:r>
    </w:p>
    <w:p>
      <w:pPr>
        <w:pStyle w:val="Indenta"/>
        <w:rPr>
          <w:snapToGrid w:val="0"/>
        </w:rPr>
      </w:pPr>
      <w:r>
        <w:rPr>
          <w:snapToGrid w:val="0"/>
        </w:rPr>
        <w:tab/>
        <w:t>(f)</w:t>
      </w:r>
      <w:r>
        <w:rPr>
          <w:snapToGrid w:val="0"/>
        </w:rPr>
        <w:tab/>
        <w:t>an amount payable under the contract by the debtor to the credit provider that is a prescribed charge for the purposes</w:t>
      </w:r>
      <w:bookmarkStart w:id="117" w:name="RuleErr_50"/>
      <w:r>
        <w:rPr>
          <w:snapToGrid w:val="0"/>
        </w:rPr>
        <w:t xml:space="preserve"> of this section</w:t>
      </w:r>
      <w:bookmarkEnd w:id="117"/>
      <w:r>
        <w:rPr>
          <w:snapToGrid w:val="0"/>
        </w:rPr>
        <w:t>; or</w:t>
      </w:r>
    </w:p>
    <w:p>
      <w:pPr>
        <w:pStyle w:val="Indenta"/>
        <w:spacing w:before="120"/>
        <w:rPr>
          <w:snapToGrid w:val="0"/>
        </w:rPr>
      </w:pPr>
      <w:r>
        <w:rPr>
          <w:snapToGrid w:val="0"/>
        </w:rPr>
        <w:tab/>
        <w:t>(g)</w:t>
      </w:r>
      <w:r>
        <w:rPr>
          <w:snapToGrid w:val="0"/>
        </w:rPr>
        <w:tab/>
        <w:t>the amount of any consideration given to the debtor under the contract, being consideration that is of a kind prescribed for the purposes</w:t>
      </w:r>
      <w:bookmarkStart w:id="118" w:name="RuleErr_51"/>
      <w:r>
        <w:rPr>
          <w:snapToGrid w:val="0"/>
        </w:rPr>
        <w:t xml:space="preserve"> of this section</w:t>
      </w:r>
      <w:bookmarkEnd w:id="118"/>
      <w:r>
        <w:rPr>
          <w:snapToGrid w:val="0"/>
        </w:rPr>
        <w:t>,</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credit provider shall not enter into a continuing credit contract that includes a provision that by reason of subsection (1) is void.</w:t>
      </w:r>
    </w:p>
    <w:p>
      <w:pPr>
        <w:pStyle w:val="Penstart"/>
        <w:spacing w:before="120"/>
        <w:rPr>
          <w:snapToGrid w:val="0"/>
        </w:rPr>
      </w:pPr>
      <w:r>
        <w:rPr>
          <w:snapToGrid w:val="0"/>
        </w:rPr>
        <w:tab/>
        <w:t>Penalty: $2 000.</w:t>
      </w:r>
    </w:p>
    <w:p>
      <w:pPr>
        <w:pStyle w:val="Heading5"/>
        <w:keepNext w:val="0"/>
        <w:spacing w:before="240"/>
        <w:rPr>
          <w:snapToGrid w:val="0"/>
        </w:rPr>
      </w:pPr>
      <w:bookmarkStart w:id="119" w:name="_Toc392496523"/>
      <w:r>
        <w:rPr>
          <w:rStyle w:val="CharSectno"/>
        </w:rPr>
        <w:t>54</w:t>
      </w:r>
      <w:r>
        <w:rPr>
          <w:snapToGrid w:val="0"/>
        </w:rPr>
        <w:t>.</w:t>
      </w:r>
      <w:r>
        <w:rPr>
          <w:snapToGrid w:val="0"/>
        </w:rPr>
        <w:tab/>
        <w:t>Credit charge for billing cycle, meaning and maximum of</w:t>
      </w:r>
      <w:bookmarkEnd w:id="119"/>
    </w:p>
    <w:p>
      <w:pPr>
        <w:pStyle w:val="Subsection"/>
        <w:rPr>
          <w:snapToGrid w:val="0"/>
        </w:rPr>
      </w:pPr>
      <w:r>
        <w:rPr>
          <w:snapToGrid w:val="0"/>
        </w:rPr>
        <w:tab/>
        <w:t>(1)</w:t>
      </w:r>
      <w:r>
        <w:rPr>
          <w:snapToGrid w:val="0"/>
        </w:rPr>
        <w:tab/>
        <w:t>For the purposes</w:t>
      </w:r>
      <w:bookmarkStart w:id="120" w:name="RuleErr_111"/>
      <w:r>
        <w:rPr>
          <w:snapToGrid w:val="0"/>
        </w:rPr>
        <w:t xml:space="preserve"> of this Act</w:t>
      </w:r>
      <w:bookmarkEnd w:id="120"/>
      <w:r>
        <w:rPr>
          <w:snapToGrid w:val="0"/>
        </w:rPr>
        <w:t>, a reference to a credit charge in relation to a billing cycle of a credit contract is a reference to the amount included in the statement of account for that billing cycle in accordance with this Division other than any part of that amount that is — </w:t>
      </w:r>
    </w:p>
    <w:p>
      <w:pPr>
        <w:pStyle w:val="Indenta"/>
        <w:rPr>
          <w:snapToGrid w:val="0"/>
        </w:rPr>
      </w:pPr>
      <w:r>
        <w:rPr>
          <w:snapToGrid w:val="0"/>
        </w:rPr>
        <w:tab/>
        <w:t>(a)</w:t>
      </w:r>
      <w:r>
        <w:rPr>
          <w:snapToGrid w:val="0"/>
        </w:rPr>
        <w:tab/>
        <w:t>the cash price of goods or services supplied by the credit provider or by another supplier in respect of payment for which credit is provided under the contract; or</w:t>
      </w:r>
    </w:p>
    <w:p>
      <w:pPr>
        <w:pStyle w:val="Indenta"/>
        <w:rPr>
          <w:snapToGrid w:val="0"/>
        </w:rPr>
      </w:pPr>
      <w:r>
        <w:rPr>
          <w:snapToGrid w:val="0"/>
        </w:rPr>
        <w:tab/>
        <w:t>(b)</w:t>
      </w:r>
      <w:r>
        <w:rPr>
          <w:snapToGrid w:val="0"/>
        </w:rPr>
        <w:tab/>
        <w:t>an amount of cash supplied by the credit provider or by another supplier for the supply of which credit is provided under the contract; or</w:t>
      </w:r>
    </w:p>
    <w:p>
      <w:pPr>
        <w:pStyle w:val="Indenta"/>
        <w:rPr>
          <w:snapToGrid w:val="0"/>
        </w:rPr>
      </w:pPr>
      <w:r>
        <w:rPr>
          <w:snapToGrid w:val="0"/>
        </w:rPr>
        <w:tab/>
        <w:t>(c)</w:t>
      </w:r>
      <w:r>
        <w:rPr>
          <w:snapToGrid w:val="0"/>
        </w:rPr>
        <w:tab/>
        <w:t>an amount of enforcement expenses; or</w:t>
      </w:r>
    </w:p>
    <w:p>
      <w:pPr>
        <w:pStyle w:val="Indenta"/>
        <w:rPr>
          <w:snapToGrid w:val="0"/>
        </w:rPr>
      </w:pPr>
      <w:r>
        <w:rPr>
          <w:snapToGrid w:val="0"/>
        </w:rPr>
        <w:tab/>
        <w:t>(d)</w:t>
      </w:r>
      <w:r>
        <w:rPr>
          <w:snapToGrid w:val="0"/>
        </w:rPr>
        <w:tab/>
        <w:t>an amount of stamp duty in respect of or in relation to the contract payable by the debtor to the credit provider; or</w:t>
      </w:r>
    </w:p>
    <w:p>
      <w:pPr>
        <w:pStyle w:val="Indenta"/>
        <w:rPr>
          <w:snapToGrid w:val="0"/>
        </w:rPr>
      </w:pPr>
      <w:r>
        <w:rPr>
          <w:snapToGrid w:val="0"/>
        </w:rPr>
        <w:tab/>
        <w:t>(e)</w:t>
      </w:r>
      <w:r>
        <w:rPr>
          <w:snapToGrid w:val="0"/>
        </w:rPr>
        <w:tab/>
        <w:t>an amount payable under the contract by the debtor to the credit provider that is a prescribed charge for the purposes</w:t>
      </w:r>
      <w:bookmarkStart w:id="121" w:name="RuleErr_52"/>
      <w:r>
        <w:rPr>
          <w:snapToGrid w:val="0"/>
        </w:rPr>
        <w:t xml:space="preserve"> of this section</w:t>
      </w:r>
      <w:bookmarkEnd w:id="121"/>
      <w:r>
        <w:rPr>
          <w:snapToGrid w:val="0"/>
        </w:rPr>
        <w:t>; or</w:t>
      </w:r>
    </w:p>
    <w:p>
      <w:pPr>
        <w:pStyle w:val="Indenta"/>
        <w:rPr>
          <w:snapToGrid w:val="0"/>
        </w:rPr>
      </w:pPr>
      <w:r>
        <w:rPr>
          <w:snapToGrid w:val="0"/>
        </w:rPr>
        <w:tab/>
        <w:t>(f)</w:t>
      </w:r>
      <w:r>
        <w:rPr>
          <w:snapToGrid w:val="0"/>
        </w:rPr>
        <w:tab/>
        <w:t>the amount of any other consideration given to the debtor under the contract, being consideration that is of a kind prescribed for the purposes</w:t>
      </w:r>
      <w:bookmarkStart w:id="122" w:name="RuleErr_53"/>
      <w:r>
        <w:rPr>
          <w:snapToGrid w:val="0"/>
        </w:rPr>
        <w:t xml:space="preserve"> of this section</w:t>
      </w:r>
      <w:bookmarkEnd w:id="122"/>
      <w:r>
        <w:rPr>
          <w:snapToGrid w:val="0"/>
        </w:rPr>
        <w:t>; or</w:t>
      </w:r>
    </w:p>
    <w:p>
      <w:pPr>
        <w:pStyle w:val="Indenta"/>
        <w:rPr>
          <w:snapToGrid w:val="0"/>
        </w:rPr>
      </w:pPr>
      <w:r>
        <w:rPr>
          <w:snapToGrid w:val="0"/>
        </w:rPr>
        <w:tab/>
        <w:t>(g)</w:t>
      </w:r>
      <w:r>
        <w:rPr>
          <w:snapToGrid w:val="0"/>
        </w:rPr>
        <w:tab/>
        <w:t>the amount of a credit charge included in a statement of account for an earlier billing cycle of the contract.</w:t>
      </w:r>
    </w:p>
    <w:p>
      <w:pPr>
        <w:pStyle w:val="Subsection"/>
        <w:spacing w:before="140"/>
        <w:rPr>
          <w:snapToGrid w:val="0"/>
        </w:rPr>
      </w:pPr>
      <w:r>
        <w:rPr>
          <w:snapToGrid w:val="0"/>
        </w:rPr>
        <w:tab/>
        <w:t>(2)</w:t>
      </w:r>
      <w:r>
        <w:rPr>
          <w:snapToGrid w:val="0"/>
        </w:rPr>
        <w:tab/>
        <w:t>A credit provider shall not include in a statement of account for a billing cycle a credit charge that exceeds the amount derived by the application of the annual percentage rate in respect of the contract to the chargeable amount for the billing cycle in the manner applicable under the contract.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In ascertaining the credit charge in relation to a continuing credit contract made between a credit provider and a debtor, regard shall not be had to any amount by which the amount payable by the credit provider to any supplier of goods or services or of cash to the debtor or to another person under the contract is less than the cash price of the goods or services or the amount of the cash.</w:t>
      </w:r>
    </w:p>
    <w:p>
      <w:pPr>
        <w:pStyle w:val="Heading5"/>
        <w:rPr>
          <w:snapToGrid w:val="0"/>
        </w:rPr>
      </w:pPr>
      <w:bookmarkStart w:id="123" w:name="_Toc392496524"/>
      <w:r>
        <w:rPr>
          <w:rStyle w:val="CharSectno"/>
        </w:rPr>
        <w:t>55</w:t>
      </w:r>
      <w:r>
        <w:rPr>
          <w:snapToGrid w:val="0"/>
        </w:rPr>
        <w:t>.</w:t>
      </w:r>
      <w:r>
        <w:rPr>
          <w:snapToGrid w:val="0"/>
        </w:rPr>
        <w:tab/>
        <w:t>Annual percentage rates for contracts</w:t>
      </w:r>
      <w:bookmarkEnd w:id="123"/>
    </w:p>
    <w:p>
      <w:pPr>
        <w:pStyle w:val="Subsection"/>
        <w:spacing w:before="140"/>
        <w:rPr>
          <w:snapToGrid w:val="0"/>
        </w:rPr>
      </w:pPr>
      <w:r>
        <w:rPr>
          <w:snapToGrid w:val="0"/>
        </w:rPr>
        <w:tab/>
        <w:t>(1)</w:t>
      </w:r>
      <w:r>
        <w:rPr>
          <w:snapToGrid w:val="0"/>
        </w:rPr>
        <w:tab/>
        <w:t>For the purposes</w:t>
      </w:r>
      <w:bookmarkStart w:id="124" w:name="RuleErr_112"/>
      <w:r>
        <w:rPr>
          <w:snapToGrid w:val="0"/>
        </w:rPr>
        <w:t xml:space="preserve"> of this Act</w:t>
      </w:r>
      <w:bookmarkEnd w:id="124"/>
      <w:r>
        <w:rPr>
          <w:snapToGrid w:val="0"/>
        </w:rPr>
        <w:t>, a reference to the annual percentage rate in relation to a continuing credit contract is a reference to the percentage rate calculated in accordance with the following formula — </w:t>
      </w:r>
    </w:p>
    <w:p>
      <w:pPr>
        <w:pStyle w:val="Equation"/>
        <w:spacing w:before="120"/>
        <w:jc w:val="center"/>
      </w:pPr>
      <w:r>
        <w:rPr>
          <w:position w:val="-10"/>
        </w:rPr>
        <w:object w:dxaOrig="9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15.75pt" o:ole="" fillcolor="window">
            <v:imagedata r:id="rId21" o:title=""/>
          </v:shape>
          <o:OLEObject Type="Embed" ProgID="Equation.3" ShapeID="_x0000_i1025" DrawAspect="Content" ObjectID="_1643192525" r:id="rId22"/>
        </w:object>
      </w:r>
    </w:p>
    <w:p>
      <w:pPr>
        <w:pStyle w:val="Subsection"/>
        <w:spacing w:before="140"/>
        <w:rPr>
          <w:snapToGrid w:val="0"/>
        </w:rPr>
      </w:pPr>
      <w:r>
        <w:rPr>
          <w:snapToGrid w:val="0"/>
        </w:rPr>
        <w:tab/>
      </w:r>
      <w:r>
        <w:rPr>
          <w:snapToGrid w:val="0"/>
        </w:rPr>
        <w:tab/>
        <w:t>where —</w:t>
      </w:r>
    </w:p>
    <w:p>
      <w:pPr>
        <w:pStyle w:val="Indenta"/>
        <w:rPr>
          <w:snapToGrid w:val="0"/>
        </w:rPr>
      </w:pPr>
      <w:r>
        <w:rPr>
          <w:snapToGrid w:val="0"/>
        </w:rPr>
        <w:tab/>
        <w:t>“n”</w:t>
      </w:r>
      <w:r>
        <w:rPr>
          <w:snapToGrid w:val="0"/>
        </w:rPr>
        <w:tab/>
        <w:t xml:space="preserve"> </w:t>
      </w:r>
      <w:r>
        <w:rPr>
          <w:snapToGrid w:val="0"/>
        </w:rPr>
        <w:tab/>
        <w:t>is the annual percentage rate to be calculated; and</w:t>
      </w:r>
    </w:p>
    <w:p>
      <w:pPr>
        <w:pStyle w:val="Indenta"/>
        <w:ind w:left="2160" w:hanging="2160"/>
        <w:rPr>
          <w:snapToGrid w:val="0"/>
        </w:rPr>
      </w:pPr>
      <w:r>
        <w:rPr>
          <w:snapToGrid w:val="0"/>
        </w:rPr>
        <w:tab/>
        <w:t>“a”</w:t>
      </w:r>
      <w:r>
        <w:rPr>
          <w:snapToGrid w:val="0"/>
        </w:rPr>
        <w:tab/>
        <w:t xml:space="preserve"> </w:t>
      </w:r>
      <w:r>
        <w:rPr>
          <w:snapToGrid w:val="0"/>
        </w:rPr>
        <w:tab/>
        <w:t>is the percentage rate that, under the contract, is to be applied to the chargeable amount for each billing cycle of the contract to yield the credit charge; and</w:t>
      </w:r>
    </w:p>
    <w:p>
      <w:pPr>
        <w:pStyle w:val="Indenta"/>
        <w:ind w:left="2160" w:hanging="2160"/>
        <w:rPr>
          <w:snapToGrid w:val="0"/>
        </w:rPr>
      </w:pPr>
      <w:r>
        <w:rPr>
          <w:snapToGrid w:val="0"/>
        </w:rPr>
        <w:tab/>
        <w:t>“b”</w:t>
      </w:r>
      <w:r>
        <w:rPr>
          <w:snapToGrid w:val="0"/>
        </w:rPr>
        <w:tab/>
      </w:r>
      <w:r>
        <w:tab/>
      </w:r>
      <w:r>
        <w:rPr>
          <w:snapToGrid w:val="0"/>
        </w:rPr>
        <w:t>is the number of those billing cycles that would occur during a period of one year if the contract were to continue in force for that period.</w:t>
      </w:r>
    </w:p>
    <w:p>
      <w:pPr>
        <w:pStyle w:val="Subsection"/>
        <w:spacing w:before="140"/>
        <w:rPr>
          <w:snapToGrid w:val="0"/>
        </w:rPr>
      </w:pPr>
      <w:r>
        <w:rPr>
          <w:snapToGrid w:val="0"/>
        </w:rPr>
        <w:tab/>
        <w:t>(2)</w:t>
      </w:r>
      <w:r>
        <w:rPr>
          <w:snapToGrid w:val="0"/>
        </w:rPr>
        <w:tab/>
        <w:t>Where, under a continuing credit contract — </w:t>
      </w:r>
    </w:p>
    <w:p>
      <w:pPr>
        <w:pStyle w:val="Indenta"/>
        <w:rPr>
          <w:snapToGrid w:val="0"/>
        </w:rPr>
      </w:pPr>
      <w:r>
        <w:rPr>
          <w:snapToGrid w:val="0"/>
        </w:rPr>
        <w:tab/>
        <w:t>(a)</w:t>
      </w:r>
      <w:r>
        <w:rPr>
          <w:snapToGrid w:val="0"/>
        </w:rPr>
        <w:tab/>
        <w:t xml:space="preserve">credit is or may be provided to the debtor by way of the supply of cash by the credit provider or any other person; and </w:t>
      </w:r>
    </w:p>
    <w:p>
      <w:pPr>
        <w:pStyle w:val="Indenta"/>
        <w:rPr>
          <w:snapToGrid w:val="0"/>
        </w:rPr>
      </w:pPr>
      <w:r>
        <w:rPr>
          <w:snapToGrid w:val="0"/>
        </w:rPr>
        <w:tab/>
        <w:t>(b)</w:t>
      </w:r>
      <w:r>
        <w:rPr>
          <w:snapToGrid w:val="0"/>
        </w:rPr>
        <w:tab/>
        <w:t>the payment of a debt or other pecuniary obligation or the performance of any other obligation under the contract is secured by a mortgage of land,</w:t>
      </w:r>
    </w:p>
    <w:p>
      <w:pPr>
        <w:pStyle w:val="Subsection"/>
        <w:spacing w:before="120"/>
        <w:rPr>
          <w:snapToGrid w:val="0"/>
        </w:rPr>
      </w:pPr>
      <w:r>
        <w:rPr>
          <w:snapToGrid w:val="0"/>
        </w:rPr>
        <w:tab/>
      </w:r>
      <w:r>
        <w:rPr>
          <w:snapToGrid w:val="0"/>
        </w:rPr>
        <w:tab/>
        <w:t>the contract may include an acceptable rate of interest and a higher annual percentage rate that does not exceed the acceptable rate by more than 2%.</w:t>
      </w:r>
    </w:p>
    <w:p>
      <w:pPr>
        <w:pStyle w:val="Subsection"/>
        <w:rPr>
          <w:snapToGrid w:val="0"/>
        </w:rPr>
      </w:pPr>
      <w:r>
        <w:rPr>
          <w:snapToGrid w:val="0"/>
        </w:rPr>
        <w:tab/>
        <w:t>(3)</w:t>
      </w:r>
      <w:r>
        <w:rPr>
          <w:snapToGrid w:val="0"/>
        </w:rPr>
        <w:tab/>
        <w:t>Where, in accordance with subsection (2), a continuing credit contract includes 2 annual percentage rates, the statement in the notice under section 59 of the annual percentage rate shall be made in respect of each such rate.</w:t>
      </w:r>
    </w:p>
    <w:p>
      <w:pPr>
        <w:pStyle w:val="Subsection"/>
        <w:rPr>
          <w:snapToGrid w:val="0"/>
        </w:rPr>
      </w:pPr>
      <w:r>
        <w:rPr>
          <w:snapToGrid w:val="0"/>
        </w:rPr>
        <w:tab/>
        <w:t>(4)</w:t>
      </w:r>
      <w:r>
        <w:rPr>
          <w:snapToGrid w:val="0"/>
        </w:rPr>
        <w:tab/>
        <w:t>Except as provided by subsection (2), a continuing credit contract shall not include more than one annual percentage rate in respect of the contract.</w:t>
      </w:r>
    </w:p>
    <w:p>
      <w:pPr>
        <w:pStyle w:val="Subsection"/>
        <w:rPr>
          <w:snapToGrid w:val="0"/>
        </w:rPr>
      </w:pPr>
      <w:r>
        <w:rPr>
          <w:snapToGrid w:val="0"/>
        </w:rPr>
        <w:tab/>
        <w:t>(5)</w:t>
      </w:r>
      <w:r>
        <w:rPr>
          <w:snapToGrid w:val="0"/>
        </w:rPr>
        <w:tab/>
        <w:t>Where the annual percentage rate in respect of a continuing credit contract may, at the option of the credit provider, be any rate less than, or not exceeding, an annual percentage rate specified by the credit provider, that specified rate shall, for the purposes of section 49(1)(a), be deemed to be the annual percentage rate in respect of the contract, whether or not the annual percentage rate applied under the contract is a lower rate than that specified rate.</w:t>
      </w:r>
    </w:p>
    <w:p>
      <w:pPr>
        <w:pStyle w:val="Heading5"/>
        <w:rPr>
          <w:snapToGrid w:val="0"/>
        </w:rPr>
      </w:pPr>
      <w:bookmarkStart w:id="125" w:name="_Toc392496525"/>
      <w:r>
        <w:rPr>
          <w:rStyle w:val="CharSectno"/>
        </w:rPr>
        <w:t>56</w:t>
      </w:r>
      <w:r>
        <w:rPr>
          <w:snapToGrid w:val="0"/>
        </w:rPr>
        <w:t>.</w:t>
      </w:r>
      <w:r>
        <w:rPr>
          <w:snapToGrid w:val="0"/>
        </w:rPr>
        <w:tab/>
        <w:t>Billing cycle less than one month</w:t>
      </w:r>
      <w:bookmarkEnd w:id="125"/>
    </w:p>
    <w:p>
      <w:pPr>
        <w:pStyle w:val="Subsection"/>
        <w:rPr>
          <w:snapToGrid w:val="0"/>
        </w:rPr>
      </w:pPr>
      <w:r>
        <w:rPr>
          <w:snapToGrid w:val="0"/>
        </w:rPr>
        <w:tab/>
      </w:r>
      <w:r>
        <w:rPr>
          <w:snapToGrid w:val="0"/>
        </w:rPr>
        <w:tab/>
        <w:t>A credit provider does not fail to comply with the provisions of this Division relating to the stating of the annual percentage rate in relation to a continuing credit contract or the credit charge in relation to a billing cycle by reason only that he applies a percentage rate under the contract to the whole or part of the chargeable amount to yield the credit charge or part of the credit charge in respect of a billing cycle, the period of which is not less than 24 days, as if the period of that billing cycle were one month.</w:t>
      </w:r>
    </w:p>
    <w:p>
      <w:pPr>
        <w:pStyle w:val="Heading5"/>
        <w:rPr>
          <w:snapToGrid w:val="0"/>
        </w:rPr>
      </w:pPr>
      <w:bookmarkStart w:id="126" w:name="_Toc392496526"/>
      <w:r>
        <w:rPr>
          <w:rStyle w:val="CharSectno"/>
        </w:rPr>
        <w:t>57</w:t>
      </w:r>
      <w:r>
        <w:rPr>
          <w:snapToGrid w:val="0"/>
        </w:rPr>
        <w:t>.</w:t>
      </w:r>
      <w:r>
        <w:rPr>
          <w:snapToGrid w:val="0"/>
        </w:rPr>
        <w:tab/>
        <w:t>Non</w:t>
      </w:r>
      <w:r>
        <w:rPr>
          <w:snapToGrid w:val="0"/>
        </w:rPr>
        <w:noBreakHyphen/>
        <w:t>business days</w:t>
      </w:r>
      <w:bookmarkEnd w:id="126"/>
    </w:p>
    <w:p>
      <w:pPr>
        <w:pStyle w:val="Subsection"/>
        <w:rPr>
          <w:snapToGrid w:val="0"/>
        </w:rPr>
      </w:pPr>
      <w:r>
        <w:rPr>
          <w:snapToGrid w:val="0"/>
        </w:rPr>
        <w:tab/>
        <w:t>(1)</w:t>
      </w:r>
      <w:r>
        <w:rPr>
          <w:snapToGrid w:val="0"/>
        </w:rPr>
        <w:tab/>
        <w:t>A credit provider does not fail to comply with the provisions of this Division relating to the application of a period as a billing cycle or the inclusion of a credit charge in a statement of account by reason only that he includes in the credit charge in a statement of account for a billing cycle the amount that would be the credit charge in respect of a day that is, or 2 or more days each of which is, a Saturday, a Sunday or a public or bank holiday throughout the State or throughout a recognised State immediately following the last day of the billing cycle if no other amounts were entered on that day or on those days in the account of the debtor kept by the credit provider.</w:t>
      </w:r>
    </w:p>
    <w:p>
      <w:pPr>
        <w:pStyle w:val="Subsection"/>
        <w:rPr>
          <w:snapToGrid w:val="0"/>
        </w:rPr>
      </w:pPr>
      <w:r>
        <w:rPr>
          <w:snapToGrid w:val="0"/>
        </w:rPr>
        <w:tab/>
        <w:t>(2)</w:t>
      </w:r>
      <w:r>
        <w:rPr>
          <w:snapToGrid w:val="0"/>
        </w:rPr>
        <w:tab/>
        <w:t>Subsection (1) does not apply where a credit provider includes the amount of a credit charge to which that subsection relates in a statement of account for a billing cycle and includes that amount in the statement of account for a succeeding billing cycle.</w:t>
      </w:r>
    </w:p>
    <w:p>
      <w:pPr>
        <w:pStyle w:val="Heading5"/>
        <w:rPr>
          <w:snapToGrid w:val="0"/>
        </w:rPr>
      </w:pPr>
      <w:bookmarkStart w:id="127" w:name="_Toc392496527"/>
      <w:r>
        <w:rPr>
          <w:rStyle w:val="CharSectno"/>
        </w:rPr>
        <w:t>58</w:t>
      </w:r>
      <w:r>
        <w:rPr>
          <w:snapToGrid w:val="0"/>
        </w:rPr>
        <w:t>.</w:t>
      </w:r>
      <w:r>
        <w:rPr>
          <w:snapToGrid w:val="0"/>
        </w:rPr>
        <w:tab/>
        <w:t>Credit provider to give debtor prescribed statement</w:t>
      </w:r>
      <w:bookmarkEnd w:id="127"/>
    </w:p>
    <w:p>
      <w:pPr>
        <w:pStyle w:val="Subsection"/>
        <w:rPr>
          <w:snapToGrid w:val="0"/>
        </w:rPr>
      </w:pPr>
      <w:r>
        <w:rPr>
          <w:snapToGrid w:val="0"/>
        </w:rPr>
        <w:tab/>
      </w:r>
      <w:r>
        <w:rPr>
          <w:snapToGrid w:val="0"/>
        </w:rPr>
        <w:tab/>
        <w:t>A credit provider shall, before the debtor first incurs a debt under a continuing credit contract, give to the debtor a statement in or to the effect of the form prescribed for the purposes</w:t>
      </w:r>
      <w:bookmarkStart w:id="128" w:name="RuleErr_54"/>
      <w:r>
        <w:rPr>
          <w:snapToGrid w:val="0"/>
        </w:rPr>
        <w:t xml:space="preserve"> of this section</w:t>
      </w:r>
      <w:bookmarkEnd w:id="128"/>
      <w:r>
        <w:rPr>
          <w:snapToGrid w:val="0"/>
        </w:rPr>
        <w:t>.</w:t>
      </w:r>
    </w:p>
    <w:p>
      <w:pPr>
        <w:pStyle w:val="Penstart"/>
        <w:rPr>
          <w:snapToGrid w:val="0"/>
        </w:rPr>
      </w:pPr>
      <w:r>
        <w:rPr>
          <w:snapToGrid w:val="0"/>
        </w:rPr>
        <w:tab/>
        <w:t>Penalty: $2 000.</w:t>
      </w:r>
    </w:p>
    <w:p>
      <w:pPr>
        <w:pStyle w:val="Heading5"/>
        <w:rPr>
          <w:snapToGrid w:val="0"/>
        </w:rPr>
      </w:pPr>
      <w:bookmarkStart w:id="129" w:name="_Toc392496528"/>
      <w:r>
        <w:rPr>
          <w:rStyle w:val="CharSectno"/>
        </w:rPr>
        <w:t>59</w:t>
      </w:r>
      <w:r>
        <w:rPr>
          <w:snapToGrid w:val="0"/>
        </w:rPr>
        <w:t>.</w:t>
      </w:r>
      <w:r>
        <w:rPr>
          <w:snapToGrid w:val="0"/>
        </w:rPr>
        <w:tab/>
        <w:t>Credit provider to give debtor certain information</w:t>
      </w:r>
      <w:bookmarkEnd w:id="129"/>
    </w:p>
    <w:p>
      <w:pPr>
        <w:pStyle w:val="Subsection"/>
        <w:rPr>
          <w:snapToGrid w:val="0"/>
        </w:rPr>
      </w:pPr>
      <w:r>
        <w:rPr>
          <w:snapToGrid w:val="0"/>
        </w:rPr>
        <w:tab/>
        <w:t>(1)</w:t>
      </w:r>
      <w:r>
        <w:rPr>
          <w:snapToGrid w:val="0"/>
        </w:rPr>
        <w:tab/>
        <w:t>A credit provider shall, before the debtor first incurs a debt under a continuing credit contract, give a notice in writing to the debtor stating — </w:t>
      </w:r>
    </w:p>
    <w:p>
      <w:pPr>
        <w:pStyle w:val="Indenta"/>
        <w:rPr>
          <w:snapToGrid w:val="0"/>
        </w:rPr>
      </w:pPr>
      <w:r>
        <w:rPr>
          <w:snapToGrid w:val="0"/>
        </w:rPr>
        <w:tab/>
        <w:t>(a)</w:t>
      </w:r>
      <w:r>
        <w:rPr>
          <w:snapToGrid w:val="0"/>
        </w:rPr>
        <w:tab/>
        <w:t>the amount (if any) that, under the contract, is agreed as the maximum amount in respect of which, at any time, credit is agreed to be provided to the debtor under the contract; and</w:t>
      </w:r>
    </w:p>
    <w:p>
      <w:pPr>
        <w:pStyle w:val="Indenta"/>
        <w:rPr>
          <w:snapToGrid w:val="0"/>
        </w:rPr>
      </w:pPr>
      <w:r>
        <w:rPr>
          <w:snapToGrid w:val="0"/>
        </w:rPr>
        <w:tab/>
        <w:t>(b)</w:t>
      </w:r>
      <w:r>
        <w:rPr>
          <w:snapToGrid w:val="0"/>
        </w:rPr>
        <w:tab/>
        <w:t>the method by which the chargeable amount in respect of each billing cycle is to be determined; and</w:t>
      </w:r>
    </w:p>
    <w:p>
      <w:pPr>
        <w:pStyle w:val="Indenta"/>
        <w:rPr>
          <w:snapToGrid w:val="0"/>
        </w:rPr>
      </w:pPr>
      <w:r>
        <w:rPr>
          <w:snapToGrid w:val="0"/>
        </w:rPr>
        <w:tab/>
        <w:t>(c)</w:t>
      </w:r>
      <w:r>
        <w:rPr>
          <w:snapToGrid w:val="0"/>
        </w:rPr>
        <w:tab/>
        <w:t>the terms and conditions (if any) upon which, under the contract, a credit charge for a billing cycle may be made; and</w:t>
      </w:r>
    </w:p>
    <w:p>
      <w:pPr>
        <w:pStyle w:val="Indenta"/>
        <w:rPr>
          <w:snapToGrid w:val="0"/>
        </w:rPr>
      </w:pPr>
      <w:r>
        <w:rPr>
          <w:snapToGrid w:val="0"/>
        </w:rPr>
        <w:tab/>
        <w:t>(d)</w:t>
      </w:r>
      <w:r>
        <w:rPr>
          <w:snapToGrid w:val="0"/>
        </w:rPr>
        <w:tab/>
        <w:t>the method by which the amount of the credit charge for each billing cycle is to be determined; and</w:t>
      </w:r>
    </w:p>
    <w:p>
      <w:pPr>
        <w:pStyle w:val="Indenta"/>
        <w:rPr>
          <w:snapToGrid w:val="0"/>
        </w:rPr>
      </w:pPr>
      <w:r>
        <w:rPr>
          <w:snapToGrid w:val="0"/>
        </w:rPr>
        <w:tab/>
        <w:t>(e)</w:t>
      </w:r>
      <w:r>
        <w:rPr>
          <w:snapToGrid w:val="0"/>
        </w:rPr>
        <w:tab/>
        <w:t>the period after the expiration of a billing cycle within which the amount owed by the debtor at the expiration of the billing cycle is payable including particulars of provisions requiring payment at a time or times during that period of any part or parts of that amount; and</w:t>
      </w:r>
    </w:p>
    <w:p>
      <w:pPr>
        <w:pStyle w:val="Indenta"/>
        <w:rPr>
          <w:snapToGrid w:val="0"/>
        </w:rPr>
      </w:pPr>
      <w:r>
        <w:rPr>
          <w:snapToGrid w:val="0"/>
        </w:rPr>
        <w:tab/>
        <w:t>(f)</w:t>
      </w:r>
      <w:r>
        <w:rPr>
          <w:snapToGrid w:val="0"/>
        </w:rPr>
        <w:tab/>
        <w:t>the annual percentage rate in respect of the contract and the manner of its application to the contract; and</w:t>
      </w:r>
    </w:p>
    <w:p>
      <w:pPr>
        <w:pStyle w:val="Ednotepara"/>
        <w:spacing w:before="80"/>
        <w:rPr>
          <w:snapToGrid w:val="0"/>
        </w:rPr>
      </w:pPr>
      <w:r>
        <w:tab/>
        <w:t>[(g)</w:t>
      </w:r>
      <w:r>
        <w:tab/>
        <w:t>deleted]</w:t>
      </w:r>
    </w:p>
    <w:p>
      <w:pPr>
        <w:pStyle w:val="Indenta"/>
        <w:rPr>
          <w:snapToGrid w:val="0"/>
        </w:rPr>
      </w:pPr>
      <w:r>
        <w:rPr>
          <w:snapToGrid w:val="0"/>
        </w:rPr>
        <w:tab/>
        <w:t>(h)</w:t>
      </w:r>
      <w:r>
        <w:rPr>
          <w:snapToGrid w:val="0"/>
        </w:rPr>
        <w:tab/>
        <w:t>particulars of any mortgage relating to the contract that, as a condition of the making of the contract has been or is agreed to be entered into; and</w:t>
      </w:r>
    </w:p>
    <w:p>
      <w:pPr>
        <w:pStyle w:val="Indenta"/>
        <w:rPr>
          <w:snapToGrid w:val="0"/>
        </w:rPr>
      </w:pPr>
      <w:r>
        <w:rPr>
          <w:snapToGrid w:val="0"/>
        </w:rPr>
        <w:tab/>
        <w:t>(i)</w:t>
      </w:r>
      <w:r>
        <w:rPr>
          <w:snapToGrid w:val="0"/>
        </w:rPr>
        <w:tab/>
        <w:t>the method (if any) by which, under the contract, provisions of the contract may be varied; and</w:t>
      </w:r>
    </w:p>
    <w:p>
      <w:pPr>
        <w:pStyle w:val="Indenta"/>
        <w:rPr>
          <w:snapToGrid w:val="0"/>
        </w:rPr>
      </w:pPr>
      <w:r>
        <w:rPr>
          <w:snapToGrid w:val="0"/>
        </w:rPr>
        <w:tab/>
        <w:t>(j)</w:t>
      </w:r>
      <w:r>
        <w:rPr>
          <w:snapToGrid w:val="0"/>
        </w:rPr>
        <w:tab/>
        <w:t>particulars of such other matters (if any) as are prescribed for the purposes</w:t>
      </w:r>
      <w:bookmarkStart w:id="130" w:name="RuleErr_55"/>
      <w:r>
        <w:rPr>
          <w:snapToGrid w:val="0"/>
        </w:rPr>
        <w:t xml:space="preserve"> of this section</w:t>
      </w:r>
      <w:bookmarkEnd w:id="130"/>
      <w:r>
        <w:rPr>
          <w:snapToGrid w:val="0"/>
        </w:rPr>
        <w:t>; and</w:t>
      </w:r>
    </w:p>
    <w:p>
      <w:pPr>
        <w:pStyle w:val="Indenta"/>
        <w:rPr>
          <w:snapToGrid w:val="0"/>
        </w:rPr>
      </w:pPr>
      <w:r>
        <w:rPr>
          <w:snapToGrid w:val="0"/>
        </w:rPr>
        <w:tab/>
        <w:t>(k)</w:t>
      </w:r>
      <w:r>
        <w:rPr>
          <w:snapToGrid w:val="0"/>
        </w:rPr>
        <w:tab/>
        <w:t>the other terms and conditions (if any) to which the contract is subject.</w:t>
      </w:r>
    </w:p>
    <w:p>
      <w:pPr>
        <w:pStyle w:val="Penstart"/>
        <w:rPr>
          <w:snapToGrid w:val="0"/>
        </w:rPr>
      </w:pPr>
      <w:r>
        <w:rPr>
          <w:snapToGrid w:val="0"/>
        </w:rPr>
        <w:tab/>
        <w:t>Penalty: $1 000.</w:t>
      </w:r>
    </w:p>
    <w:p>
      <w:pPr>
        <w:pStyle w:val="Subsection"/>
        <w:rPr>
          <w:snapToGrid w:val="0"/>
        </w:rPr>
      </w:pPr>
      <w:r>
        <w:rPr>
          <w:snapToGrid w:val="0"/>
        </w:rPr>
        <w:tab/>
        <w:t>(2)</w:t>
      </w:r>
      <w:r>
        <w:rPr>
          <w:snapToGrid w:val="0"/>
        </w:rPr>
        <w:tab/>
        <w:t>It is sufficient compliance with subsection (1) if the continuing credit contract was made by the acceptance of an offer in writing by the debtor to the credit provider to enter into the contract (being an offer that includes the matters required to be stated in a notice under subsection (1)) and, before the debtor incurs a debt under the contract, a copy of that offer is given to him for his own use.</w:t>
      </w:r>
    </w:p>
    <w:p>
      <w:pPr>
        <w:pStyle w:val="Subsection"/>
        <w:rPr>
          <w:snapToGrid w:val="0"/>
        </w:rPr>
      </w:pPr>
      <w:r>
        <w:rPr>
          <w:snapToGrid w:val="0"/>
        </w:rPr>
        <w:tab/>
        <w:t>(3)</w:t>
      </w:r>
      <w:r>
        <w:rPr>
          <w:snapToGrid w:val="0"/>
        </w:rPr>
        <w:tab/>
        <w:t>Nothing in this section requires the inclusion in a notice under subsection (1) of a statement that is not, or particulars that are not, applicable to the continuing credit contract.</w:t>
      </w:r>
    </w:p>
    <w:p>
      <w:pPr>
        <w:pStyle w:val="Footnotesection"/>
      </w:pPr>
      <w:r>
        <w:tab/>
        <w:t>[Section 59 amended by No. 12 of 2008 Sch. 1 cl. 6(1).]</w:t>
      </w:r>
    </w:p>
    <w:p>
      <w:pPr>
        <w:pStyle w:val="Heading5"/>
        <w:rPr>
          <w:snapToGrid w:val="0"/>
        </w:rPr>
      </w:pPr>
      <w:bookmarkStart w:id="131" w:name="_Toc392496529"/>
      <w:r>
        <w:rPr>
          <w:rStyle w:val="CharSectno"/>
        </w:rPr>
        <w:t>60</w:t>
      </w:r>
      <w:r>
        <w:rPr>
          <w:snapToGrid w:val="0"/>
        </w:rPr>
        <w:t>.</w:t>
      </w:r>
      <w:r>
        <w:rPr>
          <w:snapToGrid w:val="0"/>
        </w:rPr>
        <w:tab/>
        <w:t>Variation of contracts ineffective without notice</w:t>
      </w:r>
      <w:bookmarkEnd w:id="131"/>
    </w:p>
    <w:p>
      <w:pPr>
        <w:pStyle w:val="Subsection"/>
        <w:rPr>
          <w:snapToGrid w:val="0"/>
        </w:rPr>
      </w:pPr>
      <w:r>
        <w:rPr>
          <w:snapToGrid w:val="0"/>
        </w:rPr>
        <w:tab/>
        <w:t>(1)</w:t>
      </w:r>
      <w:r>
        <w:rPr>
          <w:snapToGrid w:val="0"/>
        </w:rPr>
        <w:tab/>
        <w:t>Where, in accordance with a provision in a continuing credit contract, the credit provider exercises a right under the contract to vary the operation of the contract (other than a right exercised at the request of the debtor), the variation does not have effect — </w:t>
      </w:r>
    </w:p>
    <w:p>
      <w:pPr>
        <w:pStyle w:val="Indenta"/>
        <w:rPr>
          <w:snapToGrid w:val="0"/>
        </w:rPr>
      </w:pPr>
      <w:r>
        <w:rPr>
          <w:snapToGrid w:val="0"/>
        </w:rPr>
        <w:tab/>
        <w:t>(a)</w:t>
      </w:r>
      <w:r>
        <w:rPr>
          <w:snapToGrid w:val="0"/>
        </w:rPr>
        <w:tab/>
        <w:t>in the case of a variation that increases the credit charge under the contract, or increases the amount of, or abridges the time for payment of, the amount standing to the debit of the account — until a period that is not shorter than 2 billing cycles has elapsed after notice of the variation has been given to the debtor in writing; or</w:t>
      </w:r>
    </w:p>
    <w:p>
      <w:pPr>
        <w:pStyle w:val="Indenta"/>
        <w:rPr>
          <w:snapToGrid w:val="0"/>
        </w:rPr>
      </w:pPr>
      <w:r>
        <w:rPr>
          <w:snapToGrid w:val="0"/>
        </w:rPr>
        <w:tab/>
        <w:t>(b)</w:t>
      </w:r>
      <w:r>
        <w:rPr>
          <w:snapToGrid w:val="0"/>
        </w:rPr>
        <w:tab/>
        <w:t>in the case of any other variation — until a period of at least 7 clear days or, where the contract provides for a longer period of notice of the variation, that longer period has elapsed after notice of the variation has been given to the debtor in writing.</w:t>
      </w:r>
    </w:p>
    <w:p>
      <w:pPr>
        <w:pStyle w:val="Subsection"/>
        <w:rPr>
          <w:snapToGrid w:val="0"/>
        </w:rPr>
      </w:pPr>
      <w:r>
        <w:rPr>
          <w:snapToGrid w:val="0"/>
        </w:rPr>
        <w:tab/>
        <w:t>(2)</w:t>
      </w:r>
      <w:r>
        <w:rPr>
          <w:snapToGrid w:val="0"/>
        </w:rPr>
        <w:tab/>
        <w:t xml:space="preserve">Where notice of the variation of a provision in a continuing credit contract is given in a common form by the credit provider and posted by bulk postage, the notice of the variation shall be deemed to have been given 21 days after the date on which the last of the bulk postages was made. </w:t>
      </w:r>
    </w:p>
    <w:p>
      <w:pPr>
        <w:pStyle w:val="Heading5"/>
        <w:rPr>
          <w:snapToGrid w:val="0"/>
        </w:rPr>
      </w:pPr>
      <w:bookmarkStart w:id="132" w:name="_Toc392496530"/>
      <w:r>
        <w:rPr>
          <w:rStyle w:val="CharSectno"/>
        </w:rPr>
        <w:t>61</w:t>
      </w:r>
      <w:r>
        <w:rPr>
          <w:snapToGrid w:val="0"/>
        </w:rPr>
        <w:t>.</w:t>
      </w:r>
      <w:r>
        <w:rPr>
          <w:snapToGrid w:val="0"/>
        </w:rPr>
        <w:tab/>
        <w:t>Credit provider to give debtor statement of account as per Sch. 7</w:t>
      </w:r>
      <w:bookmarkEnd w:id="132"/>
    </w:p>
    <w:p>
      <w:pPr>
        <w:pStyle w:val="Subsection"/>
        <w:rPr>
          <w:snapToGrid w:val="0"/>
        </w:rPr>
      </w:pPr>
      <w:r>
        <w:rPr>
          <w:snapToGrid w:val="0"/>
        </w:rPr>
        <w:tab/>
        <w:t>(1)</w:t>
      </w:r>
      <w:r>
        <w:rPr>
          <w:snapToGrid w:val="0"/>
        </w:rPr>
        <w:tab/>
        <w:t>A credit provider under a continuing of account credit contract shall give to the debtor a statement of account in accordance with Schedule 7 in respect of each billing cycle applied under the continuing credit contract from time to time.</w:t>
      </w:r>
    </w:p>
    <w:p>
      <w:pPr>
        <w:pStyle w:val="Subsection"/>
        <w:rPr>
          <w:snapToGrid w:val="0"/>
        </w:rPr>
      </w:pPr>
      <w:r>
        <w:rPr>
          <w:snapToGrid w:val="0"/>
        </w:rPr>
        <w:tab/>
        <w:t>(2)</w:t>
      </w:r>
      <w:r>
        <w:rPr>
          <w:snapToGrid w:val="0"/>
        </w:rPr>
        <w:tab/>
        <w:t>A credit provider shall not include in a statement of account referred to in subsection (1) — </w:t>
      </w:r>
    </w:p>
    <w:p>
      <w:pPr>
        <w:pStyle w:val="Indenta"/>
        <w:rPr>
          <w:snapToGrid w:val="0"/>
        </w:rPr>
      </w:pPr>
      <w:r>
        <w:rPr>
          <w:snapToGrid w:val="0"/>
        </w:rPr>
        <w:tab/>
        <w:t>(a)</w:t>
      </w:r>
      <w:r>
        <w:rPr>
          <w:snapToGrid w:val="0"/>
        </w:rPr>
        <w:tab/>
        <w:t>where a mortgage relating to the contract has been entered into, an amount in respect of insurance against loss of the security interest of the mortgagee in any goods the subject of the mortgage by reason of any Act exceeding an amount calculated by applying the prescribed rate for title insurance in relation to goods of that class; or</w:t>
      </w:r>
    </w:p>
    <w:p>
      <w:pPr>
        <w:pStyle w:val="Indenta"/>
        <w:rPr>
          <w:snapToGrid w:val="0"/>
        </w:rPr>
      </w:pPr>
      <w:r>
        <w:rPr>
          <w:snapToGrid w:val="0"/>
        </w:rPr>
        <w:tab/>
        <w:t>(b)</w:t>
      </w:r>
      <w:r>
        <w:rPr>
          <w:snapToGrid w:val="0"/>
        </w:rPr>
        <w:tab/>
        <w:t>an amount in respect of the discharge of a liability of the debtor to the credit provider under a regulated contract that exceeds the amount of the net balance due to the credit provider calculated in accordance with section 103 immediately before the discharge of the liability; or</w:t>
      </w:r>
    </w:p>
    <w:p>
      <w:pPr>
        <w:pStyle w:val="Indenta"/>
        <w:rPr>
          <w:snapToGrid w:val="0"/>
        </w:rPr>
      </w:pPr>
      <w:r>
        <w:rPr>
          <w:snapToGrid w:val="0"/>
        </w:rPr>
        <w:tab/>
        <w:t>(c)</w:t>
      </w:r>
      <w:r>
        <w:rPr>
          <w:snapToGrid w:val="0"/>
        </w:rPr>
        <w:tab/>
        <w:t>a statement that is, or particulars that are, prescribed as a statement, or particulars that may not be included in the statement of account.</w:t>
      </w:r>
    </w:p>
    <w:p>
      <w:pPr>
        <w:pStyle w:val="Subsection"/>
        <w:rPr>
          <w:snapToGrid w:val="0"/>
        </w:rPr>
      </w:pPr>
      <w:r>
        <w:rPr>
          <w:snapToGrid w:val="0"/>
        </w:rPr>
        <w:tab/>
        <w:t>(3)</w:t>
      </w:r>
      <w:r>
        <w:rPr>
          <w:snapToGrid w:val="0"/>
        </w:rPr>
        <w:tab/>
        <w:t>Nothing in this section requires the inclusion in a statement of account referred to in subsection (1) of a statement that is not, or particulars that are not, applicable to the continuing credit contract.</w:t>
      </w:r>
    </w:p>
    <w:p>
      <w:pPr>
        <w:pStyle w:val="Subsection"/>
        <w:rPr>
          <w:snapToGrid w:val="0"/>
        </w:rPr>
      </w:pPr>
      <w:r>
        <w:rPr>
          <w:snapToGrid w:val="0"/>
        </w:rPr>
        <w:tab/>
        <w:t>(4)</w:t>
      </w:r>
      <w:r>
        <w:rPr>
          <w:snapToGrid w:val="0"/>
        </w:rPr>
        <w:tab/>
        <w:t>Where particulars of matters required to be included in the statement of account are included in documents attached to or accompanying the statement of account, the provisions of Schedule 7 requiring those particulars to be so included are sufficiently complied with.</w:t>
      </w:r>
    </w:p>
    <w:p>
      <w:pPr>
        <w:pStyle w:val="Subsection"/>
        <w:rPr>
          <w:snapToGrid w:val="0"/>
        </w:rPr>
      </w:pPr>
      <w:r>
        <w:rPr>
          <w:snapToGrid w:val="0"/>
        </w:rPr>
        <w:tab/>
        <w:t>(5)</w:t>
      </w:r>
      <w:r>
        <w:rPr>
          <w:snapToGrid w:val="0"/>
        </w:rPr>
        <w:tab/>
        <w:t>Where an amount paid by a debtor is not included in the statement of account in respect of the billing cycle during which the amount was paid, the credit provider shall, within a reasonable time after the receipt of the amount, enter the amount in the account of the debtor kept by the credit provider.</w:t>
      </w:r>
    </w:p>
    <w:p>
      <w:pPr>
        <w:pStyle w:val="Subsection"/>
        <w:keepNext/>
        <w:rPr>
          <w:snapToGrid w:val="0"/>
        </w:rPr>
      </w:pPr>
      <w:r>
        <w:rPr>
          <w:snapToGrid w:val="0"/>
        </w:rPr>
        <w:tab/>
        <w:t>(6)</w:t>
      </w:r>
      <w:r>
        <w:rPr>
          <w:snapToGrid w:val="0"/>
        </w:rPr>
        <w:tab/>
        <w:t>A credit provider under a continuing credit contract shall not — </w:t>
      </w:r>
    </w:p>
    <w:p>
      <w:pPr>
        <w:pStyle w:val="Indenta"/>
        <w:rPr>
          <w:snapToGrid w:val="0"/>
        </w:rPr>
      </w:pPr>
      <w:r>
        <w:rPr>
          <w:snapToGrid w:val="0"/>
        </w:rPr>
        <w:tab/>
        <w:t>(a)</w:t>
      </w:r>
      <w:r>
        <w:rPr>
          <w:snapToGrid w:val="0"/>
        </w:rPr>
        <w:tab/>
        <w:t>fail to give a statement of account in accordance with this section in respect of each billing cycle applied under the contract from time to time; or</w:t>
      </w:r>
    </w:p>
    <w:p>
      <w:pPr>
        <w:pStyle w:val="Indenta"/>
        <w:rPr>
          <w:snapToGrid w:val="0"/>
        </w:rPr>
      </w:pPr>
      <w:r>
        <w:rPr>
          <w:snapToGrid w:val="0"/>
        </w:rPr>
        <w:tab/>
        <w:t>(b)</w:t>
      </w:r>
      <w:r>
        <w:rPr>
          <w:snapToGrid w:val="0"/>
        </w:rPr>
        <w:tab/>
        <w:t>give a statement of account that does not comply with the provisions</w:t>
      </w:r>
      <w:bookmarkStart w:id="133" w:name="RuleErr_56"/>
      <w:r>
        <w:rPr>
          <w:snapToGrid w:val="0"/>
        </w:rPr>
        <w:t xml:space="preserve"> of this section</w:t>
      </w:r>
      <w:bookmarkEnd w:id="133"/>
      <w:r>
        <w:rPr>
          <w:snapToGrid w:val="0"/>
        </w:rPr>
        <w:t>; or</w:t>
      </w:r>
    </w:p>
    <w:p>
      <w:pPr>
        <w:pStyle w:val="Indenta"/>
        <w:rPr>
          <w:snapToGrid w:val="0"/>
        </w:rPr>
      </w:pPr>
      <w:r>
        <w:rPr>
          <w:snapToGrid w:val="0"/>
        </w:rPr>
        <w:tab/>
        <w:t>(c)</w:t>
      </w:r>
      <w:r>
        <w:rPr>
          <w:snapToGrid w:val="0"/>
        </w:rPr>
        <w:tab/>
        <w:t>give a statement of account under this section in respect of a billing cycle the period of which exceeds 40 days; or</w:t>
      </w:r>
    </w:p>
    <w:p>
      <w:pPr>
        <w:pStyle w:val="Indenta"/>
        <w:rPr>
          <w:snapToGrid w:val="0"/>
        </w:rPr>
      </w:pPr>
      <w:r>
        <w:rPr>
          <w:snapToGrid w:val="0"/>
        </w:rPr>
        <w:tab/>
        <w:t>(d)</w:t>
      </w:r>
      <w:r>
        <w:rPr>
          <w:snapToGrid w:val="0"/>
        </w:rPr>
        <w:tab/>
        <w:t>include in a statement of account under this section an amount of deferral charges or default charges.</w:t>
      </w:r>
    </w:p>
    <w:p>
      <w:pPr>
        <w:pStyle w:val="Penstart"/>
        <w:rPr>
          <w:snapToGrid w:val="0"/>
        </w:rPr>
      </w:pPr>
      <w:r>
        <w:rPr>
          <w:snapToGrid w:val="0"/>
        </w:rPr>
        <w:tab/>
        <w:t>Penalty: $1 000.</w:t>
      </w:r>
    </w:p>
    <w:p>
      <w:pPr>
        <w:pStyle w:val="Heading5"/>
        <w:rPr>
          <w:snapToGrid w:val="0"/>
        </w:rPr>
      </w:pPr>
      <w:bookmarkStart w:id="134" w:name="_Toc392496531"/>
      <w:r>
        <w:rPr>
          <w:rStyle w:val="CharSectno"/>
        </w:rPr>
        <w:t>62</w:t>
      </w:r>
      <w:r>
        <w:rPr>
          <w:snapToGrid w:val="0"/>
        </w:rPr>
        <w:t>.</w:t>
      </w:r>
      <w:r>
        <w:rPr>
          <w:snapToGrid w:val="0"/>
        </w:rPr>
        <w:tab/>
        <w:t>Billing errors, notice, effect and correction of</w:t>
      </w:r>
      <w:bookmarkEnd w:id="134"/>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the debtor under a continuing credit contract queries, by a written document given or sent to the credit provider, any amount or other matter (being matter that the debtor reasonably believes is incorrect as to the nature or extent of the liability of the debtor to the credit provider) shown in a statement of account given to him in accordance with section 61; and</w:t>
      </w:r>
    </w:p>
    <w:p>
      <w:pPr>
        <w:pStyle w:val="Indenta"/>
        <w:rPr>
          <w:snapToGrid w:val="0"/>
        </w:rPr>
      </w:pPr>
      <w:r>
        <w:rPr>
          <w:snapToGrid w:val="0"/>
        </w:rPr>
        <w:tab/>
        <w:t>(b)</w:t>
      </w:r>
      <w:r>
        <w:rPr>
          <w:snapToGrid w:val="0"/>
        </w:rPr>
        <w:tab/>
        <w:t>the document contains sufficient details to enable the credit provider to identify the statement of account; and</w:t>
      </w:r>
    </w:p>
    <w:p>
      <w:pPr>
        <w:pStyle w:val="Indenta"/>
        <w:rPr>
          <w:snapToGrid w:val="0"/>
        </w:rPr>
      </w:pPr>
      <w:r>
        <w:rPr>
          <w:snapToGrid w:val="0"/>
        </w:rPr>
        <w:tab/>
        <w:t>(c)</w:t>
      </w:r>
      <w:r>
        <w:rPr>
          <w:snapToGrid w:val="0"/>
        </w:rPr>
        <w:tab/>
        <w:t>the document is given or sent to the credit provider before payment under the contract is due in respect of the statement of account; and</w:t>
      </w:r>
    </w:p>
    <w:p>
      <w:pPr>
        <w:pStyle w:val="Indenta"/>
        <w:keepNext/>
        <w:rPr>
          <w:snapToGrid w:val="0"/>
        </w:rPr>
      </w:pPr>
      <w:r>
        <w:rPr>
          <w:snapToGrid w:val="0"/>
        </w:rPr>
        <w:tab/>
        <w:t>(d)</w:t>
      </w:r>
      <w:r>
        <w:rPr>
          <w:snapToGrid w:val="0"/>
        </w:rPr>
        <w:tab/>
        <w:t>the credit provider does not take such action as satisfies the query,</w:t>
      </w:r>
    </w:p>
    <w:p>
      <w:pPr>
        <w:pStyle w:val="Subsection"/>
        <w:rPr>
          <w:snapToGrid w:val="0"/>
        </w:rPr>
      </w:pPr>
      <w:r>
        <w:rPr>
          <w:snapToGrid w:val="0"/>
        </w:rPr>
        <w:tab/>
      </w:r>
      <w:r>
        <w:rPr>
          <w:snapToGrid w:val="0"/>
        </w:rPr>
        <w:tab/>
        <w:t>any right of action claimed by the credit provider in respect of the queried amount or other matter and any related credit charges, and any obligation on the part of the debtor to pay the queried amount and any related credit charges, are suspended until after the expiration of the 2 complete billing cycles that next succeed the giving by the credit provider to the debtor of a written notification setting out his decision in relation to the query.</w:t>
      </w:r>
    </w:p>
    <w:p>
      <w:pPr>
        <w:pStyle w:val="Subsection"/>
        <w:rPr>
          <w:snapToGrid w:val="0"/>
        </w:rPr>
      </w:pPr>
      <w:r>
        <w:rPr>
          <w:snapToGrid w:val="0"/>
        </w:rPr>
        <w:tab/>
        <w:t>(2)</w:t>
      </w:r>
      <w:r>
        <w:rPr>
          <w:snapToGrid w:val="0"/>
        </w:rPr>
        <w:tab/>
        <w:t>If the credit provider corrects, in a manner that satisfies the query, the amount or other matter in the statement of account relating to the next billing cycle given to the debtor or a subsequent billing cycle, the credit provider may not impose any charge for the provision of credit, or otherwise, in respect of that next billing cycle and any such subsequent billing cycles, relating to the queried amount or other matter, and the imposition of any such charge is, without limiting subsection (4), void.</w:t>
      </w:r>
    </w:p>
    <w:p>
      <w:pPr>
        <w:pStyle w:val="Subsection"/>
        <w:rPr>
          <w:snapToGrid w:val="0"/>
        </w:rPr>
      </w:pPr>
      <w:r>
        <w:rPr>
          <w:snapToGrid w:val="0"/>
        </w:rPr>
        <w:tab/>
        <w:t>(3)</w:t>
      </w:r>
      <w:r>
        <w:rPr>
          <w:snapToGrid w:val="0"/>
        </w:rPr>
        <w:tab/>
        <w:t>The debtor may apply to the Tribunal, before the expiration of the 2 complete billing cycles that next succeed the giving by the credit provider to the debtor of a written notification of his decision in relation to the query, for a determination to be made with respect to the queried amount or other matter, and any right of action, and obligation to pay, referred to in subsection (1) are further suspended until the Tribunal makes its determination.</w:t>
      </w:r>
    </w:p>
    <w:p>
      <w:pPr>
        <w:pStyle w:val="Subsection"/>
        <w:rPr>
          <w:snapToGrid w:val="0"/>
        </w:rPr>
      </w:pPr>
      <w:r>
        <w:rPr>
          <w:snapToGrid w:val="0"/>
        </w:rPr>
        <w:tab/>
        <w:t>(4)</w:t>
      </w:r>
      <w:r>
        <w:rPr>
          <w:snapToGrid w:val="0"/>
        </w:rPr>
        <w:tab/>
        <w:t>The determination of the Tribunal is conclusive as to the matters in dispute, and the Tribunal may make such orders as it thinks fit, including — </w:t>
      </w:r>
    </w:p>
    <w:p>
      <w:pPr>
        <w:pStyle w:val="Indenta"/>
        <w:rPr>
          <w:snapToGrid w:val="0"/>
        </w:rPr>
      </w:pPr>
      <w:r>
        <w:rPr>
          <w:snapToGrid w:val="0"/>
        </w:rPr>
        <w:tab/>
        <w:t>(a)</w:t>
      </w:r>
      <w:r>
        <w:rPr>
          <w:snapToGrid w:val="0"/>
        </w:rPr>
        <w:tab/>
        <w:t>an order that the whole or a specified part of the credit or other charges that would have been payable by the debtor had he not made his query are payable by him; and</w:t>
      </w:r>
    </w:p>
    <w:p>
      <w:pPr>
        <w:pStyle w:val="Indenta"/>
        <w:rPr>
          <w:snapToGrid w:val="0"/>
        </w:rPr>
      </w:pPr>
      <w:r>
        <w:rPr>
          <w:snapToGrid w:val="0"/>
        </w:rPr>
        <w:tab/>
        <w:t>(b)</w:t>
      </w:r>
      <w:r>
        <w:rPr>
          <w:snapToGrid w:val="0"/>
        </w:rPr>
        <w:tab/>
        <w:t>an order removing the suspension imposed by subsection (1).</w:t>
      </w:r>
    </w:p>
    <w:p>
      <w:pPr>
        <w:pStyle w:val="Subsection"/>
        <w:rPr>
          <w:snapToGrid w:val="0"/>
        </w:rPr>
      </w:pPr>
      <w:r>
        <w:rPr>
          <w:snapToGrid w:val="0"/>
        </w:rPr>
        <w:tab/>
        <w:t>(5)</w:t>
      </w:r>
      <w:r>
        <w:rPr>
          <w:snapToGrid w:val="0"/>
        </w:rPr>
        <w:tab/>
        <w:t>A credit provider shall not institute proceedings in respect of a right of action referred to in subsection (1) while the right of action is, by virtue</w:t>
      </w:r>
      <w:bookmarkStart w:id="135" w:name="RuleErr_57"/>
      <w:r>
        <w:rPr>
          <w:snapToGrid w:val="0"/>
        </w:rPr>
        <w:t xml:space="preserve"> of this section</w:t>
      </w:r>
      <w:bookmarkEnd w:id="135"/>
      <w:r>
        <w:rPr>
          <w:snapToGrid w:val="0"/>
        </w:rPr>
        <w:t>, suspended.</w:t>
      </w:r>
    </w:p>
    <w:p>
      <w:pPr>
        <w:pStyle w:val="Penstart"/>
        <w:rPr>
          <w:snapToGrid w:val="0"/>
        </w:rPr>
      </w:pPr>
      <w:r>
        <w:rPr>
          <w:snapToGrid w:val="0"/>
        </w:rPr>
        <w:tab/>
        <w:t>Penalty: $2 000.</w:t>
      </w:r>
    </w:p>
    <w:p>
      <w:pPr>
        <w:pStyle w:val="Heading5"/>
        <w:rPr>
          <w:snapToGrid w:val="0"/>
        </w:rPr>
      </w:pPr>
      <w:bookmarkStart w:id="136" w:name="_Toc392496532"/>
      <w:r>
        <w:rPr>
          <w:rStyle w:val="CharSectno"/>
        </w:rPr>
        <w:t>63</w:t>
      </w:r>
      <w:r>
        <w:rPr>
          <w:snapToGrid w:val="0"/>
        </w:rPr>
        <w:t>.</w:t>
      </w:r>
      <w:r>
        <w:rPr>
          <w:snapToGrid w:val="0"/>
        </w:rPr>
        <w:tab/>
        <w:t>Credit provider to give debtor request for payment etc. before starting recovery proceedings</w:t>
      </w:r>
      <w:bookmarkEnd w:id="136"/>
    </w:p>
    <w:p>
      <w:pPr>
        <w:pStyle w:val="Subsection"/>
        <w:rPr>
          <w:snapToGrid w:val="0"/>
        </w:rPr>
      </w:pPr>
      <w:r>
        <w:rPr>
          <w:snapToGrid w:val="0"/>
        </w:rPr>
        <w:tab/>
      </w:r>
      <w:r>
        <w:rPr>
          <w:snapToGrid w:val="0"/>
        </w:rPr>
        <w:tab/>
        <w:t>A credit provider shall not institute proceedings for the recovery of an amount owed to him under a continuing credit contract unless, when giving the required notice under section 107, he gives the debtor a statement of account under section 61 that includes a request for payment of that amount.</w:t>
      </w:r>
    </w:p>
    <w:p>
      <w:pPr>
        <w:pStyle w:val="Penstart"/>
        <w:rPr>
          <w:snapToGrid w:val="0"/>
        </w:rPr>
      </w:pPr>
      <w:r>
        <w:rPr>
          <w:snapToGrid w:val="0"/>
        </w:rPr>
        <w:tab/>
        <w:t>Penalty: $1 000.</w:t>
      </w:r>
    </w:p>
    <w:p>
      <w:pPr>
        <w:pStyle w:val="Heading5"/>
        <w:rPr>
          <w:snapToGrid w:val="0"/>
        </w:rPr>
      </w:pPr>
      <w:bookmarkStart w:id="137" w:name="_Toc392496533"/>
      <w:r>
        <w:rPr>
          <w:rStyle w:val="CharSectno"/>
        </w:rPr>
        <w:t>64</w:t>
      </w:r>
      <w:r>
        <w:rPr>
          <w:snapToGrid w:val="0"/>
        </w:rPr>
        <w:t>.</w:t>
      </w:r>
      <w:r>
        <w:rPr>
          <w:snapToGrid w:val="0"/>
        </w:rPr>
        <w:tab/>
        <w:t>Statement of account not to include opening balance in some circumstances</w:t>
      </w:r>
      <w:bookmarkEnd w:id="137"/>
    </w:p>
    <w:p>
      <w:pPr>
        <w:pStyle w:val="Subsection"/>
        <w:rPr>
          <w:snapToGrid w:val="0"/>
        </w:rPr>
      </w:pPr>
      <w:r>
        <w:rPr>
          <w:snapToGrid w:val="0"/>
        </w:rPr>
        <w:tab/>
        <w:t>(1)</w:t>
      </w:r>
      <w:r>
        <w:rPr>
          <w:snapToGrid w:val="0"/>
        </w:rPr>
        <w:tab/>
        <w:t>A credit provider shall not give to a debtor a statement of account relating to a billing cycle of a continuing credit contract that includes in the chargeable amount an amount owed by the debtor under the contract immediately before the first day of the billing cycle unless — </w:t>
      </w:r>
    </w:p>
    <w:p>
      <w:pPr>
        <w:pStyle w:val="Indenta"/>
        <w:rPr>
          <w:snapToGrid w:val="0"/>
        </w:rPr>
      </w:pPr>
      <w:r>
        <w:rPr>
          <w:snapToGrid w:val="0"/>
        </w:rPr>
        <w:tab/>
        <w:t>(a)</w:t>
      </w:r>
      <w:r>
        <w:rPr>
          <w:snapToGrid w:val="0"/>
        </w:rPr>
        <w:tab/>
        <w:t>he has given to the debtor a statement of account in respect of the billing cycle immediately preceding the first</w:t>
      </w:r>
      <w:r>
        <w:rPr>
          <w:snapToGrid w:val="0"/>
        </w:rPr>
        <w:noBreakHyphen/>
      </w:r>
      <w:bookmarkStart w:id="138" w:name="RuleErr_144"/>
      <w:r>
        <w:rPr>
          <w:snapToGrid w:val="0"/>
        </w:rPr>
        <w:t>mentioned</w:t>
      </w:r>
      <w:bookmarkEnd w:id="138"/>
      <w:r>
        <w:rPr>
          <w:snapToGrid w:val="0"/>
        </w:rPr>
        <w:t xml:space="preserve"> billing cycle; and</w:t>
      </w:r>
    </w:p>
    <w:p>
      <w:pPr>
        <w:pStyle w:val="Indenta"/>
        <w:keepNext/>
        <w:rPr>
          <w:snapToGrid w:val="0"/>
        </w:rPr>
      </w:pPr>
      <w:r>
        <w:rPr>
          <w:snapToGrid w:val="0"/>
        </w:rPr>
        <w:tab/>
        <w:t>(b)</w:t>
      </w:r>
      <w:r>
        <w:rPr>
          <w:snapToGrid w:val="0"/>
        </w:rPr>
        <w:tab/>
        <w:t>he gave that statement to the debtor not later than — </w:t>
      </w:r>
    </w:p>
    <w:p>
      <w:pPr>
        <w:pStyle w:val="Indenti"/>
        <w:rPr>
          <w:snapToGrid w:val="0"/>
        </w:rPr>
      </w:pPr>
      <w:r>
        <w:rPr>
          <w:snapToGrid w:val="0"/>
        </w:rPr>
        <w:tab/>
        <w:t>(i)</w:t>
      </w:r>
      <w:r>
        <w:rPr>
          <w:snapToGrid w:val="0"/>
        </w:rPr>
        <w:tab/>
        <w:t>where the first</w:t>
      </w:r>
      <w:r>
        <w:rPr>
          <w:snapToGrid w:val="0"/>
        </w:rPr>
        <w:noBreakHyphen/>
      </w:r>
      <w:bookmarkStart w:id="139" w:name="RuleErr_145"/>
      <w:r>
        <w:rPr>
          <w:snapToGrid w:val="0"/>
        </w:rPr>
        <w:t>mentioned</w:t>
      </w:r>
      <w:bookmarkEnd w:id="139"/>
      <w:r>
        <w:rPr>
          <w:snapToGrid w:val="0"/>
        </w:rPr>
        <w:t xml:space="preserve"> billing cycle is 14 days or more — 8 days before the end of that billing cycle; or</w:t>
      </w:r>
    </w:p>
    <w:p>
      <w:pPr>
        <w:pStyle w:val="Indenti"/>
        <w:rPr>
          <w:snapToGrid w:val="0"/>
        </w:rPr>
      </w:pPr>
      <w:r>
        <w:rPr>
          <w:snapToGrid w:val="0"/>
        </w:rPr>
        <w:tab/>
        <w:t>(ii)</w:t>
      </w:r>
      <w:r>
        <w:rPr>
          <w:snapToGrid w:val="0"/>
        </w:rPr>
        <w:tab/>
        <w:t>where the first</w:t>
      </w:r>
      <w:r>
        <w:rPr>
          <w:snapToGrid w:val="0"/>
        </w:rPr>
        <w:noBreakHyphen/>
      </w:r>
      <w:bookmarkStart w:id="140" w:name="RuleErr_146"/>
      <w:r>
        <w:rPr>
          <w:snapToGrid w:val="0"/>
        </w:rPr>
        <w:t>mentioned</w:t>
      </w:r>
      <w:bookmarkEnd w:id="140"/>
      <w:r>
        <w:rPr>
          <w:snapToGrid w:val="0"/>
        </w:rPr>
        <w:t xml:space="preserve"> billing cycle is less than 14 days — 4 days before the end of that billing cycle.</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Where a credit provider gives to debtors statements of account that are posted by bulk postage, and proceedings are brought against the credit provider for an offence under subsection (1) in respect of a continuing credit contract, proceedings for a like offence under subsection (1) may not be instituted against him in respect of another continuing credit contract in respect of which a statement of account was posted by the same bulk postage.</w:t>
      </w:r>
    </w:p>
    <w:p>
      <w:pPr>
        <w:pStyle w:val="Heading5"/>
        <w:spacing w:before="140"/>
        <w:rPr>
          <w:snapToGrid w:val="0"/>
        </w:rPr>
      </w:pPr>
      <w:bookmarkStart w:id="141" w:name="_Toc392496534"/>
      <w:r>
        <w:rPr>
          <w:rStyle w:val="CharSectno"/>
        </w:rPr>
        <w:t>65</w:t>
      </w:r>
      <w:r>
        <w:rPr>
          <w:snapToGrid w:val="0"/>
        </w:rPr>
        <w:t>.</w:t>
      </w:r>
      <w:r>
        <w:rPr>
          <w:snapToGrid w:val="0"/>
        </w:rPr>
        <w:tab/>
        <w:t>Statement of account not needed in some circumstances</w:t>
      </w:r>
      <w:bookmarkEnd w:id="141"/>
    </w:p>
    <w:p>
      <w:pPr>
        <w:pStyle w:val="Subsection"/>
        <w:spacing w:before="100"/>
        <w:rPr>
          <w:snapToGrid w:val="0"/>
        </w:rPr>
      </w:pPr>
      <w:r>
        <w:rPr>
          <w:snapToGrid w:val="0"/>
        </w:rPr>
        <w:tab/>
      </w:r>
      <w:r>
        <w:rPr>
          <w:snapToGrid w:val="0"/>
        </w:rPr>
        <w:tab/>
        <w:t>Nothing in section 61 or 64 requires a credit provider to give to a debtor a statement of account in respect of a billing cycle of a continuing credit contract where — </w:t>
      </w:r>
    </w:p>
    <w:p>
      <w:pPr>
        <w:pStyle w:val="Indenta"/>
        <w:rPr>
          <w:snapToGrid w:val="0"/>
        </w:rPr>
      </w:pPr>
      <w:r>
        <w:rPr>
          <w:snapToGrid w:val="0"/>
        </w:rPr>
        <w:tab/>
        <w:t>(a)</w:t>
      </w:r>
      <w:r>
        <w:rPr>
          <w:snapToGrid w:val="0"/>
        </w:rPr>
        <w:tab/>
        <w:t>during the billing cycle an amount was not entered in the account of the debtor kept by the credit provider and at the end of the billing cycle there was not an amount entered in the account and owing by or to the debtor; or</w:t>
      </w:r>
    </w:p>
    <w:p>
      <w:pPr>
        <w:pStyle w:val="Indenta"/>
        <w:rPr>
          <w:snapToGrid w:val="0"/>
        </w:rPr>
      </w:pPr>
      <w:r>
        <w:rPr>
          <w:snapToGrid w:val="0"/>
        </w:rPr>
        <w:tab/>
        <w:t>(b)</w:t>
      </w:r>
      <w:r>
        <w:rPr>
          <w:snapToGrid w:val="0"/>
        </w:rPr>
        <w:tab/>
        <w:t>during the billing cycle — </w:t>
      </w:r>
    </w:p>
    <w:p>
      <w:pPr>
        <w:pStyle w:val="Indenti"/>
        <w:rPr>
          <w:snapToGrid w:val="0"/>
        </w:rPr>
      </w:pPr>
      <w:r>
        <w:rPr>
          <w:snapToGrid w:val="0"/>
        </w:rPr>
        <w:tab/>
        <w:t>(i)</w:t>
      </w:r>
      <w:r>
        <w:rPr>
          <w:snapToGrid w:val="0"/>
        </w:rPr>
        <w:tab/>
        <w:t>the credit provider wrote off the debt of the debtor under the contract; and</w:t>
      </w:r>
    </w:p>
    <w:p>
      <w:pPr>
        <w:pStyle w:val="Indenti"/>
        <w:rPr>
          <w:snapToGrid w:val="0"/>
        </w:rPr>
      </w:pPr>
      <w:r>
        <w:rPr>
          <w:snapToGrid w:val="0"/>
        </w:rPr>
        <w:tab/>
        <w:t>(ii)</w:t>
      </w:r>
      <w:r>
        <w:rPr>
          <w:snapToGrid w:val="0"/>
        </w:rPr>
        <w:tab/>
        <w:t xml:space="preserve">no other entries were made in the account of the debtor kept by the credit provider;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during the whole of the billing cycle and the 2 immediately preceding billing cycles, the debtor was in default under the contract and, before the commencement of the first</w:t>
      </w:r>
      <w:r>
        <w:rPr>
          <w:snapToGrid w:val="0"/>
        </w:rPr>
        <w:noBreakHyphen/>
      </w:r>
      <w:bookmarkStart w:id="142" w:name="RuleErr_147"/>
      <w:r>
        <w:rPr>
          <w:snapToGrid w:val="0"/>
        </w:rPr>
        <w:t>mentioned</w:t>
      </w:r>
      <w:bookmarkEnd w:id="142"/>
      <w:r>
        <w:rPr>
          <w:snapToGrid w:val="0"/>
        </w:rPr>
        <w:t xml:space="preserve"> billing cycle, the credit provider, in accordance with the contract, exercised a right not to provide further credit under the contract and did not, during the billing cycle, provide further credit.</w:t>
      </w:r>
    </w:p>
    <w:p>
      <w:pPr>
        <w:pStyle w:val="Heading5"/>
        <w:spacing w:before="140"/>
        <w:rPr>
          <w:snapToGrid w:val="0"/>
        </w:rPr>
      </w:pPr>
      <w:bookmarkStart w:id="143" w:name="_Toc392496535"/>
      <w:r>
        <w:rPr>
          <w:rStyle w:val="CharSectno"/>
        </w:rPr>
        <w:t>66</w:t>
      </w:r>
      <w:r>
        <w:rPr>
          <w:snapToGrid w:val="0"/>
        </w:rPr>
        <w:t>.</w:t>
      </w:r>
      <w:r>
        <w:rPr>
          <w:snapToGrid w:val="0"/>
        </w:rPr>
        <w:tab/>
        <w:t>Credit provider to pay amounts owed to debtor upon request</w:t>
      </w:r>
      <w:bookmarkEnd w:id="143"/>
    </w:p>
    <w:p>
      <w:pPr>
        <w:pStyle w:val="Subsection"/>
        <w:spacing w:before="100"/>
        <w:rPr>
          <w:snapToGrid w:val="0"/>
        </w:rPr>
      </w:pPr>
      <w:r>
        <w:rPr>
          <w:snapToGrid w:val="0"/>
        </w:rPr>
        <w:tab/>
      </w:r>
      <w:r>
        <w:rPr>
          <w:snapToGrid w:val="0"/>
        </w:rPr>
        <w:tab/>
        <w:t>Where at any time there is an amount owing to the debtor by the credit provider under a continuing credit contract that exceeds the amount owing at that time by the debtor to the credit provider, the credit provider shall, upon request by the debtor pay that amount to the debtor.</w:t>
      </w:r>
    </w:p>
    <w:p>
      <w:pPr>
        <w:pStyle w:val="Heading5"/>
        <w:rPr>
          <w:snapToGrid w:val="0"/>
        </w:rPr>
      </w:pPr>
      <w:bookmarkStart w:id="144" w:name="_Toc392496536"/>
      <w:r>
        <w:rPr>
          <w:rStyle w:val="CharSectno"/>
        </w:rPr>
        <w:t>67</w:t>
      </w:r>
      <w:r>
        <w:rPr>
          <w:snapToGrid w:val="0"/>
        </w:rPr>
        <w:t>.</w:t>
      </w:r>
      <w:r>
        <w:rPr>
          <w:snapToGrid w:val="0"/>
        </w:rPr>
        <w:tab/>
        <w:t>Breach of s. 3(4), 59, 61, 91(1) etc., effect of</w:t>
      </w:r>
      <w:bookmarkEnd w:id="144"/>
    </w:p>
    <w:p>
      <w:pPr>
        <w:pStyle w:val="Subsection"/>
        <w:rPr>
          <w:snapToGrid w:val="0"/>
        </w:rPr>
      </w:pPr>
      <w:r>
        <w:rPr>
          <w:snapToGrid w:val="0"/>
        </w:rPr>
        <w:tab/>
        <w:t>(1)</w:t>
      </w:r>
      <w:r>
        <w:rPr>
          <w:snapToGrid w:val="0"/>
        </w:rPr>
        <w:tab/>
        <w:t>Subject to section 85, where, in relation to a billing cycle of a continuing credit contract — </w:t>
      </w:r>
    </w:p>
    <w:p>
      <w:pPr>
        <w:pStyle w:val="Indenta"/>
        <w:rPr>
          <w:snapToGrid w:val="0"/>
        </w:rPr>
      </w:pPr>
      <w:r>
        <w:rPr>
          <w:snapToGrid w:val="0"/>
        </w:rPr>
        <w:tab/>
        <w:t>(a)</w:t>
      </w:r>
      <w:r>
        <w:rPr>
          <w:snapToGrid w:val="0"/>
        </w:rPr>
        <w:tab/>
        <w:t>the credit provider has not given notice in writing to the debtor of the annual percentage rate in respect of the contract in accordance with section 3(4) or 59; or</w:t>
      </w:r>
    </w:p>
    <w:p>
      <w:pPr>
        <w:pStyle w:val="Indenta"/>
        <w:rPr>
          <w:snapToGrid w:val="0"/>
        </w:rPr>
      </w:pPr>
      <w:r>
        <w:rPr>
          <w:snapToGrid w:val="0"/>
        </w:rPr>
        <w:tab/>
        <w:t>(b)</w:t>
      </w:r>
      <w:r>
        <w:rPr>
          <w:snapToGrid w:val="0"/>
        </w:rPr>
        <w:tab/>
        <w:t>the credit charge — </w:t>
      </w:r>
    </w:p>
    <w:p>
      <w:pPr>
        <w:pStyle w:val="Indenti"/>
        <w:rPr>
          <w:snapToGrid w:val="0"/>
        </w:rPr>
      </w:pPr>
      <w:r>
        <w:rPr>
          <w:snapToGrid w:val="0"/>
        </w:rPr>
        <w:tab/>
        <w:t>(i)</w:t>
      </w:r>
      <w:r>
        <w:rPr>
          <w:snapToGrid w:val="0"/>
        </w:rPr>
        <w:tab/>
        <w:t>is determined otherwise than in accordance with this Division; or</w:t>
      </w:r>
    </w:p>
    <w:p>
      <w:pPr>
        <w:pStyle w:val="Indenti"/>
        <w:rPr>
          <w:snapToGrid w:val="0"/>
        </w:rPr>
      </w:pPr>
      <w:r>
        <w:rPr>
          <w:snapToGrid w:val="0"/>
        </w:rPr>
        <w:tab/>
        <w:t>(ii)</w:t>
      </w:r>
      <w:r>
        <w:rPr>
          <w:snapToGrid w:val="0"/>
        </w:rPr>
        <w:tab/>
        <w:t>is not included in a statement of account for that billing cycle given to the debtor under section 61;</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debtor incurs a debt under the contract before the credit provider has given a notice under section 59; or</w:t>
      </w:r>
    </w:p>
    <w:p>
      <w:pPr>
        <w:pStyle w:val="Indenta"/>
        <w:rPr>
          <w:snapToGrid w:val="0"/>
        </w:rPr>
      </w:pPr>
      <w:r>
        <w:rPr>
          <w:snapToGrid w:val="0"/>
        </w:rPr>
        <w:tab/>
        <w:t>(d)</w:t>
      </w:r>
      <w:r>
        <w:rPr>
          <w:snapToGrid w:val="0"/>
        </w:rPr>
        <w:tab/>
        <w:t>the credit provider includes in the statement of account for that billing cycle an amount of deferral charges or default charges; or</w:t>
      </w:r>
    </w:p>
    <w:p>
      <w:pPr>
        <w:pStyle w:val="Indenta"/>
        <w:rPr>
          <w:snapToGrid w:val="0"/>
        </w:rPr>
      </w:pPr>
      <w:r>
        <w:rPr>
          <w:snapToGrid w:val="0"/>
        </w:rPr>
        <w:tab/>
        <w:t>(e)</w:t>
      </w:r>
      <w:r>
        <w:rPr>
          <w:snapToGrid w:val="0"/>
        </w:rPr>
        <w:tab/>
        <w:t>a mortgage relating to the continuing credit contract is entered into in contravention of section 91(1),</w:t>
      </w:r>
    </w:p>
    <w:p>
      <w:pPr>
        <w:pStyle w:val="Subsection"/>
        <w:rPr>
          <w:snapToGrid w:val="0"/>
        </w:rPr>
      </w:pPr>
      <w:r>
        <w:rPr>
          <w:snapToGrid w:val="0"/>
        </w:rPr>
        <w:tab/>
      </w:r>
      <w:r>
        <w:rPr>
          <w:snapToGrid w:val="0"/>
        </w:rPr>
        <w:tab/>
        <w:t>the debtor is not liable to pay to the credit provider the credit charge in respect of that billing cycle.</w:t>
      </w:r>
    </w:p>
    <w:p>
      <w:pPr>
        <w:pStyle w:val="Subsection"/>
        <w:rPr>
          <w:snapToGrid w:val="0"/>
        </w:rPr>
      </w:pPr>
      <w:r>
        <w:rPr>
          <w:snapToGrid w:val="0"/>
        </w:rPr>
        <w:tab/>
        <w:t>(2)</w:t>
      </w:r>
      <w:r>
        <w:rPr>
          <w:snapToGrid w:val="0"/>
        </w:rPr>
        <w:tab/>
        <w:t>Nothing in this section affects the liability of a person to be convicted of an offence under this Act.</w:t>
      </w:r>
    </w:p>
    <w:p>
      <w:pPr>
        <w:pStyle w:val="Heading5"/>
        <w:rPr>
          <w:snapToGrid w:val="0"/>
        </w:rPr>
      </w:pPr>
      <w:bookmarkStart w:id="145" w:name="_Toc392496537"/>
      <w:r>
        <w:rPr>
          <w:rStyle w:val="CharSectno"/>
        </w:rPr>
        <w:t>68</w:t>
      </w:r>
      <w:r>
        <w:rPr>
          <w:snapToGrid w:val="0"/>
        </w:rPr>
        <w:t>.</w:t>
      </w:r>
      <w:r>
        <w:rPr>
          <w:snapToGrid w:val="0"/>
        </w:rPr>
        <w:tab/>
        <w:t>Credit provider, on request, to give debtor etc. copy of notice given under s. 3(4), 59 or 60</w:t>
      </w:r>
      <w:bookmarkEnd w:id="145"/>
    </w:p>
    <w:p>
      <w:pPr>
        <w:pStyle w:val="Subsection"/>
        <w:rPr>
          <w:snapToGrid w:val="0"/>
        </w:rPr>
      </w:pPr>
      <w:r>
        <w:rPr>
          <w:snapToGrid w:val="0"/>
        </w:rPr>
        <w:tab/>
        <w:t>(1)</w:t>
      </w:r>
      <w:r>
        <w:rPr>
          <w:snapToGrid w:val="0"/>
        </w:rPr>
        <w:tab/>
        <w:t>Where a credit provider receives a request in writing together with the prescribed fee (if any) from a debtor under a continuing credit contract or from a guarantor who has entered into a contract of guarantee with the credit provider in respect of the obligations of the debtor under a continuing credit contract, the credit provider shall, within 14 days after receipt of the request, give to the debtor or guarantor who made the request a copy of any notice given under section 3(4), 59 or 60 in respect of the contract.</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credit provider is not required to comply with a request under subsection (1) from a debtor under a continuing credit contract or from a guarantor under a contract of guarantee if, within the period of 14 days immediately preceding the receipt of the request, he has complied with an earlier request from that debtor or guarantor in relation to that contract or contract of guarantee.</w:t>
      </w:r>
    </w:p>
    <w:p>
      <w:pPr>
        <w:pStyle w:val="Heading3"/>
        <w:rPr>
          <w:snapToGrid w:val="0"/>
        </w:rPr>
      </w:pPr>
      <w:bookmarkStart w:id="146" w:name="_Toc378152614"/>
      <w:bookmarkStart w:id="147" w:name="_Toc392496538"/>
      <w:r>
        <w:rPr>
          <w:rStyle w:val="CharDivNo"/>
        </w:rPr>
        <w:t>Division 3</w:t>
      </w:r>
      <w:r>
        <w:rPr>
          <w:snapToGrid w:val="0"/>
        </w:rPr>
        <w:t> — </w:t>
      </w:r>
      <w:r>
        <w:rPr>
          <w:rStyle w:val="CharDivText"/>
        </w:rPr>
        <w:t>Operation of regulated contracts</w:t>
      </w:r>
      <w:bookmarkEnd w:id="146"/>
      <w:bookmarkEnd w:id="147"/>
    </w:p>
    <w:p>
      <w:pPr>
        <w:pStyle w:val="Heading5"/>
        <w:rPr>
          <w:snapToGrid w:val="0"/>
        </w:rPr>
      </w:pPr>
      <w:bookmarkStart w:id="148" w:name="_Toc392496539"/>
      <w:r>
        <w:rPr>
          <w:rStyle w:val="CharSectno"/>
        </w:rPr>
        <w:t>69</w:t>
      </w:r>
      <w:r>
        <w:rPr>
          <w:snapToGrid w:val="0"/>
        </w:rPr>
        <w:t>.</w:t>
      </w:r>
      <w:r>
        <w:rPr>
          <w:snapToGrid w:val="0"/>
        </w:rPr>
        <w:tab/>
        <w:t>Re</w:t>
      </w:r>
      <w:r>
        <w:rPr>
          <w:snapToGrid w:val="0"/>
        </w:rPr>
        <w:noBreakHyphen/>
        <w:t>financing of credit contracts, credit provider to give debtor certain information</w:t>
      </w:r>
      <w:bookmarkEnd w:id="148"/>
    </w:p>
    <w:p>
      <w:pPr>
        <w:pStyle w:val="Subsection"/>
        <w:rPr>
          <w:snapToGrid w:val="0"/>
        </w:rPr>
      </w:pPr>
      <w:r>
        <w:rPr>
          <w:snapToGrid w:val="0"/>
        </w:rPr>
        <w:tab/>
        <w:t>(1)</w:t>
      </w:r>
      <w:r>
        <w:rPr>
          <w:snapToGrid w:val="0"/>
        </w:rPr>
        <w:tab/>
        <w:t>Where a credit provider agrees to discharge one or more regulated contracts to which the credit provider and the debtor are parties in consideration of the entering into of another credit contract by the debtor (whether or not a regulated contract), the credit provider shall, before entering into the other credit contract, give to the debtor a statement in writing stating, in respect of each of the regulated contracts to be discharged — </w:t>
      </w:r>
    </w:p>
    <w:p>
      <w:pPr>
        <w:pStyle w:val="Indenta"/>
        <w:rPr>
          <w:snapToGrid w:val="0"/>
        </w:rPr>
      </w:pPr>
      <w:r>
        <w:rPr>
          <w:snapToGrid w:val="0"/>
        </w:rPr>
        <w:tab/>
        <w:t>(a)</w:t>
      </w:r>
      <w:r>
        <w:rPr>
          <w:snapToGrid w:val="0"/>
        </w:rPr>
        <w:tab/>
        <w:t>the amount that would be due to the credit provider under section 105 if, immediately before the relevant date, the debtor were to discharge his obligations under the contract in accordance with that section; and</w:t>
      </w:r>
    </w:p>
    <w:p>
      <w:pPr>
        <w:pStyle w:val="Indenta"/>
        <w:rPr>
          <w:snapToGrid w:val="0"/>
        </w:rPr>
      </w:pPr>
      <w:r>
        <w:rPr>
          <w:snapToGrid w:val="0"/>
        </w:rPr>
        <w:tab/>
        <w:t>(b)</w:t>
      </w:r>
      <w:r>
        <w:rPr>
          <w:snapToGrid w:val="0"/>
        </w:rPr>
        <w:tab/>
        <w:t>in the case of a regulated credit sale contract or a regulated loan contract, particulars of the calculation of that amount by setting out — </w:t>
      </w:r>
    </w:p>
    <w:p>
      <w:pPr>
        <w:pStyle w:val="Indenti"/>
        <w:rPr>
          <w:snapToGrid w:val="0"/>
        </w:rPr>
      </w:pPr>
      <w:r>
        <w:rPr>
          <w:snapToGrid w:val="0"/>
        </w:rPr>
        <w:tab/>
        <w:t>(i)</w:t>
      </w:r>
      <w:r>
        <w:rPr>
          <w:snapToGrid w:val="0"/>
        </w:rPr>
        <w:tab/>
        <w:t>the outstanding balance of the amount financed; and</w:t>
      </w:r>
    </w:p>
    <w:p>
      <w:pPr>
        <w:pStyle w:val="Indenti"/>
        <w:rPr>
          <w:snapToGrid w:val="0"/>
        </w:rPr>
      </w:pPr>
      <w:r>
        <w:rPr>
          <w:snapToGrid w:val="0"/>
        </w:rPr>
        <w:tab/>
        <w:t>(ii)</w:t>
      </w:r>
      <w:r>
        <w:rPr>
          <w:snapToGrid w:val="0"/>
        </w:rPr>
        <w:tab/>
        <w:t>the outstanding balance of the accrued credit charge; and</w:t>
      </w:r>
    </w:p>
    <w:p>
      <w:pPr>
        <w:pStyle w:val="Indenti"/>
        <w:rPr>
          <w:snapToGrid w:val="0"/>
        </w:rPr>
      </w:pPr>
      <w:r>
        <w:rPr>
          <w:snapToGrid w:val="0"/>
        </w:rPr>
        <w:tab/>
        <w:t>(iii)</w:t>
      </w:r>
      <w:r>
        <w:rPr>
          <w:snapToGrid w:val="0"/>
        </w:rPr>
        <w:tab/>
        <w:t>the outstanding balance of deferral charges (if any) charged in accordance with this Part; and</w:t>
      </w:r>
    </w:p>
    <w:p>
      <w:pPr>
        <w:pStyle w:val="Indenti"/>
        <w:rPr>
          <w:snapToGrid w:val="0"/>
        </w:rPr>
      </w:pPr>
      <w:r>
        <w:rPr>
          <w:snapToGrid w:val="0"/>
        </w:rPr>
        <w:tab/>
        <w:t>(iv)</w:t>
      </w:r>
      <w:r>
        <w:rPr>
          <w:snapToGrid w:val="0"/>
        </w:rPr>
        <w:tab/>
        <w:t>the outstanding balance of default charges (if any) charged in accordance with this Part; and</w:t>
      </w:r>
    </w:p>
    <w:p>
      <w:pPr>
        <w:pStyle w:val="Indenti"/>
        <w:rPr>
          <w:snapToGrid w:val="0"/>
        </w:rPr>
      </w:pPr>
      <w:r>
        <w:rPr>
          <w:snapToGrid w:val="0"/>
        </w:rPr>
        <w:tab/>
        <w:t>(v)</w:t>
      </w:r>
      <w:r>
        <w:rPr>
          <w:snapToGrid w:val="0"/>
        </w:rPr>
        <w:tab/>
        <w:t>the outstanding balance of enforcement expenses (if any),</w:t>
      </w:r>
    </w:p>
    <w:p>
      <w:pPr>
        <w:pStyle w:val="Indenta"/>
        <w:rPr>
          <w:snapToGrid w:val="0"/>
        </w:rPr>
      </w:pPr>
      <w:r>
        <w:rPr>
          <w:snapToGrid w:val="0"/>
        </w:rPr>
        <w:tab/>
      </w:r>
      <w:r>
        <w:rPr>
          <w:snapToGrid w:val="0"/>
        </w:rPr>
        <w:tab/>
        <w:t>and (where the relevant insurance and maintenance contracts are discharged) the amounts of statutory rebates (if any) of insurance charges and maintenance charges deducted from the sum of the amounts referred to in subparagraphs (i) to (v).</w:t>
      </w:r>
    </w:p>
    <w:p>
      <w:pPr>
        <w:pStyle w:val="Subsection"/>
        <w:spacing w:before="100"/>
        <w:rPr>
          <w:snapToGrid w:val="0"/>
        </w:rPr>
      </w:pPr>
      <w:r>
        <w:rPr>
          <w:snapToGrid w:val="0"/>
        </w:rPr>
        <w:tab/>
        <w:t>(2)</w:t>
      </w:r>
      <w:r>
        <w:rPr>
          <w:snapToGrid w:val="0"/>
        </w:rPr>
        <w:tab/>
        <w:t xml:space="preserve">In subsection (1), </w:t>
      </w:r>
      <w:r>
        <w:rPr>
          <w:rStyle w:val="CharDefText"/>
        </w:rPr>
        <w:t>relevant date</w:t>
      </w:r>
      <w:r>
        <w:rPr>
          <w:snapToGrid w:val="0"/>
        </w:rPr>
        <w:t xml:space="preserve"> means the date on which the new credit contract is entered into or, if that credit contract is entered into by the acceptance by the credit provider of an offer made by the debtor, the date on which the offer is made. </w:t>
      </w:r>
    </w:p>
    <w:p>
      <w:pPr>
        <w:pStyle w:val="Heading5"/>
        <w:rPr>
          <w:snapToGrid w:val="0"/>
        </w:rPr>
      </w:pPr>
      <w:bookmarkStart w:id="149" w:name="_Toc392496540"/>
      <w:r>
        <w:rPr>
          <w:rStyle w:val="CharSectno"/>
        </w:rPr>
        <w:t>70</w:t>
      </w:r>
      <w:r>
        <w:rPr>
          <w:snapToGrid w:val="0"/>
        </w:rPr>
        <w:t>.</w:t>
      </w:r>
      <w:r>
        <w:rPr>
          <w:snapToGrid w:val="0"/>
        </w:rPr>
        <w:tab/>
        <w:t>Varying credit sale contracts and loan contracts</w:t>
      </w:r>
      <w:bookmarkEnd w:id="149"/>
    </w:p>
    <w:p>
      <w:pPr>
        <w:pStyle w:val="Subsection"/>
        <w:spacing w:before="100"/>
        <w:rPr>
          <w:snapToGrid w:val="0"/>
        </w:rPr>
      </w:pPr>
      <w:r>
        <w:rPr>
          <w:snapToGrid w:val="0"/>
        </w:rPr>
        <w:tab/>
        <w:t>(1)</w:t>
      </w:r>
      <w:r>
        <w:rPr>
          <w:snapToGrid w:val="0"/>
        </w:rPr>
        <w:tab/>
        <w:t>The credit provider and the debtor under a credit sale contract or a loan contract may agree to vary the terms of the contract in relation to, or to payment of, the amount owing under the contract if — </w:t>
      </w:r>
    </w:p>
    <w:p>
      <w:pPr>
        <w:pStyle w:val="Indenta"/>
        <w:rPr>
          <w:snapToGrid w:val="0"/>
        </w:rPr>
      </w:pPr>
      <w:r>
        <w:rPr>
          <w:snapToGrid w:val="0"/>
        </w:rPr>
        <w:tab/>
        <w:t>(a)</w:t>
      </w:r>
      <w:r>
        <w:rPr>
          <w:snapToGrid w:val="0"/>
        </w:rPr>
        <w:tab/>
        <w:t>the outstanding balance of the amount financed at the date of the variation is not increased by the variation or is increased by the variation by reason only of the addition of an amount referred to in subsection (3); and</w:t>
      </w:r>
    </w:p>
    <w:p>
      <w:pPr>
        <w:pStyle w:val="Indenta"/>
        <w:keepNext/>
        <w:rPr>
          <w:snapToGrid w:val="0"/>
        </w:rPr>
      </w:pPr>
      <w:r>
        <w:rPr>
          <w:snapToGrid w:val="0"/>
        </w:rPr>
        <w:tab/>
        <w:t>(b)</w:t>
      </w:r>
      <w:r>
        <w:rPr>
          <w:snapToGrid w:val="0"/>
        </w:rPr>
        <w:tab/>
        <w:t>the annual percentage rate applicable to the contract as varied does not exceed the lesser of — </w:t>
      </w:r>
    </w:p>
    <w:p>
      <w:pPr>
        <w:pStyle w:val="Indenti"/>
        <w:spacing w:before="120"/>
        <w:rPr>
          <w:snapToGrid w:val="0"/>
        </w:rPr>
      </w:pPr>
      <w:r>
        <w:rPr>
          <w:snapToGrid w:val="0"/>
        </w:rPr>
        <w:tab/>
        <w:t>(i)</w:t>
      </w:r>
      <w:r>
        <w:rPr>
          <w:snapToGrid w:val="0"/>
        </w:rPr>
        <w:tab/>
        <w:t>the annual percentage rate applicable to the contract immediately before the variation; and</w:t>
      </w:r>
    </w:p>
    <w:p>
      <w:pPr>
        <w:pStyle w:val="Indenti"/>
        <w:spacing w:before="120"/>
        <w:rPr>
          <w:snapToGrid w:val="0"/>
        </w:rPr>
      </w:pPr>
      <w:r>
        <w:rPr>
          <w:snapToGrid w:val="0"/>
        </w:rPr>
        <w:tab/>
        <w:t>(ii)</w:t>
      </w:r>
      <w:r>
        <w:rPr>
          <w:snapToGrid w:val="0"/>
        </w:rPr>
        <w:tab/>
        <w:t>the annual percentage rate prescribed by the regulations for the purposes</w:t>
      </w:r>
      <w:bookmarkStart w:id="150" w:name="RuleErr_86"/>
      <w:r>
        <w:rPr>
          <w:snapToGrid w:val="0"/>
        </w:rPr>
        <w:t xml:space="preserve"> of this subparagraph</w:t>
      </w:r>
      <w:bookmarkEnd w:id="150"/>
      <w:r>
        <w:rPr>
          <w:snapToGrid w:val="0"/>
        </w:rPr>
        <w:t>;</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(c)</w:t>
      </w:r>
      <w:r>
        <w:rPr>
          <w:snapToGrid w:val="0"/>
        </w:rPr>
        <w:tab/>
        <w:t>a deferral charge is not made in respect of the variation; and</w:t>
      </w:r>
    </w:p>
    <w:p>
      <w:pPr>
        <w:pStyle w:val="Indenta"/>
        <w:spacing w:before="120"/>
        <w:rPr>
          <w:snapToGrid w:val="0"/>
        </w:rPr>
      </w:pPr>
      <w:r>
        <w:rPr>
          <w:snapToGrid w:val="0"/>
        </w:rPr>
        <w:tab/>
        <w:t>(d)</w:t>
      </w:r>
      <w:r>
        <w:rPr>
          <w:snapToGrid w:val="0"/>
        </w:rPr>
        <w:tab/>
        <w:t>the agreement is in writing signed by the credit provider and the debtor and specifies (where applicable) — </w:t>
      </w:r>
    </w:p>
    <w:p>
      <w:pPr>
        <w:pStyle w:val="Indenti"/>
        <w:spacing w:before="120"/>
        <w:rPr>
          <w:snapToGrid w:val="0"/>
        </w:rPr>
      </w:pPr>
      <w:r>
        <w:rPr>
          <w:snapToGrid w:val="0"/>
        </w:rPr>
        <w:tab/>
        <w:t>(i)</w:t>
      </w:r>
      <w:r>
        <w:rPr>
          <w:snapToGrid w:val="0"/>
        </w:rPr>
        <w:tab/>
        <w:t>the varied terms of repayment; and</w:t>
      </w:r>
    </w:p>
    <w:p>
      <w:pPr>
        <w:pStyle w:val="Indenti"/>
        <w:spacing w:before="120"/>
        <w:rPr>
          <w:snapToGrid w:val="0"/>
        </w:rPr>
      </w:pPr>
      <w:r>
        <w:rPr>
          <w:snapToGrid w:val="0"/>
        </w:rPr>
        <w:tab/>
        <w:t>(ii)</w:t>
      </w:r>
      <w:r>
        <w:rPr>
          <w:snapToGrid w:val="0"/>
        </w:rPr>
        <w:tab/>
        <w:t>the amount by which the amount financed is increased; and</w:t>
      </w:r>
    </w:p>
    <w:p>
      <w:pPr>
        <w:pStyle w:val="Indenti"/>
        <w:spacing w:before="120"/>
        <w:rPr>
          <w:snapToGrid w:val="0"/>
        </w:rPr>
      </w:pPr>
      <w:r>
        <w:rPr>
          <w:snapToGrid w:val="0"/>
        </w:rPr>
        <w:tab/>
        <w:t>(iii)</w:t>
      </w:r>
      <w:r>
        <w:rPr>
          <w:snapToGrid w:val="0"/>
        </w:rPr>
        <w:tab/>
        <w:t>the amount by which the credit charge is increased by reason of the variation; and</w:t>
      </w:r>
    </w:p>
    <w:p>
      <w:pPr>
        <w:pStyle w:val="Indenti"/>
        <w:spacing w:before="120"/>
        <w:rPr>
          <w:snapToGrid w:val="0"/>
        </w:rPr>
      </w:pPr>
      <w:r>
        <w:rPr>
          <w:snapToGrid w:val="0"/>
        </w:rPr>
        <w:tab/>
        <w:t>(iv)</w:t>
      </w:r>
      <w:r>
        <w:rPr>
          <w:snapToGrid w:val="0"/>
        </w:rPr>
        <w:tab/>
        <w:t>the amount of default charges and deferral charges outstanding at the date of the variation; and</w:t>
      </w:r>
    </w:p>
    <w:p>
      <w:pPr>
        <w:pStyle w:val="Indenti"/>
        <w:spacing w:before="120"/>
        <w:rPr>
          <w:snapToGrid w:val="0"/>
        </w:rPr>
      </w:pPr>
      <w:r>
        <w:rPr>
          <w:snapToGrid w:val="0"/>
        </w:rPr>
        <w:tab/>
        <w:t>(v)</w:t>
      </w:r>
      <w:r>
        <w:rPr>
          <w:snapToGrid w:val="0"/>
        </w:rPr>
        <w:tab/>
        <w:t>the amount of legal fees payable to a duly qualified legal practitioner (not being the credit provider or an employee of the credit provider) for preparation of the agreement; and</w:t>
      </w:r>
    </w:p>
    <w:p>
      <w:pPr>
        <w:pStyle w:val="Indenti"/>
        <w:spacing w:before="120"/>
        <w:rPr>
          <w:snapToGrid w:val="0"/>
        </w:rPr>
      </w:pPr>
      <w:r>
        <w:rPr>
          <w:snapToGrid w:val="0"/>
        </w:rPr>
        <w:tab/>
        <w:t>(vi)</w:t>
      </w:r>
      <w:r>
        <w:rPr>
          <w:snapToGrid w:val="0"/>
        </w:rPr>
        <w:tab/>
        <w:t>the additional amount payable under the contract by reason of the variation; and</w:t>
      </w:r>
    </w:p>
    <w:p>
      <w:pPr>
        <w:pStyle w:val="Indenti"/>
        <w:spacing w:before="120"/>
        <w:rPr>
          <w:snapToGrid w:val="0"/>
        </w:rPr>
      </w:pPr>
      <w:r>
        <w:rPr>
          <w:snapToGrid w:val="0"/>
        </w:rPr>
        <w:tab/>
        <w:t>(vii)</w:t>
      </w:r>
      <w:r>
        <w:rPr>
          <w:snapToGrid w:val="0"/>
        </w:rPr>
        <w:tab/>
        <w:t>such other matters as may be prescribed.</w:t>
      </w:r>
    </w:p>
    <w:p>
      <w:pPr>
        <w:pStyle w:val="Subsection"/>
        <w:rPr>
          <w:snapToGrid w:val="0"/>
        </w:rPr>
      </w:pPr>
      <w:r>
        <w:rPr>
          <w:snapToGrid w:val="0"/>
        </w:rPr>
        <w:tab/>
        <w:t>(2)</w:t>
      </w:r>
      <w:r>
        <w:rPr>
          <w:snapToGrid w:val="0"/>
        </w:rPr>
        <w:tab/>
        <w:t>The regulations may prescribe the manner in which matters required by subsection (1)(d) to be specified in an agreement are to be so specified, whether by the use of a prescribed form or otherwise.</w:t>
      </w:r>
    </w:p>
    <w:p>
      <w:pPr>
        <w:pStyle w:val="Subsection"/>
        <w:rPr>
          <w:snapToGrid w:val="0"/>
        </w:rPr>
      </w:pPr>
      <w:r>
        <w:rPr>
          <w:snapToGrid w:val="0"/>
        </w:rPr>
        <w:tab/>
        <w:t>(3)</w:t>
      </w:r>
      <w:r>
        <w:rPr>
          <w:snapToGrid w:val="0"/>
        </w:rPr>
        <w:tab/>
        <w:t>The following are the amounts by which the outstanding balance of the amount financed under a credit sale contract or a loan contract may be increased by a variation under subsection (1) — </w:t>
      </w:r>
    </w:p>
    <w:p>
      <w:pPr>
        <w:pStyle w:val="Indenta"/>
        <w:rPr>
          <w:snapToGrid w:val="0"/>
        </w:rPr>
      </w:pPr>
      <w:r>
        <w:rPr>
          <w:snapToGrid w:val="0"/>
        </w:rPr>
        <w:tab/>
        <w:t>(a)</w:t>
      </w:r>
      <w:r>
        <w:rPr>
          <w:snapToGrid w:val="0"/>
        </w:rPr>
        <w:tab/>
        <w:t>where, under the credit sale contract or loan contract, the premium under a contract of insurance or compulsory insurance entered into in relation to the credit sale contract or loan contract or a regulated mortgage relating to the contract was included in the amount financed under the credit sale contract or loan contract — a premium payable under that contract of insurance or compulsory insurance in relation to a subsequent period not exceeding 12 months; or</w:t>
      </w:r>
    </w:p>
    <w:p>
      <w:pPr>
        <w:pStyle w:val="Indenta"/>
        <w:rPr>
          <w:snapToGrid w:val="0"/>
        </w:rPr>
      </w:pPr>
      <w:r>
        <w:rPr>
          <w:snapToGrid w:val="0"/>
        </w:rPr>
        <w:tab/>
        <w:t>(b)</w:t>
      </w:r>
      <w:r>
        <w:rPr>
          <w:snapToGrid w:val="0"/>
        </w:rPr>
        <w:tab/>
        <w:t xml:space="preserve">where, under the credit sale contract or loan contract, registration fees relating to goods and in respect of a particular period were included in the amount financed under the credit sale contract or loan contract — registration fees relating to those goods in respect of a subsequent period; or </w:t>
      </w:r>
    </w:p>
    <w:p>
      <w:pPr>
        <w:pStyle w:val="Indenta"/>
        <w:rPr>
          <w:snapToGrid w:val="0"/>
        </w:rPr>
      </w:pPr>
      <w:r>
        <w:rPr>
          <w:snapToGrid w:val="0"/>
        </w:rPr>
        <w:tab/>
        <w:t>(c)</w:t>
      </w:r>
      <w:r>
        <w:rPr>
          <w:snapToGrid w:val="0"/>
        </w:rPr>
        <w:tab/>
        <w:t>such other amounts as may be prescribed.</w:t>
      </w:r>
    </w:p>
    <w:p>
      <w:pPr>
        <w:pStyle w:val="Subsection"/>
        <w:spacing w:before="100"/>
        <w:rPr>
          <w:snapToGrid w:val="0"/>
        </w:rPr>
      </w:pPr>
      <w:r>
        <w:rPr>
          <w:snapToGrid w:val="0"/>
        </w:rPr>
        <w:tab/>
        <w:t>(4)</w:t>
      </w:r>
      <w:r>
        <w:rPr>
          <w:snapToGrid w:val="0"/>
        </w:rPr>
        <w:tab/>
        <w:t>Where a credit provider enters into an agreement referred to in subsection (1) he shall, not later than 14 days after the agreement is entered into, give the debtor a copy of the agreement.</w:t>
      </w:r>
    </w:p>
    <w:p>
      <w:pPr>
        <w:pStyle w:val="Subsection"/>
        <w:rPr>
          <w:snapToGrid w:val="0"/>
        </w:rPr>
      </w:pPr>
      <w:r>
        <w:rPr>
          <w:snapToGrid w:val="0"/>
        </w:rPr>
        <w:tab/>
        <w:t>(5)</w:t>
      </w:r>
      <w:r>
        <w:rPr>
          <w:snapToGrid w:val="0"/>
        </w:rPr>
        <w:tab/>
        <w:t>Notwithstanding any other provision</w:t>
      </w:r>
      <w:bookmarkStart w:id="151" w:name="RuleErr_113"/>
      <w:r>
        <w:rPr>
          <w:snapToGrid w:val="0"/>
        </w:rPr>
        <w:t xml:space="preserve"> of this Act</w:t>
      </w:r>
      <w:bookmarkEnd w:id="151"/>
      <w:r>
        <w:rPr>
          <w:snapToGrid w:val="0"/>
        </w:rPr>
        <w:t>, an agreement to vary a contract in accordance with this section is not a loan contract.</w:t>
      </w:r>
    </w:p>
    <w:p>
      <w:pPr>
        <w:pStyle w:val="Subsection"/>
        <w:rPr>
          <w:snapToGrid w:val="0"/>
        </w:rPr>
      </w:pPr>
      <w:r>
        <w:rPr>
          <w:snapToGrid w:val="0"/>
        </w:rPr>
        <w:tab/>
        <w:t>(6)</w:t>
      </w:r>
      <w:r>
        <w:rPr>
          <w:snapToGrid w:val="0"/>
        </w:rPr>
        <w:tab/>
        <w:t>Where a variation to which this section applies is made to the terms of a credit sale contract or a loan contract, a guarantor under a contract of guarantee in respect of the obligations of the debtor under the contract is not liable in respect of the contract for an amount exceeding the amount for which, but for the variation, he would have been liable unless the credit provider, not later than 14 days after the variation was made, gave the guarantor a notice in writing of the variation.</w:t>
      </w:r>
    </w:p>
    <w:p>
      <w:pPr>
        <w:pStyle w:val="Subsection"/>
        <w:keepNext/>
        <w:rPr>
          <w:snapToGrid w:val="0"/>
        </w:rPr>
      </w:pPr>
      <w:r>
        <w:rPr>
          <w:snapToGrid w:val="0"/>
        </w:rPr>
        <w:tab/>
        <w:t>(7)</w:t>
      </w:r>
      <w:r>
        <w:rPr>
          <w:snapToGrid w:val="0"/>
        </w:rPr>
        <w:tab/>
        <w:t>This section does not apply to or in respect of a variation — </w:t>
      </w:r>
    </w:p>
    <w:p>
      <w:pPr>
        <w:pStyle w:val="Indenta"/>
        <w:rPr>
          <w:snapToGrid w:val="0"/>
        </w:rPr>
      </w:pPr>
      <w:r>
        <w:rPr>
          <w:snapToGrid w:val="0"/>
        </w:rPr>
        <w:tab/>
        <w:t>(a)</w:t>
      </w:r>
      <w:r>
        <w:rPr>
          <w:snapToGrid w:val="0"/>
        </w:rPr>
        <w:tab/>
        <w:t>if section 37, 69 or 71 applies to or in respect of the variation; or</w:t>
      </w:r>
    </w:p>
    <w:p>
      <w:pPr>
        <w:pStyle w:val="Indenta"/>
        <w:rPr>
          <w:snapToGrid w:val="0"/>
        </w:rPr>
      </w:pPr>
      <w:r>
        <w:rPr>
          <w:snapToGrid w:val="0"/>
        </w:rPr>
        <w:tab/>
        <w:t>(b)</w:t>
      </w:r>
      <w:r>
        <w:rPr>
          <w:snapToGrid w:val="0"/>
        </w:rPr>
        <w:tab/>
        <w:t>by reason only that, as a result of a variation, the amount due to a credit provider is satisfied or reduced.</w:t>
      </w:r>
    </w:p>
    <w:p>
      <w:pPr>
        <w:pStyle w:val="Footnotesection"/>
      </w:pPr>
      <w:r>
        <w:tab/>
        <w:t>[Section 70 amended by No. 12 of 2008 Sch. 1 cl. 6(2).]</w:t>
      </w:r>
    </w:p>
    <w:p>
      <w:pPr>
        <w:pStyle w:val="Heading5"/>
        <w:spacing w:before="120"/>
        <w:rPr>
          <w:snapToGrid w:val="0"/>
        </w:rPr>
      </w:pPr>
      <w:bookmarkStart w:id="152" w:name="_Toc392496541"/>
      <w:r>
        <w:rPr>
          <w:rStyle w:val="CharSectno"/>
        </w:rPr>
        <w:t>71</w:t>
      </w:r>
      <w:r>
        <w:rPr>
          <w:snapToGrid w:val="0"/>
        </w:rPr>
        <w:t>.</w:t>
      </w:r>
      <w:r>
        <w:rPr>
          <w:snapToGrid w:val="0"/>
        </w:rPr>
        <w:tab/>
        <w:t>Agreed deferrals of payments, charges for</w:t>
      </w:r>
      <w:bookmarkEnd w:id="152"/>
    </w:p>
    <w:p>
      <w:pPr>
        <w:pStyle w:val="Subsection"/>
        <w:spacing w:before="120"/>
        <w:rPr>
          <w:snapToGrid w:val="0"/>
        </w:rPr>
      </w:pPr>
      <w:r>
        <w:rPr>
          <w:snapToGrid w:val="0"/>
        </w:rPr>
        <w:tab/>
        <w:t>(1)</w:t>
      </w:r>
      <w:r>
        <w:rPr>
          <w:snapToGrid w:val="0"/>
        </w:rPr>
        <w:tab/>
        <w:t>Where a credit provider and a debtor agree to vary a credit sale contract, or a loan contract, by the deferral of the payment of an amount payable by the debtor under the contract, the credit provider shall not make a charge in respect of the deferral unless — </w:t>
      </w:r>
    </w:p>
    <w:p>
      <w:pPr>
        <w:pStyle w:val="Indenta"/>
        <w:spacing w:before="70"/>
        <w:rPr>
          <w:snapToGrid w:val="0"/>
        </w:rPr>
      </w:pPr>
      <w:r>
        <w:rPr>
          <w:snapToGrid w:val="0"/>
        </w:rPr>
        <w:tab/>
        <w:t>(a)</w:t>
      </w:r>
      <w:r>
        <w:rPr>
          <w:snapToGrid w:val="0"/>
        </w:rPr>
        <w:tab/>
        <w:t>the payment is deferred — </w:t>
      </w:r>
    </w:p>
    <w:p>
      <w:pPr>
        <w:pStyle w:val="Indenti"/>
        <w:spacing w:before="70"/>
        <w:rPr>
          <w:snapToGrid w:val="0"/>
        </w:rPr>
      </w:pPr>
      <w:r>
        <w:rPr>
          <w:snapToGrid w:val="0"/>
        </w:rPr>
        <w:tab/>
        <w:t>(i)</w:t>
      </w:r>
      <w:r>
        <w:rPr>
          <w:snapToGrid w:val="0"/>
        </w:rPr>
        <w:tab/>
        <w:t>in accordance with a term in the contract to the effect that such a payment may be deferred; or</w:t>
      </w:r>
    </w:p>
    <w:p>
      <w:pPr>
        <w:pStyle w:val="Indenti"/>
        <w:spacing w:before="70"/>
        <w:rPr>
          <w:snapToGrid w:val="0"/>
        </w:rPr>
      </w:pPr>
      <w:r>
        <w:rPr>
          <w:snapToGrid w:val="0"/>
        </w:rPr>
        <w:tab/>
        <w:t>(ii)</w:t>
      </w:r>
      <w:r>
        <w:rPr>
          <w:snapToGrid w:val="0"/>
        </w:rPr>
        <w:tab/>
        <w:t xml:space="preserve">in accordance with the agreement of the credit provider and the debtor; </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the charge in respect of the deferral does not exceed the amount determined in accordance with subsection (2); and</w:t>
      </w:r>
    </w:p>
    <w:p>
      <w:pPr>
        <w:pStyle w:val="Indenta"/>
        <w:spacing w:before="70"/>
        <w:rPr>
          <w:snapToGrid w:val="0"/>
        </w:rPr>
      </w:pPr>
      <w:r>
        <w:rPr>
          <w:snapToGrid w:val="0"/>
        </w:rPr>
        <w:tab/>
        <w:t>(c)</w:t>
      </w:r>
      <w:r>
        <w:rPr>
          <w:snapToGrid w:val="0"/>
        </w:rPr>
        <w:tab/>
        <w:t>a default charge is not made in respect of the deferral; and</w:t>
      </w:r>
    </w:p>
    <w:p>
      <w:pPr>
        <w:pStyle w:val="Indenta"/>
        <w:spacing w:before="70"/>
        <w:rPr>
          <w:snapToGrid w:val="0"/>
        </w:rPr>
      </w:pPr>
      <w:r>
        <w:rPr>
          <w:snapToGrid w:val="0"/>
        </w:rPr>
        <w:tab/>
        <w:t>(d)</w:t>
      </w:r>
      <w:r>
        <w:rPr>
          <w:snapToGrid w:val="0"/>
        </w:rPr>
        <w:tab/>
        <w:t>the deferral is made in accordance with subsection (4).</w:t>
      </w:r>
    </w:p>
    <w:p>
      <w:pPr>
        <w:pStyle w:val="Subsection"/>
        <w:spacing w:before="120"/>
        <w:rPr>
          <w:snapToGrid w:val="0"/>
        </w:rPr>
      </w:pPr>
      <w:r>
        <w:rPr>
          <w:snapToGrid w:val="0"/>
        </w:rPr>
        <w:tab/>
        <w:t>(2)</w:t>
      </w:r>
      <w:r>
        <w:rPr>
          <w:snapToGrid w:val="0"/>
        </w:rPr>
        <w:tab/>
        <w:t>The amount of a charge in respect of the deferral of the payment of an amount payable under a credit sale contract or a loan contract determined in accordance with this subsection is — </w:t>
      </w:r>
    </w:p>
    <w:p>
      <w:pPr>
        <w:pStyle w:val="Indenta"/>
        <w:spacing w:before="100"/>
        <w:rPr>
          <w:snapToGrid w:val="0"/>
        </w:rPr>
      </w:pPr>
      <w:r>
        <w:rPr>
          <w:snapToGrid w:val="0"/>
        </w:rPr>
        <w:tab/>
        <w:t>(a)</w:t>
      </w:r>
      <w:r>
        <w:rPr>
          <w:snapToGrid w:val="0"/>
        </w:rPr>
        <w:tab/>
        <w:t>the amount that is the sum of the amount determined by applying to the amount payment of which is deferred, in respect of the number of days for which it is deferred — </w:t>
      </w:r>
    </w:p>
    <w:p>
      <w:pPr>
        <w:pStyle w:val="Indenti"/>
        <w:spacing w:before="100"/>
        <w:rPr>
          <w:snapToGrid w:val="0"/>
        </w:rPr>
      </w:pPr>
      <w:r>
        <w:rPr>
          <w:snapToGrid w:val="0"/>
        </w:rPr>
        <w:tab/>
        <w:t>(i)</w:t>
      </w:r>
      <w:r>
        <w:rPr>
          <w:snapToGrid w:val="0"/>
        </w:rPr>
        <w:tab/>
        <w:t>where a credit charge is payable under the contract — a rate not exceeding the daily percentage rate that applies to the contract; or</w:t>
      </w:r>
    </w:p>
    <w:p>
      <w:pPr>
        <w:pStyle w:val="Indenti"/>
        <w:spacing w:before="100"/>
        <w:rPr>
          <w:snapToGrid w:val="0"/>
        </w:rPr>
      </w:pPr>
      <w:r>
        <w:rPr>
          <w:snapToGrid w:val="0"/>
        </w:rPr>
        <w:tab/>
        <w:t>(ii)</w:t>
      </w:r>
      <w:r>
        <w:rPr>
          <w:snapToGrid w:val="0"/>
        </w:rPr>
        <w:tab/>
        <w:t>where a credit charge is not payable under the contract — the rate prescribed for the purposes</w:t>
      </w:r>
      <w:bookmarkStart w:id="153" w:name="RuleErr_58"/>
      <w:r>
        <w:rPr>
          <w:snapToGrid w:val="0"/>
        </w:rPr>
        <w:t xml:space="preserve"> of this section</w:t>
      </w:r>
      <w:bookmarkEnd w:id="153"/>
      <w:r>
        <w:rPr>
          <w:snapToGrid w:val="0"/>
        </w:rPr>
        <w:t>,</w:t>
      </w:r>
    </w:p>
    <w:p>
      <w:pPr>
        <w:pStyle w:val="Indenta"/>
        <w:spacing w:before="100"/>
        <w:rPr>
          <w:snapToGrid w:val="0"/>
        </w:rPr>
      </w:pPr>
      <w:r>
        <w:rPr>
          <w:snapToGrid w:val="0"/>
        </w:rPr>
        <w:tab/>
      </w:r>
      <w:r>
        <w:rPr>
          <w:snapToGrid w:val="0"/>
        </w:rPr>
        <w:tab/>
        <w:t xml:space="preserve">and the amounts (if any) payable in respect of charges </w:t>
      </w:r>
      <w:bookmarkStart w:id="154" w:name="RuleErr_148"/>
      <w:r>
        <w:rPr>
          <w:snapToGrid w:val="0"/>
        </w:rPr>
        <w:t>mentioned</w:t>
      </w:r>
      <w:bookmarkEnd w:id="154"/>
      <w:r>
        <w:rPr>
          <w:snapToGrid w:val="0"/>
        </w:rPr>
        <w:t xml:space="preserve"> in subsection (3) in relation to the deferral of the payment; or</w:t>
      </w:r>
    </w:p>
    <w:p>
      <w:pPr>
        <w:pStyle w:val="Indenta"/>
        <w:spacing w:before="100"/>
        <w:rPr>
          <w:snapToGrid w:val="0"/>
        </w:rPr>
      </w:pPr>
      <w:r>
        <w:rPr>
          <w:snapToGrid w:val="0"/>
        </w:rPr>
        <w:tab/>
        <w:t>(b)</w:t>
      </w:r>
      <w:r>
        <w:rPr>
          <w:snapToGrid w:val="0"/>
        </w:rPr>
        <w:tab/>
        <w:t>the amount agreed by the credit provider and the debtor as the charge,</w:t>
      </w:r>
    </w:p>
    <w:p>
      <w:pPr>
        <w:pStyle w:val="Subsection"/>
        <w:spacing w:before="120"/>
        <w:rPr>
          <w:snapToGrid w:val="0"/>
        </w:rPr>
      </w:pPr>
      <w:r>
        <w:rPr>
          <w:snapToGrid w:val="0"/>
        </w:rPr>
        <w:tab/>
      </w:r>
      <w:r>
        <w:rPr>
          <w:snapToGrid w:val="0"/>
        </w:rPr>
        <w:tab/>
        <w:t>whichever is the lesser.</w:t>
      </w:r>
    </w:p>
    <w:p>
      <w:pPr>
        <w:pStyle w:val="Subsection"/>
        <w:spacing w:before="180"/>
        <w:rPr>
          <w:snapToGrid w:val="0"/>
        </w:rPr>
      </w:pPr>
      <w:r>
        <w:rPr>
          <w:snapToGrid w:val="0"/>
        </w:rPr>
        <w:tab/>
        <w:t>(3)</w:t>
      </w:r>
      <w:r>
        <w:rPr>
          <w:snapToGrid w:val="0"/>
        </w:rPr>
        <w:tab/>
        <w:t>The charges in relation to the deferral of a payment referred to in subsection (2)(a) and subsection (4)(b) are charges in respect of — </w:t>
      </w:r>
    </w:p>
    <w:p>
      <w:pPr>
        <w:pStyle w:val="Ednotepara"/>
        <w:spacing w:before="70"/>
        <w:rPr>
          <w:snapToGrid w:val="0"/>
        </w:rPr>
      </w:pPr>
      <w:r>
        <w:rPr>
          <w:snapToGrid w:val="0"/>
        </w:rPr>
        <w:tab/>
        <w:t>[(a)</w:t>
      </w:r>
      <w:r>
        <w:rPr>
          <w:snapToGrid w:val="0"/>
        </w:rPr>
        <w:tab/>
        <w:t>deleted]</w:t>
      </w:r>
    </w:p>
    <w:p>
      <w:pPr>
        <w:pStyle w:val="Indenta"/>
        <w:spacing w:before="70"/>
        <w:rPr>
          <w:snapToGrid w:val="0"/>
        </w:rPr>
      </w:pPr>
      <w:r>
        <w:rPr>
          <w:snapToGrid w:val="0"/>
        </w:rPr>
        <w:tab/>
        <w:t>(b)</w:t>
      </w:r>
      <w:r>
        <w:rPr>
          <w:snapToGrid w:val="0"/>
        </w:rPr>
        <w:tab/>
        <w:t>fees payable to a duly qualified legal practitioner (not being the credit provider or an employee of the credit provider) authorised to prepare documents for the deferral.</w:t>
      </w:r>
    </w:p>
    <w:p>
      <w:pPr>
        <w:pStyle w:val="Subsection"/>
        <w:spacing w:before="180"/>
        <w:rPr>
          <w:snapToGrid w:val="0"/>
        </w:rPr>
      </w:pPr>
      <w:r>
        <w:rPr>
          <w:snapToGrid w:val="0"/>
        </w:rPr>
        <w:tab/>
        <w:t>(4)</w:t>
      </w:r>
      <w:r>
        <w:rPr>
          <w:snapToGrid w:val="0"/>
        </w:rPr>
        <w:tab/>
        <w:t>Where a credit provider defers payment of an amount payable under a credit sale contract or a loan contract the deferral is in accordance with this subsection if, not later than 14 days after the credit provider agrees to defer or, where the deferral is made under a term of the contract, he defers the payment, the credit provider gives notice in writing to the debtor stating — </w:t>
      </w:r>
    </w:p>
    <w:p>
      <w:pPr>
        <w:pStyle w:val="Indenta"/>
        <w:rPr>
          <w:snapToGrid w:val="0"/>
        </w:rPr>
      </w:pPr>
      <w:r>
        <w:rPr>
          <w:snapToGrid w:val="0"/>
        </w:rPr>
        <w:tab/>
        <w:t>(a)</w:t>
      </w:r>
      <w:r>
        <w:rPr>
          <w:snapToGrid w:val="0"/>
        </w:rPr>
        <w:tab/>
        <w:t>the amount of the payment deferred; and</w:t>
      </w:r>
    </w:p>
    <w:p>
      <w:pPr>
        <w:pStyle w:val="Indenta"/>
        <w:rPr>
          <w:snapToGrid w:val="0"/>
        </w:rPr>
      </w:pPr>
      <w:r>
        <w:rPr>
          <w:snapToGrid w:val="0"/>
        </w:rPr>
        <w:tab/>
        <w:t>(b)</w:t>
      </w:r>
      <w:r>
        <w:rPr>
          <w:snapToGrid w:val="0"/>
        </w:rPr>
        <w:tab/>
        <w:t xml:space="preserve">the amounts (if any) payable in respect of charges </w:t>
      </w:r>
      <w:bookmarkStart w:id="155" w:name="RuleErr_149"/>
      <w:r>
        <w:rPr>
          <w:snapToGrid w:val="0"/>
        </w:rPr>
        <w:t>mentioned</w:t>
      </w:r>
      <w:bookmarkEnd w:id="155"/>
      <w:r>
        <w:rPr>
          <w:snapToGrid w:val="0"/>
        </w:rPr>
        <w:t xml:space="preserve"> in subsection (3) in relation to the deferral of the payment; and</w:t>
      </w:r>
    </w:p>
    <w:p>
      <w:pPr>
        <w:pStyle w:val="Indenta"/>
        <w:rPr>
          <w:snapToGrid w:val="0"/>
        </w:rPr>
      </w:pPr>
      <w:r>
        <w:rPr>
          <w:snapToGrid w:val="0"/>
        </w:rPr>
        <w:tab/>
        <w:t>(c)</w:t>
      </w:r>
      <w:r>
        <w:rPr>
          <w:snapToGrid w:val="0"/>
        </w:rPr>
        <w:tab/>
        <w:t>the date on which the period for which the payment is deferred expires; and</w:t>
      </w:r>
    </w:p>
    <w:p>
      <w:pPr>
        <w:pStyle w:val="Indenta"/>
        <w:rPr>
          <w:snapToGrid w:val="0"/>
        </w:rPr>
      </w:pPr>
      <w:r>
        <w:rPr>
          <w:snapToGrid w:val="0"/>
        </w:rPr>
        <w:tab/>
        <w:t>(d)</w:t>
      </w:r>
      <w:r>
        <w:rPr>
          <w:snapToGrid w:val="0"/>
        </w:rPr>
        <w:tab/>
        <w:t xml:space="preserve">the amount of the charge, in </w:t>
      </w:r>
      <w:bookmarkStart w:id="156" w:name="RuleErr_122"/>
      <w:r>
        <w:rPr>
          <w:snapToGrid w:val="0"/>
        </w:rPr>
        <w:t>dollars</w:t>
      </w:r>
      <w:bookmarkEnd w:id="156"/>
      <w:r>
        <w:rPr>
          <w:snapToGrid w:val="0"/>
        </w:rPr>
        <w:t xml:space="preserve"> and </w:t>
      </w:r>
      <w:bookmarkStart w:id="157" w:name="RuleErr_123"/>
      <w:r>
        <w:rPr>
          <w:snapToGrid w:val="0"/>
        </w:rPr>
        <w:t>cents</w:t>
      </w:r>
      <w:bookmarkEnd w:id="157"/>
      <w:r>
        <w:rPr>
          <w:snapToGrid w:val="0"/>
        </w:rPr>
        <w:t>; and</w:t>
      </w:r>
    </w:p>
    <w:p>
      <w:pPr>
        <w:pStyle w:val="Indenta"/>
        <w:rPr>
          <w:snapToGrid w:val="0"/>
        </w:rPr>
      </w:pPr>
      <w:r>
        <w:rPr>
          <w:snapToGrid w:val="0"/>
        </w:rPr>
        <w:tab/>
        <w:t>(e)</w:t>
      </w:r>
      <w:r>
        <w:rPr>
          <w:snapToGrid w:val="0"/>
        </w:rPr>
        <w:tab/>
        <w:t>if applicable, the rate applied to the amount payment of which is deferred in accordance with subsection (2)(a) to determine the amount of the charge.</w:t>
      </w:r>
    </w:p>
    <w:p>
      <w:pPr>
        <w:pStyle w:val="Subsection"/>
        <w:rPr>
          <w:snapToGrid w:val="0"/>
        </w:rPr>
      </w:pPr>
      <w:r>
        <w:rPr>
          <w:snapToGrid w:val="0"/>
        </w:rPr>
        <w:tab/>
        <w:t>(5)</w:t>
      </w:r>
      <w:r>
        <w:rPr>
          <w:snapToGrid w:val="0"/>
        </w:rPr>
        <w:tab/>
        <w:t>A credit provider shall not make a charge — </w:t>
      </w:r>
    </w:p>
    <w:p>
      <w:pPr>
        <w:pStyle w:val="Indenta"/>
        <w:rPr>
          <w:snapToGrid w:val="0"/>
        </w:rPr>
      </w:pPr>
      <w:r>
        <w:rPr>
          <w:snapToGrid w:val="0"/>
        </w:rPr>
        <w:tab/>
        <w:t>(a)</w:t>
      </w:r>
      <w:r>
        <w:rPr>
          <w:snapToGrid w:val="0"/>
        </w:rPr>
        <w:tab/>
        <w:t>in respect of the deferral of the payment of an amount payable by the debtor under a credit sale contract or a loan contract, unless the whole or part of the credit charge under the contract is a pre</w:t>
      </w:r>
      <w:r>
        <w:rPr>
          <w:snapToGrid w:val="0"/>
        </w:rPr>
        <w:noBreakHyphen/>
        <w:t>determined credit charge; or</w:t>
      </w:r>
    </w:p>
    <w:p>
      <w:pPr>
        <w:pStyle w:val="Indenta"/>
        <w:rPr>
          <w:snapToGrid w:val="0"/>
        </w:rPr>
      </w:pPr>
      <w:r>
        <w:rPr>
          <w:snapToGrid w:val="0"/>
        </w:rPr>
        <w:tab/>
        <w:t>(b)</w:t>
      </w:r>
      <w:r>
        <w:rPr>
          <w:snapToGrid w:val="0"/>
        </w:rPr>
        <w:tab/>
        <w:t xml:space="preserve">in respect of the deferral of the payment of an amount payable by the debtor under a regulated continuing credit contract. </w:t>
      </w:r>
    </w:p>
    <w:p>
      <w:pPr>
        <w:pStyle w:val="Subsection"/>
        <w:rPr>
          <w:snapToGrid w:val="0"/>
        </w:rPr>
      </w:pPr>
      <w:r>
        <w:rPr>
          <w:snapToGrid w:val="0"/>
        </w:rPr>
        <w:tab/>
        <w:t>(6)</w:t>
      </w:r>
      <w:r>
        <w:rPr>
          <w:snapToGrid w:val="0"/>
        </w:rPr>
        <w:tab/>
        <w:t>Notwithstanding anything to the contrary in this Act, the deferral of the payment of an amount payable by a debtor under a credit sale contract or a loan contract in accordance with this section is not a loan contract.</w:t>
      </w:r>
    </w:p>
    <w:p>
      <w:pPr>
        <w:pStyle w:val="Penstart"/>
        <w:rPr>
          <w:snapToGrid w:val="0"/>
        </w:rPr>
      </w:pPr>
      <w:r>
        <w:rPr>
          <w:snapToGrid w:val="0"/>
        </w:rPr>
        <w:tab/>
        <w:t>Penalty: $1 000.</w:t>
      </w:r>
    </w:p>
    <w:p>
      <w:pPr>
        <w:pStyle w:val="Footnotesection"/>
      </w:pPr>
      <w:r>
        <w:tab/>
        <w:t>[Section 71 amended by No. 12 of 2008 Sch. 1 cl. 6(3).]</w:t>
      </w:r>
    </w:p>
    <w:p>
      <w:pPr>
        <w:pStyle w:val="Heading5"/>
        <w:rPr>
          <w:snapToGrid w:val="0"/>
        </w:rPr>
      </w:pPr>
      <w:bookmarkStart w:id="158" w:name="_Toc392496542"/>
      <w:r>
        <w:rPr>
          <w:rStyle w:val="CharSectno"/>
        </w:rPr>
        <w:t>72</w:t>
      </w:r>
      <w:r>
        <w:rPr>
          <w:snapToGrid w:val="0"/>
        </w:rPr>
        <w:t>.</w:t>
      </w:r>
      <w:r>
        <w:rPr>
          <w:snapToGrid w:val="0"/>
        </w:rPr>
        <w:tab/>
        <w:t>Defaults, charges for</w:t>
      </w:r>
      <w:bookmarkEnd w:id="158"/>
    </w:p>
    <w:p>
      <w:pPr>
        <w:pStyle w:val="Subsection"/>
        <w:rPr>
          <w:snapToGrid w:val="0"/>
        </w:rPr>
      </w:pPr>
      <w:r>
        <w:rPr>
          <w:snapToGrid w:val="0"/>
        </w:rPr>
        <w:tab/>
        <w:t>(1)</w:t>
      </w:r>
      <w:r>
        <w:rPr>
          <w:snapToGrid w:val="0"/>
        </w:rPr>
        <w:tab/>
        <w:t>Where under a credit sale contract or a loan contract the debtor does not pay an amount payable under the contract when it is due, the credit provider shall not make a charge in respect of the failure to pay unless there is a term in the contract to the effect that such a charge may be made and the charge does not exceed — </w:t>
      </w:r>
    </w:p>
    <w:p>
      <w:pPr>
        <w:pStyle w:val="Indenta"/>
        <w:rPr>
          <w:snapToGrid w:val="0"/>
        </w:rPr>
      </w:pPr>
      <w:r>
        <w:rPr>
          <w:snapToGrid w:val="0"/>
        </w:rPr>
        <w:tab/>
        <w:t>(a)</w:t>
      </w:r>
      <w:r>
        <w:rPr>
          <w:snapToGrid w:val="0"/>
        </w:rPr>
        <w:tab/>
        <w:t>the amount determined by applying to the daily balance of the amount due and unpaid — </w:t>
      </w:r>
    </w:p>
    <w:p>
      <w:pPr>
        <w:pStyle w:val="Indenti"/>
        <w:rPr>
          <w:snapToGrid w:val="0"/>
        </w:rPr>
      </w:pPr>
      <w:r>
        <w:rPr>
          <w:snapToGrid w:val="0"/>
        </w:rPr>
        <w:tab/>
        <w:t>(i)</w:t>
      </w:r>
      <w:r>
        <w:rPr>
          <w:snapToGrid w:val="0"/>
        </w:rPr>
        <w:tab/>
        <w:t>where a credit charge is payable under a contract — the daily percentage rate under the contract; or</w:t>
      </w:r>
    </w:p>
    <w:p>
      <w:pPr>
        <w:pStyle w:val="Indenti"/>
        <w:rPr>
          <w:snapToGrid w:val="0"/>
        </w:rPr>
      </w:pPr>
      <w:r>
        <w:rPr>
          <w:snapToGrid w:val="0"/>
        </w:rPr>
        <w:tab/>
        <w:t>(ii)</w:t>
      </w:r>
      <w:r>
        <w:rPr>
          <w:snapToGrid w:val="0"/>
        </w:rPr>
        <w:tab/>
        <w:t>where a credit charge is not payable under the contract — the rate prescribed for the purposes</w:t>
      </w:r>
      <w:bookmarkStart w:id="159" w:name="RuleErr_59"/>
      <w:r>
        <w:rPr>
          <w:snapToGrid w:val="0"/>
        </w:rPr>
        <w:t xml:space="preserve"> of this section</w:t>
      </w:r>
      <w:bookmarkEnd w:id="159"/>
      <w:r>
        <w:rPr>
          <w:snapToGrid w:val="0"/>
        </w:rPr>
        <w:t xml:space="preserv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amount determined by applying to the amount unpaid the rate specified in the contract for the purposes of such a charge,</w:t>
      </w:r>
    </w:p>
    <w:p>
      <w:pPr>
        <w:pStyle w:val="Subsection"/>
        <w:rPr>
          <w:snapToGrid w:val="0"/>
        </w:rPr>
      </w:pPr>
      <w:r>
        <w:rPr>
          <w:snapToGrid w:val="0"/>
        </w:rPr>
        <w:tab/>
      </w:r>
      <w:r>
        <w:rPr>
          <w:snapToGrid w:val="0"/>
        </w:rPr>
        <w:tab/>
        <w:t>whichever is the lesser.</w:t>
      </w:r>
    </w:p>
    <w:p>
      <w:pPr>
        <w:pStyle w:val="Subsection"/>
        <w:rPr>
          <w:snapToGrid w:val="0"/>
        </w:rPr>
      </w:pPr>
      <w:r>
        <w:rPr>
          <w:snapToGrid w:val="0"/>
        </w:rPr>
        <w:tab/>
        <w:t>(2)</w:t>
      </w:r>
      <w:r>
        <w:rPr>
          <w:snapToGrid w:val="0"/>
        </w:rPr>
        <w:tab/>
        <w:t>A credit provider shall not make a charge — </w:t>
      </w:r>
    </w:p>
    <w:p>
      <w:pPr>
        <w:pStyle w:val="Indenta"/>
        <w:rPr>
          <w:snapToGrid w:val="0"/>
        </w:rPr>
      </w:pPr>
      <w:r>
        <w:rPr>
          <w:snapToGrid w:val="0"/>
        </w:rPr>
        <w:tab/>
        <w:t>(a)</w:t>
      </w:r>
      <w:r>
        <w:rPr>
          <w:snapToGrid w:val="0"/>
        </w:rPr>
        <w:tab/>
        <w:t>in respect of the failure to pay an amount payable under a credit sale contract or a loan contract when it is due unless the whole or part of the credit charge under the contract is a pre</w:t>
      </w:r>
      <w:r>
        <w:rPr>
          <w:snapToGrid w:val="0"/>
        </w:rPr>
        <w:noBreakHyphen/>
        <w:t>determined credit charge; or</w:t>
      </w:r>
    </w:p>
    <w:p>
      <w:pPr>
        <w:pStyle w:val="Indenta"/>
        <w:spacing w:before="70"/>
        <w:rPr>
          <w:snapToGrid w:val="0"/>
        </w:rPr>
      </w:pPr>
      <w:r>
        <w:rPr>
          <w:snapToGrid w:val="0"/>
        </w:rPr>
        <w:tab/>
        <w:t>(b)</w:t>
      </w:r>
      <w:r>
        <w:rPr>
          <w:snapToGrid w:val="0"/>
        </w:rPr>
        <w:tab/>
        <w:t>in respect of the failure to pay an amount payable under a regulated continuing credit contract; or</w:t>
      </w:r>
    </w:p>
    <w:p>
      <w:pPr>
        <w:pStyle w:val="Indenta"/>
        <w:spacing w:before="70"/>
        <w:rPr>
          <w:snapToGrid w:val="0"/>
        </w:rPr>
      </w:pPr>
      <w:r>
        <w:rPr>
          <w:snapToGrid w:val="0"/>
        </w:rPr>
        <w:tab/>
        <w:t>(c)</w:t>
      </w:r>
      <w:r>
        <w:rPr>
          <w:snapToGrid w:val="0"/>
        </w:rPr>
        <w:tab/>
        <w:t>in respect of a charge under subsection (1) that is unpaid.</w:t>
      </w:r>
    </w:p>
    <w:p>
      <w:pPr>
        <w:pStyle w:val="Subsection"/>
        <w:rPr>
          <w:snapToGrid w:val="0"/>
        </w:rPr>
      </w:pPr>
      <w:r>
        <w:rPr>
          <w:snapToGrid w:val="0"/>
        </w:rPr>
        <w:tab/>
        <w:t>(3)</w:t>
      </w:r>
      <w:r>
        <w:rPr>
          <w:snapToGrid w:val="0"/>
        </w:rPr>
        <w:tab/>
        <w:t>Nothing in this section affects the right of a credit provider to make or require payment of an accrued credit charge, a deferral charge or an enforcement expense.</w:t>
      </w:r>
    </w:p>
    <w:p>
      <w:pPr>
        <w:pStyle w:val="Penstart"/>
        <w:rPr>
          <w:snapToGrid w:val="0"/>
        </w:rPr>
      </w:pPr>
      <w:r>
        <w:rPr>
          <w:snapToGrid w:val="0"/>
        </w:rPr>
        <w:tab/>
        <w:t>Penalty: $1 000.</w:t>
      </w:r>
    </w:p>
    <w:p>
      <w:pPr>
        <w:pStyle w:val="Heading5"/>
        <w:rPr>
          <w:snapToGrid w:val="0"/>
        </w:rPr>
      </w:pPr>
      <w:bookmarkStart w:id="160" w:name="_Toc392496543"/>
      <w:r>
        <w:rPr>
          <w:rStyle w:val="CharSectno"/>
        </w:rPr>
        <w:t>73</w:t>
      </w:r>
      <w:r>
        <w:rPr>
          <w:snapToGrid w:val="0"/>
        </w:rPr>
        <w:t>.</w:t>
      </w:r>
      <w:r>
        <w:rPr>
          <w:snapToGrid w:val="0"/>
        </w:rPr>
        <w:tab/>
        <w:t>Varied contracts continue to be regulated contracts</w:t>
      </w:r>
      <w:bookmarkEnd w:id="160"/>
    </w:p>
    <w:p>
      <w:pPr>
        <w:pStyle w:val="Subsection"/>
        <w:rPr>
          <w:snapToGrid w:val="0"/>
        </w:rPr>
      </w:pPr>
      <w:r>
        <w:rPr>
          <w:snapToGrid w:val="0"/>
        </w:rPr>
        <w:tab/>
      </w:r>
      <w:r>
        <w:rPr>
          <w:snapToGrid w:val="0"/>
        </w:rPr>
        <w:tab/>
        <w:t>Where the terms of a regulated contract are varied or a regulated contract is discharged in consideration of the debtor entering into another credit contract, whether in a manner referred to in section 37, 69, 70, 71 or 74 or in accordance with a provision in the contract or by agreement between the credit provider and the debtor, the contract as varied shall be deemed to continue to be, or the other contract shall be deemed to be, a regulated contract notwithstanding that, but for this section, it would not continue to be, or be, a regulated contract.</w:t>
      </w:r>
    </w:p>
    <w:p>
      <w:pPr>
        <w:pStyle w:val="Heading5"/>
        <w:rPr>
          <w:snapToGrid w:val="0"/>
        </w:rPr>
      </w:pPr>
      <w:bookmarkStart w:id="161" w:name="_Toc392496544"/>
      <w:r>
        <w:rPr>
          <w:rStyle w:val="CharSectno"/>
        </w:rPr>
        <w:t>74</w:t>
      </w:r>
      <w:r>
        <w:rPr>
          <w:snapToGrid w:val="0"/>
        </w:rPr>
        <w:t>.</w:t>
      </w:r>
      <w:r>
        <w:rPr>
          <w:snapToGrid w:val="0"/>
        </w:rPr>
        <w:tab/>
        <w:t>Varying contracts due to illness etc. of debtor</w:t>
      </w:r>
      <w:bookmarkEnd w:id="161"/>
    </w:p>
    <w:p>
      <w:pPr>
        <w:pStyle w:val="Subsection"/>
        <w:rPr>
          <w:snapToGrid w:val="0"/>
        </w:rPr>
      </w:pPr>
      <w:r>
        <w:rPr>
          <w:snapToGrid w:val="0"/>
        </w:rPr>
        <w:tab/>
        <w:t>(1)</w:t>
      </w:r>
      <w:r>
        <w:rPr>
          <w:snapToGrid w:val="0"/>
        </w:rPr>
        <w:tab/>
        <w:t>Where a debtor by reason of illness, unemployment or other reasonable cause is unable reasonably to discharge his obligations under a regulated contract, the debtor may, where he reasonably expects that he would be able to discharge his obligations — </w:t>
      </w:r>
    </w:p>
    <w:p>
      <w:pPr>
        <w:pStyle w:val="Indenta"/>
        <w:spacing w:before="60"/>
        <w:rPr>
          <w:snapToGrid w:val="0"/>
        </w:rPr>
      </w:pPr>
      <w:r>
        <w:rPr>
          <w:snapToGrid w:val="0"/>
        </w:rPr>
        <w:tab/>
        <w:t>(a)</w:t>
      </w:r>
      <w:r>
        <w:rPr>
          <w:snapToGrid w:val="0"/>
        </w:rPr>
        <w:tab/>
        <w:t>if the period of the contract were extended and the amount of each payment due under the contract accordingly reduced (without a change being made to the annual percentage rate); or</w:t>
      </w:r>
    </w:p>
    <w:p>
      <w:pPr>
        <w:pStyle w:val="Indenta"/>
        <w:spacing w:before="60"/>
        <w:rPr>
          <w:snapToGrid w:val="0"/>
        </w:rPr>
      </w:pPr>
      <w:r>
        <w:rPr>
          <w:snapToGrid w:val="0"/>
        </w:rPr>
        <w:tab/>
        <w:t>(b)</w:t>
      </w:r>
      <w:r>
        <w:rPr>
          <w:snapToGrid w:val="0"/>
        </w:rPr>
        <w:tab/>
        <w:t xml:space="preserve">if the dates on which payments due under the contract during a specified period were postponed (without a change being made to the annual percentage rate); or </w:t>
      </w:r>
    </w:p>
    <w:p>
      <w:pPr>
        <w:pStyle w:val="Indenta"/>
        <w:rPr>
          <w:snapToGrid w:val="0"/>
        </w:rPr>
      </w:pPr>
      <w:r>
        <w:rPr>
          <w:snapToGrid w:val="0"/>
        </w:rPr>
        <w:tab/>
        <w:t>(c)</w:t>
      </w:r>
      <w:r>
        <w:rPr>
          <w:snapToGrid w:val="0"/>
        </w:rPr>
        <w:tab/>
        <w:t>if the period of the contract were extended and the dates on which payments due under the contract during a specified period were postponed (without a change being made to the annual percentage rate),</w:t>
      </w:r>
    </w:p>
    <w:p>
      <w:pPr>
        <w:pStyle w:val="Subsection"/>
        <w:rPr>
          <w:snapToGrid w:val="0"/>
        </w:rPr>
      </w:pPr>
      <w:r>
        <w:rPr>
          <w:snapToGrid w:val="0"/>
        </w:rPr>
        <w:tab/>
      </w:r>
      <w:r>
        <w:rPr>
          <w:snapToGrid w:val="0"/>
        </w:rPr>
        <w:tab/>
        <w:t>apply to the credit provider for a variation of the contract.</w:t>
      </w:r>
    </w:p>
    <w:p>
      <w:pPr>
        <w:pStyle w:val="Subsection"/>
        <w:rPr>
          <w:snapToGrid w:val="0"/>
        </w:rPr>
      </w:pPr>
      <w:r>
        <w:rPr>
          <w:snapToGrid w:val="0"/>
        </w:rPr>
        <w:tab/>
        <w:t>(2)</w:t>
      </w:r>
      <w:r>
        <w:rPr>
          <w:snapToGrid w:val="0"/>
        </w:rPr>
        <w:tab/>
        <w:t>Where a credit provider to whom application is made by a debtor under subsection (1) refuses to vary a regulated contract in accordance with the application, the debtor may apply to the Commissioner for assistance in negotiating a variation of the contract.</w:t>
      </w:r>
    </w:p>
    <w:p>
      <w:pPr>
        <w:pStyle w:val="Subsection"/>
        <w:rPr>
          <w:snapToGrid w:val="0"/>
        </w:rPr>
      </w:pPr>
      <w:r>
        <w:rPr>
          <w:snapToGrid w:val="0"/>
        </w:rPr>
        <w:tab/>
        <w:t>(3)</w:t>
      </w:r>
      <w:r>
        <w:rPr>
          <w:snapToGrid w:val="0"/>
        </w:rPr>
        <w:tab/>
        <w:t>Where an application is made under subsection (2), the Commissioner shall seek the views of the credit provider and any mortgagee or guarantor and, after giving them a reasonable opportunity to be heard and making such other inquiries as the Commissioner thinks fit, determine whether or not to seek to arrange with the credit provider a variation of the regulated contract and, where he seeks such a variation and is unable to reach agreement with the credit provider, the Commissioner shall refer the application to the Tribunal.</w:t>
      </w:r>
    </w:p>
    <w:p>
      <w:pPr>
        <w:pStyle w:val="Subsection"/>
        <w:rPr>
          <w:snapToGrid w:val="0"/>
        </w:rPr>
      </w:pPr>
      <w:r>
        <w:rPr>
          <w:snapToGrid w:val="0"/>
        </w:rPr>
        <w:tab/>
        <w:t>(4)</w:t>
      </w:r>
      <w:r>
        <w:rPr>
          <w:snapToGrid w:val="0"/>
        </w:rPr>
        <w:tab/>
        <w:t>The Tribunal may, where it receives an application referred to it under subsection (3) and has given the applicant, the credit provider and any mortgagee or guarantor an opportunity to be heard, order, or refuse to order, a variation of the contract to which the application relates and, where it orders such a variation, may make such other orders as it thinks fit.</w:t>
      </w:r>
    </w:p>
    <w:p>
      <w:pPr>
        <w:pStyle w:val="Subsection"/>
        <w:rPr>
          <w:snapToGrid w:val="0"/>
        </w:rPr>
      </w:pPr>
      <w:r>
        <w:rPr>
          <w:snapToGrid w:val="0"/>
        </w:rPr>
        <w:tab/>
        <w:t>(5)</w:t>
      </w:r>
      <w:r>
        <w:rPr>
          <w:snapToGrid w:val="0"/>
        </w:rPr>
        <w:tab/>
        <w:t>Where an order of the Tribunal under subsection (4) is in force, a credit provider under a contract to which the order applies may apply to the Tribunal for a variation of the order.</w:t>
      </w:r>
    </w:p>
    <w:p>
      <w:pPr>
        <w:pStyle w:val="Subsection"/>
        <w:rPr>
          <w:snapToGrid w:val="0"/>
        </w:rPr>
      </w:pPr>
      <w:r>
        <w:rPr>
          <w:snapToGrid w:val="0"/>
        </w:rPr>
        <w:tab/>
        <w:t>(6)</w:t>
      </w:r>
      <w:r>
        <w:rPr>
          <w:snapToGrid w:val="0"/>
        </w:rPr>
        <w:tab/>
        <w:t>The Tribunal may, where it receives an application under subsection (5) make such variation of the order to which the application relates as it thinks fit or may refuse to vary the order.</w:t>
      </w:r>
    </w:p>
    <w:p>
      <w:pPr>
        <w:pStyle w:val="Subsection"/>
        <w:rPr>
          <w:snapToGrid w:val="0"/>
        </w:rPr>
      </w:pPr>
      <w:r>
        <w:rPr>
          <w:snapToGrid w:val="0"/>
        </w:rPr>
        <w:tab/>
        <w:t>(7)</w:t>
      </w:r>
      <w:r>
        <w:rPr>
          <w:snapToGrid w:val="0"/>
        </w:rPr>
        <w:tab/>
        <w:t>Where an application for variation of a regulated contract is referred to the Tribunal under subsection (3), the credit provider shall not institute proceedings, or exercise a right, under the contract, or a mortgage that relates to the contract, before the Tribunal has made or refused an order under subsection (4).</w:t>
      </w:r>
    </w:p>
    <w:p>
      <w:pPr>
        <w:pStyle w:val="Subsection"/>
        <w:rPr>
          <w:snapToGrid w:val="0"/>
        </w:rPr>
      </w:pPr>
      <w:r>
        <w:rPr>
          <w:snapToGrid w:val="0"/>
        </w:rPr>
        <w:tab/>
        <w:t>(8)</w:t>
      </w:r>
      <w:r>
        <w:rPr>
          <w:snapToGrid w:val="0"/>
        </w:rPr>
        <w:tab/>
        <w:t>An order in force under this section, including such an order as varied from time to time, has effect according to its tenor.</w:t>
      </w:r>
    </w:p>
    <w:p>
      <w:pPr>
        <w:pStyle w:val="Penstart"/>
        <w:rPr>
          <w:snapToGrid w:val="0"/>
        </w:rPr>
      </w:pPr>
      <w:r>
        <w:rPr>
          <w:snapToGrid w:val="0"/>
        </w:rPr>
        <w:tab/>
        <w:t>Penalty: $2 000.</w:t>
      </w:r>
    </w:p>
    <w:p>
      <w:pPr>
        <w:pStyle w:val="Heading3"/>
        <w:rPr>
          <w:snapToGrid w:val="0"/>
        </w:rPr>
      </w:pPr>
      <w:bookmarkStart w:id="162" w:name="_Toc378152621"/>
      <w:bookmarkStart w:id="163" w:name="_Toc392496545"/>
      <w:r>
        <w:rPr>
          <w:rStyle w:val="CharDivNo"/>
        </w:rPr>
        <w:t>Division 4</w:t>
      </w:r>
      <w:r>
        <w:rPr>
          <w:snapToGrid w:val="0"/>
        </w:rPr>
        <w:t> — </w:t>
      </w:r>
      <w:r>
        <w:rPr>
          <w:rStyle w:val="CharDivText"/>
        </w:rPr>
        <w:t>General</w:t>
      </w:r>
      <w:bookmarkEnd w:id="162"/>
      <w:bookmarkEnd w:id="163"/>
    </w:p>
    <w:p>
      <w:pPr>
        <w:pStyle w:val="Heading5"/>
        <w:rPr>
          <w:snapToGrid w:val="0"/>
        </w:rPr>
      </w:pPr>
      <w:bookmarkStart w:id="164" w:name="_Toc392496546"/>
      <w:r>
        <w:rPr>
          <w:rStyle w:val="CharSectno"/>
        </w:rPr>
        <w:t>75</w:t>
      </w:r>
      <w:r>
        <w:rPr>
          <w:snapToGrid w:val="0"/>
        </w:rPr>
        <w:t>.</w:t>
      </w:r>
      <w:r>
        <w:rPr>
          <w:snapToGrid w:val="0"/>
        </w:rPr>
        <w:tab/>
        <w:t>Unauthorised fees, provisions in contracts as to</w:t>
      </w:r>
      <w:bookmarkEnd w:id="164"/>
    </w:p>
    <w:p>
      <w:pPr>
        <w:pStyle w:val="Subsection"/>
        <w:rPr>
          <w:snapToGrid w:val="0"/>
        </w:rPr>
      </w:pPr>
      <w:r>
        <w:rPr>
          <w:snapToGrid w:val="0"/>
        </w:rPr>
        <w:tab/>
        <w:t>(1)</w:t>
      </w:r>
      <w:r>
        <w:rPr>
          <w:snapToGrid w:val="0"/>
        </w:rPr>
        <w:tab/>
        <w:t>An agreement entered into by a credit provider whereby a debtor agrees to pay to, or on behalf of, the credit provider any costs, fees or charges incidental to, or relating to — </w:t>
      </w:r>
    </w:p>
    <w:p>
      <w:pPr>
        <w:pStyle w:val="Indenta"/>
        <w:rPr>
          <w:snapToGrid w:val="0"/>
        </w:rPr>
      </w:pPr>
      <w:r>
        <w:rPr>
          <w:snapToGrid w:val="0"/>
        </w:rPr>
        <w:tab/>
        <w:t>(a)</w:t>
      </w:r>
      <w:r>
        <w:rPr>
          <w:snapToGrid w:val="0"/>
        </w:rPr>
        <w:tab/>
        <w:t>the provision of credit under a regulated contract; or</w:t>
      </w:r>
    </w:p>
    <w:p>
      <w:pPr>
        <w:pStyle w:val="Indenta"/>
        <w:rPr>
          <w:snapToGrid w:val="0"/>
        </w:rPr>
      </w:pPr>
      <w:r>
        <w:rPr>
          <w:snapToGrid w:val="0"/>
        </w:rPr>
        <w:tab/>
        <w:t>(b)</w:t>
      </w:r>
      <w:r>
        <w:rPr>
          <w:snapToGrid w:val="0"/>
        </w:rPr>
        <w:tab/>
        <w:t>guaranteeing or securing repayment of any such credit; or</w:t>
      </w:r>
    </w:p>
    <w:p>
      <w:pPr>
        <w:pStyle w:val="Indenta"/>
        <w:rPr>
          <w:snapToGrid w:val="0"/>
        </w:rPr>
      </w:pPr>
      <w:r>
        <w:rPr>
          <w:snapToGrid w:val="0"/>
        </w:rPr>
        <w:tab/>
        <w:t>(c)</w:t>
      </w:r>
      <w:r>
        <w:rPr>
          <w:snapToGrid w:val="0"/>
        </w:rPr>
        <w:tab/>
        <w:t xml:space="preserve">negotiations for the provision of any such credit or for guaranteeing or securing repayment of any such credit, </w:t>
      </w:r>
    </w:p>
    <w:p>
      <w:pPr>
        <w:pStyle w:val="Subsection"/>
        <w:rPr>
          <w:snapToGrid w:val="0"/>
        </w:rPr>
      </w:pPr>
      <w:r>
        <w:rPr>
          <w:snapToGrid w:val="0"/>
        </w:rPr>
        <w:tab/>
      </w:r>
      <w:r>
        <w:rPr>
          <w:snapToGrid w:val="0"/>
        </w:rPr>
        <w:tab/>
        <w:t>(other than costs, fees or charges permitted by this Act to be included as part of the amount financed under a regulated credit sale contract or a regulated loan contract or as part of the amount owing under a regulated continuing credit contract) is void.</w:t>
      </w:r>
    </w:p>
    <w:p>
      <w:pPr>
        <w:pStyle w:val="Subsection"/>
        <w:rPr>
          <w:snapToGrid w:val="0"/>
        </w:rPr>
      </w:pPr>
      <w:r>
        <w:rPr>
          <w:snapToGrid w:val="0"/>
        </w:rPr>
        <w:tab/>
        <w:t>(2)</w:t>
      </w:r>
      <w:r>
        <w:rPr>
          <w:snapToGrid w:val="0"/>
        </w:rPr>
        <w:tab/>
        <w:t>Any amount that, notwithstanding subsection (1), is paid by a debtor to a credit provider in accordance with an agreement referred to in subsection (1) is recoverable by the debtor from the credit provider as a debt.</w:t>
      </w:r>
    </w:p>
    <w:p>
      <w:pPr>
        <w:pStyle w:val="Subsection"/>
        <w:rPr>
          <w:snapToGrid w:val="0"/>
        </w:rPr>
      </w:pPr>
      <w:r>
        <w:rPr>
          <w:snapToGrid w:val="0"/>
        </w:rPr>
        <w:tab/>
        <w:t>(3)</w:t>
      </w:r>
      <w:r>
        <w:rPr>
          <w:snapToGrid w:val="0"/>
        </w:rPr>
        <w:tab/>
        <w:t>A credit provider shall not enter into an agreement that, by reason of subsection (1), is void.</w:t>
      </w:r>
    </w:p>
    <w:p>
      <w:pPr>
        <w:pStyle w:val="Penstart"/>
        <w:rPr>
          <w:snapToGrid w:val="0"/>
        </w:rPr>
      </w:pPr>
      <w:r>
        <w:rPr>
          <w:snapToGrid w:val="0"/>
        </w:rPr>
        <w:tab/>
        <w:t>Penalty: $2 000.</w:t>
      </w:r>
    </w:p>
    <w:p>
      <w:pPr>
        <w:pStyle w:val="Heading5"/>
        <w:rPr>
          <w:snapToGrid w:val="0"/>
        </w:rPr>
      </w:pPr>
      <w:bookmarkStart w:id="165" w:name="_Toc392496547"/>
      <w:r>
        <w:rPr>
          <w:rStyle w:val="CharSectno"/>
        </w:rPr>
        <w:t>76</w:t>
      </w:r>
      <w:r>
        <w:rPr>
          <w:snapToGrid w:val="0"/>
        </w:rPr>
        <w:t>.</w:t>
      </w:r>
      <w:r>
        <w:rPr>
          <w:snapToGrid w:val="0"/>
        </w:rPr>
        <w:tab/>
        <w:t>Enforcement expenses, provisions in contracts as to</w:t>
      </w:r>
      <w:bookmarkEnd w:id="165"/>
    </w:p>
    <w:p>
      <w:pPr>
        <w:pStyle w:val="Subsection"/>
        <w:spacing w:before="140"/>
        <w:rPr>
          <w:snapToGrid w:val="0"/>
        </w:rPr>
      </w:pPr>
      <w:r>
        <w:rPr>
          <w:snapToGrid w:val="0"/>
        </w:rPr>
        <w:tab/>
        <w:t>(1)</w:t>
      </w:r>
      <w:r>
        <w:rPr>
          <w:snapToGrid w:val="0"/>
        </w:rPr>
        <w:tab/>
        <w:t>A provision in a regulated contract to the effect that where the debtor makes default under the contract and the credit provider exercises a right in relation to the contract arising from the default, the debtor is, if the credit provider so determines, liable to pay to the credit provider an amount incurred or expended in the exercise of that right is void unless the provision limits the amount so payable to the reasonable amount reasonably incurred or expended by the credit provider in the exercise of that right.</w:t>
      </w:r>
    </w:p>
    <w:p>
      <w:pPr>
        <w:pStyle w:val="Subsection"/>
        <w:spacing w:before="140"/>
        <w:rPr>
          <w:snapToGrid w:val="0"/>
        </w:rPr>
      </w:pPr>
      <w:r>
        <w:rPr>
          <w:snapToGrid w:val="0"/>
        </w:rPr>
        <w:tab/>
        <w:t>(2)</w:t>
      </w:r>
      <w:r>
        <w:rPr>
          <w:snapToGrid w:val="0"/>
        </w:rPr>
        <w:tab/>
        <w:t>A credit provider shall not enter into a contract containing a provision that, by reason of subsection (1), is void.</w:t>
      </w:r>
    </w:p>
    <w:p>
      <w:pPr>
        <w:pStyle w:val="Penstart"/>
        <w:spacing w:before="60"/>
        <w:rPr>
          <w:snapToGrid w:val="0"/>
        </w:rPr>
      </w:pPr>
      <w:r>
        <w:rPr>
          <w:snapToGrid w:val="0"/>
        </w:rPr>
        <w:tab/>
        <w:t>Penalty: $2 000.</w:t>
      </w:r>
    </w:p>
    <w:p>
      <w:pPr>
        <w:pStyle w:val="Subsection"/>
        <w:spacing w:before="140"/>
        <w:rPr>
          <w:snapToGrid w:val="0"/>
        </w:rPr>
      </w:pPr>
      <w:r>
        <w:rPr>
          <w:snapToGrid w:val="0"/>
        </w:rPr>
        <w:tab/>
        <w:t>(3)</w:t>
      </w:r>
      <w:r>
        <w:rPr>
          <w:snapToGrid w:val="0"/>
        </w:rPr>
        <w:tab/>
        <w:t>Where there is a dispute between the debtor and the credit provider in relation to the liability of the debtor to pay a reasonable amount reasonably incurred or expended by the credit provider in the exercise of a right in relation to a regulated contract arising from the default of the debtor, the Tribunal, on the application of the debtor or credit provider, may determine the amount of that liability.</w:t>
      </w:r>
    </w:p>
    <w:p>
      <w:pPr>
        <w:pStyle w:val="Heading5"/>
        <w:rPr>
          <w:snapToGrid w:val="0"/>
        </w:rPr>
      </w:pPr>
      <w:bookmarkStart w:id="166" w:name="_Toc392496548"/>
      <w:r>
        <w:rPr>
          <w:rStyle w:val="CharSectno"/>
        </w:rPr>
        <w:t>77</w:t>
      </w:r>
      <w:r>
        <w:rPr>
          <w:snapToGrid w:val="0"/>
        </w:rPr>
        <w:t>.</w:t>
      </w:r>
      <w:r>
        <w:rPr>
          <w:snapToGrid w:val="0"/>
        </w:rPr>
        <w:tab/>
        <w:t>Negating etc. right to revoke offer to enter into contract, provisions in contracts as to</w:t>
      </w:r>
      <w:bookmarkEnd w:id="166"/>
    </w:p>
    <w:p>
      <w:pPr>
        <w:pStyle w:val="Subsection"/>
        <w:spacing w:before="140"/>
        <w:rPr>
          <w:snapToGrid w:val="0"/>
        </w:rPr>
      </w:pPr>
      <w:r>
        <w:rPr>
          <w:snapToGrid w:val="0"/>
        </w:rPr>
        <w:tab/>
        <w:t>(1)</w:t>
      </w:r>
      <w:r>
        <w:rPr>
          <w:snapToGrid w:val="0"/>
        </w:rPr>
        <w:tab/>
        <w:t>A provision in an agreement to the effect that a person does not have a right to revoke an offer to enter into a regulated contract — </w:t>
      </w:r>
    </w:p>
    <w:p>
      <w:pPr>
        <w:pStyle w:val="Indenta"/>
        <w:spacing w:before="60"/>
        <w:rPr>
          <w:snapToGrid w:val="0"/>
        </w:rPr>
      </w:pPr>
      <w:r>
        <w:rPr>
          <w:snapToGrid w:val="0"/>
        </w:rPr>
        <w:tab/>
        <w:t>(a)</w:t>
      </w:r>
      <w:r>
        <w:rPr>
          <w:snapToGrid w:val="0"/>
        </w:rPr>
        <w:tab/>
        <w:t>before the offer is accepted; or</w:t>
      </w:r>
    </w:p>
    <w:p>
      <w:pPr>
        <w:pStyle w:val="Indenta"/>
        <w:spacing w:before="60"/>
        <w:rPr>
          <w:snapToGrid w:val="0"/>
        </w:rPr>
      </w:pPr>
      <w:r>
        <w:rPr>
          <w:snapToGrid w:val="0"/>
        </w:rPr>
        <w:tab/>
        <w:t>(b)</w:t>
      </w:r>
      <w:r>
        <w:rPr>
          <w:snapToGrid w:val="0"/>
        </w:rPr>
        <w:tab/>
        <w:t>in a case where, at the time of the acceptance, the person could not reasonably be expected to know that the offer had been accepted, before notice is given of the acceptance,</w:t>
      </w:r>
    </w:p>
    <w:p>
      <w:pPr>
        <w:pStyle w:val="Subsection"/>
        <w:spacing w:before="100"/>
        <w:rPr>
          <w:snapToGrid w:val="0"/>
        </w:rPr>
      </w:pPr>
      <w:r>
        <w:rPr>
          <w:snapToGrid w:val="0"/>
        </w:rPr>
        <w:tab/>
      </w:r>
      <w:r>
        <w:rPr>
          <w:snapToGrid w:val="0"/>
        </w:rPr>
        <w:tab/>
        <w:t>or that such a right is restricted or modified is void.</w:t>
      </w:r>
    </w:p>
    <w:p>
      <w:pPr>
        <w:pStyle w:val="Subsection"/>
        <w:keepNext/>
        <w:spacing w:before="140"/>
        <w:rPr>
          <w:snapToGrid w:val="0"/>
        </w:rPr>
      </w:pPr>
      <w:r>
        <w:rPr>
          <w:snapToGrid w:val="0"/>
        </w:rPr>
        <w:tab/>
        <w:t>(2)</w:t>
      </w:r>
      <w:r>
        <w:rPr>
          <w:snapToGrid w:val="0"/>
        </w:rPr>
        <w:tab/>
        <w:t>A credit provider shall not enter into an agreement that includes a provision that, by reason of subsection (1), is void.</w:t>
      </w:r>
    </w:p>
    <w:p>
      <w:pPr>
        <w:pStyle w:val="Penstart"/>
        <w:spacing w:before="60"/>
        <w:rPr>
          <w:snapToGrid w:val="0"/>
        </w:rPr>
      </w:pPr>
      <w:r>
        <w:rPr>
          <w:snapToGrid w:val="0"/>
        </w:rPr>
        <w:tab/>
        <w:t>Penalty: $2 000.</w:t>
      </w:r>
    </w:p>
    <w:p>
      <w:pPr>
        <w:pStyle w:val="Heading5"/>
        <w:rPr>
          <w:snapToGrid w:val="0"/>
        </w:rPr>
      </w:pPr>
      <w:bookmarkStart w:id="167" w:name="_Toc392496549"/>
      <w:r>
        <w:rPr>
          <w:rStyle w:val="CharSectno"/>
        </w:rPr>
        <w:t>78</w:t>
      </w:r>
      <w:r>
        <w:rPr>
          <w:snapToGrid w:val="0"/>
        </w:rPr>
        <w:t>.</w:t>
      </w:r>
      <w:r>
        <w:rPr>
          <w:snapToGrid w:val="0"/>
        </w:rPr>
        <w:tab/>
        <w:t>Annual percentage rate, statement of in case of pre</w:t>
      </w:r>
      <w:r>
        <w:rPr>
          <w:snapToGrid w:val="0"/>
        </w:rPr>
        <w:noBreakHyphen/>
        <w:t>determined credit charge</w:t>
      </w:r>
      <w:bookmarkEnd w:id="167"/>
    </w:p>
    <w:p>
      <w:pPr>
        <w:pStyle w:val="Subsection"/>
        <w:rPr>
          <w:snapToGrid w:val="0"/>
        </w:rPr>
      </w:pPr>
      <w:r>
        <w:rPr>
          <w:snapToGrid w:val="0"/>
        </w:rPr>
        <w:tab/>
      </w:r>
      <w:r>
        <w:rPr>
          <w:snapToGrid w:val="0"/>
        </w:rPr>
        <w:tab/>
        <w:t>It is sufficient compliance with the provisions</w:t>
      </w:r>
      <w:bookmarkStart w:id="168" w:name="RuleErr_35"/>
      <w:r>
        <w:rPr>
          <w:snapToGrid w:val="0"/>
        </w:rPr>
        <w:t xml:space="preserve"> of this Part</w:t>
      </w:r>
      <w:bookmarkEnd w:id="168"/>
      <w:r>
        <w:rPr>
          <w:snapToGrid w:val="0"/>
        </w:rPr>
        <w:t xml:space="preserve"> that require the annual percentage rate to be stated in or in relation to a regulated contract under which the whole or any part of the credit charge is a pre</w:t>
      </w:r>
      <w:r>
        <w:rPr>
          <w:snapToGrid w:val="0"/>
        </w:rPr>
        <w:noBreakHyphen/>
        <w:t>determined credit charge if the annual percentage rate is — </w:t>
      </w:r>
    </w:p>
    <w:p>
      <w:pPr>
        <w:pStyle w:val="Indenta"/>
        <w:rPr>
          <w:snapToGrid w:val="0"/>
        </w:rPr>
      </w:pPr>
      <w:r>
        <w:rPr>
          <w:snapToGrid w:val="0"/>
        </w:rPr>
        <w:tab/>
        <w:t>(a)</w:t>
      </w:r>
      <w:r>
        <w:rPr>
          <w:snapToGrid w:val="0"/>
        </w:rPr>
        <w:tab/>
        <w:t>stated as a rate greater than that required to be stated; or</w:t>
      </w:r>
    </w:p>
    <w:p>
      <w:pPr>
        <w:pStyle w:val="Indenta"/>
        <w:rPr>
          <w:snapToGrid w:val="0"/>
        </w:rPr>
      </w:pPr>
      <w:r>
        <w:rPr>
          <w:snapToGrid w:val="0"/>
        </w:rPr>
        <w:tab/>
        <w:t>(b)</w:t>
      </w:r>
      <w:r>
        <w:rPr>
          <w:snapToGrid w:val="0"/>
        </w:rPr>
        <w:tab/>
        <w:t>stated as a rate less than that required to be stated by not more than 1 part in 50 of the rate required to be stated.</w:t>
      </w:r>
    </w:p>
    <w:p>
      <w:pPr>
        <w:pStyle w:val="Heading5"/>
        <w:rPr>
          <w:snapToGrid w:val="0"/>
        </w:rPr>
      </w:pPr>
      <w:bookmarkStart w:id="169" w:name="_Toc392496550"/>
      <w:r>
        <w:rPr>
          <w:rStyle w:val="CharSectno"/>
        </w:rPr>
        <w:t>79</w:t>
      </w:r>
      <w:r>
        <w:rPr>
          <w:snapToGrid w:val="0"/>
        </w:rPr>
        <w:t>.</w:t>
      </w:r>
      <w:r>
        <w:rPr>
          <w:snapToGrid w:val="0"/>
        </w:rPr>
        <w:tab/>
        <w:t>Estimated credit charge, statement of</w:t>
      </w:r>
      <w:bookmarkEnd w:id="169"/>
    </w:p>
    <w:p>
      <w:pPr>
        <w:pStyle w:val="Subsection"/>
        <w:rPr>
          <w:snapToGrid w:val="0"/>
        </w:rPr>
      </w:pPr>
      <w:r>
        <w:rPr>
          <w:snapToGrid w:val="0"/>
        </w:rPr>
        <w:tab/>
      </w:r>
      <w:r>
        <w:rPr>
          <w:snapToGrid w:val="0"/>
        </w:rPr>
        <w:tab/>
        <w:t>It is sufficient compliance with the provisions</w:t>
      </w:r>
      <w:bookmarkStart w:id="170" w:name="RuleErr_36"/>
      <w:r>
        <w:rPr>
          <w:snapToGrid w:val="0"/>
        </w:rPr>
        <w:t xml:space="preserve"> of this Part</w:t>
      </w:r>
      <w:bookmarkEnd w:id="170"/>
      <w:r>
        <w:rPr>
          <w:snapToGrid w:val="0"/>
        </w:rPr>
        <w:t xml:space="preserve"> that require the estimated credit charge to be stated in or in relation to a regulated contract under which the whole or any part of the credit charge is an estimated credit charge if the estimated credit charge is — </w:t>
      </w:r>
    </w:p>
    <w:p>
      <w:pPr>
        <w:pStyle w:val="Indenta"/>
        <w:rPr>
          <w:snapToGrid w:val="0"/>
        </w:rPr>
      </w:pPr>
      <w:r>
        <w:rPr>
          <w:snapToGrid w:val="0"/>
        </w:rPr>
        <w:tab/>
        <w:t>(a)</w:t>
      </w:r>
      <w:r>
        <w:rPr>
          <w:snapToGrid w:val="0"/>
        </w:rPr>
        <w:tab/>
        <w:t>stated as a charge less than that required to be stated; or</w:t>
      </w:r>
    </w:p>
    <w:p>
      <w:pPr>
        <w:pStyle w:val="Indenta"/>
        <w:rPr>
          <w:snapToGrid w:val="0"/>
        </w:rPr>
      </w:pPr>
      <w:r>
        <w:rPr>
          <w:snapToGrid w:val="0"/>
        </w:rPr>
        <w:tab/>
        <w:t>(b)</w:t>
      </w:r>
      <w:r>
        <w:rPr>
          <w:snapToGrid w:val="0"/>
        </w:rPr>
        <w:tab/>
        <w:t>stated as a charge greater than that required to be stated by not more than 1 part in 100 of the charge required to be stated.</w:t>
      </w:r>
    </w:p>
    <w:p>
      <w:pPr>
        <w:pStyle w:val="Heading5"/>
        <w:rPr>
          <w:snapToGrid w:val="0"/>
        </w:rPr>
      </w:pPr>
      <w:bookmarkStart w:id="171" w:name="_Toc392496551"/>
      <w:r>
        <w:rPr>
          <w:rStyle w:val="CharSectno"/>
        </w:rPr>
        <w:t>80</w:t>
      </w:r>
      <w:r>
        <w:rPr>
          <w:snapToGrid w:val="0"/>
        </w:rPr>
        <w:t>.</w:t>
      </w:r>
      <w:r>
        <w:rPr>
          <w:snapToGrid w:val="0"/>
        </w:rPr>
        <w:tab/>
        <w:t>Difference between pre</w:t>
      </w:r>
      <w:r>
        <w:rPr>
          <w:snapToGrid w:val="0"/>
        </w:rPr>
        <w:noBreakHyphen/>
        <w:t>determined or estimated credit charge and calculated credit charge, liability of debtor in case of</w:t>
      </w:r>
      <w:bookmarkEnd w:id="171"/>
    </w:p>
    <w:p>
      <w:pPr>
        <w:pStyle w:val="Subsection"/>
        <w:rPr>
          <w:snapToGrid w:val="0"/>
        </w:rPr>
      </w:pPr>
      <w:r>
        <w:rPr>
          <w:snapToGrid w:val="0"/>
        </w:rPr>
        <w:tab/>
      </w:r>
      <w:r>
        <w:rPr>
          <w:snapToGrid w:val="0"/>
        </w:rPr>
        <w:tab/>
        <w:t>Where, under a credit sale contract or a loan contract, the whole of the credit charge is a pre</w:t>
      </w:r>
      <w:r>
        <w:rPr>
          <w:snapToGrid w:val="0"/>
        </w:rPr>
        <w:noBreakHyphen/>
        <w:t>determined credit charge or an estimated credit charge and the amount of the credit charge stated in the contract differs from the amount determined by applying, according to the actuarial method, the annual percentage rate stated in the contract to the amount financed by an amount that exceeds 1% of the amount so stated in the contract, the liability of the debtor under the contract in respect of the credit charge is a liability — </w:t>
      </w:r>
    </w:p>
    <w:p>
      <w:pPr>
        <w:pStyle w:val="Indenta"/>
        <w:rPr>
          <w:snapToGrid w:val="0"/>
        </w:rPr>
      </w:pPr>
      <w:r>
        <w:rPr>
          <w:snapToGrid w:val="0"/>
        </w:rPr>
        <w:tab/>
        <w:t>(a)</w:t>
      </w:r>
      <w:r>
        <w:rPr>
          <w:snapToGrid w:val="0"/>
        </w:rPr>
        <w:tab/>
        <w:t>where the amount so determined is less than the amount so stated — to pay the amount determined by applying the annual percentage rate to the unpaid balance of the amount financed; or</w:t>
      </w:r>
    </w:p>
    <w:p>
      <w:pPr>
        <w:pStyle w:val="Indenta"/>
        <w:rPr>
          <w:snapToGrid w:val="0"/>
        </w:rPr>
      </w:pPr>
      <w:r>
        <w:rPr>
          <w:snapToGrid w:val="0"/>
        </w:rPr>
        <w:tab/>
        <w:t>(b)</w:t>
      </w:r>
      <w:r>
        <w:rPr>
          <w:snapToGrid w:val="0"/>
        </w:rPr>
        <w:tab/>
        <w:t>where the amount so determined exceeds the amount so stated — to pay the amount determined in accordance with the contract as if the annual percentage rate were the rate which, when applied to the unpaid balance of the amount financed, yields an amount equal to the amount so stated.</w:t>
      </w:r>
    </w:p>
    <w:p>
      <w:pPr>
        <w:pStyle w:val="Heading5"/>
        <w:rPr>
          <w:snapToGrid w:val="0"/>
        </w:rPr>
      </w:pPr>
      <w:bookmarkStart w:id="172" w:name="_Toc392496552"/>
      <w:r>
        <w:rPr>
          <w:rStyle w:val="CharSectno"/>
        </w:rPr>
        <w:t>81</w:t>
      </w:r>
      <w:r>
        <w:rPr>
          <w:snapToGrid w:val="0"/>
        </w:rPr>
        <w:t>.</w:t>
      </w:r>
      <w:r>
        <w:rPr>
          <w:snapToGrid w:val="0"/>
        </w:rPr>
        <w:tab/>
        <w:t>Credit provider etc., assignment of rights by</w:t>
      </w:r>
      <w:bookmarkEnd w:id="172"/>
    </w:p>
    <w:p>
      <w:pPr>
        <w:pStyle w:val="Subsection"/>
        <w:rPr>
          <w:snapToGrid w:val="0"/>
        </w:rPr>
      </w:pPr>
      <w:r>
        <w:rPr>
          <w:snapToGrid w:val="0"/>
        </w:rPr>
        <w:tab/>
        <w:t>(1)</w:t>
      </w:r>
      <w:r>
        <w:rPr>
          <w:snapToGrid w:val="0"/>
        </w:rPr>
        <w:tab/>
        <w:t>A person — </w:t>
      </w:r>
    </w:p>
    <w:p>
      <w:pPr>
        <w:pStyle w:val="Indenta"/>
        <w:rPr>
          <w:snapToGrid w:val="0"/>
        </w:rPr>
      </w:pPr>
      <w:r>
        <w:rPr>
          <w:snapToGrid w:val="0"/>
        </w:rPr>
        <w:tab/>
        <w:t>(a)</w:t>
      </w:r>
      <w:r>
        <w:rPr>
          <w:snapToGrid w:val="0"/>
        </w:rPr>
        <w:tab/>
        <w:t>being a credit provider, shall not assign the whole or any part of his rights as a credit provider under a regulated contract to a person other than a licensed credit provider or an exempt credit provider; and</w:t>
      </w:r>
    </w:p>
    <w:p>
      <w:pPr>
        <w:pStyle w:val="Indenta"/>
        <w:rPr>
          <w:snapToGrid w:val="0"/>
        </w:rPr>
      </w:pPr>
      <w:r>
        <w:rPr>
          <w:snapToGrid w:val="0"/>
        </w:rPr>
        <w:tab/>
        <w:t>(b)</w:t>
      </w:r>
      <w:r>
        <w:rPr>
          <w:snapToGrid w:val="0"/>
        </w:rPr>
        <w:tab/>
        <w:t>being a mortgagee under a mortgage relating to a regulated contract shall not, subject to subsection (2), assign the whole or any part of his rights as a mortgagee under the mortgage to a person other than a licensed credit provider or an exempt credit provider to whom he has assigned his rights under the credit contract,</w:t>
      </w:r>
    </w:p>
    <w:p>
      <w:pPr>
        <w:pStyle w:val="Subsection"/>
        <w:spacing w:before="100"/>
        <w:rPr>
          <w:snapToGrid w:val="0"/>
        </w:rPr>
      </w:pPr>
      <w:r>
        <w:rPr>
          <w:snapToGrid w:val="0"/>
        </w:rPr>
        <w:tab/>
      </w:r>
      <w:r>
        <w:rPr>
          <w:snapToGrid w:val="0"/>
        </w:rPr>
        <w:tab/>
        <w:t>unless the assignment — </w:t>
      </w:r>
    </w:p>
    <w:p>
      <w:pPr>
        <w:pStyle w:val="Indenta"/>
        <w:rPr>
          <w:snapToGrid w:val="0"/>
        </w:rPr>
      </w:pPr>
      <w:r>
        <w:rPr>
          <w:snapToGrid w:val="0"/>
        </w:rPr>
        <w:tab/>
        <w:t>(c)</w:t>
      </w:r>
      <w:r>
        <w:rPr>
          <w:snapToGrid w:val="0"/>
        </w:rPr>
        <w:tab/>
        <w:t xml:space="preserve">is an assignment made </w:t>
      </w:r>
      <w:bookmarkStart w:id="173" w:name="RuleErr_156"/>
      <w:r>
        <w:rPr>
          <w:i/>
          <w:snapToGrid w:val="0"/>
        </w:rPr>
        <w:t>bona fide</w:t>
      </w:r>
      <w:bookmarkEnd w:id="173"/>
      <w:r>
        <w:rPr>
          <w:snapToGrid w:val="0"/>
        </w:rPr>
        <w:t xml:space="preserve"> by way of security in respect of a liability incurred by the assignor; or</w:t>
      </w:r>
    </w:p>
    <w:p>
      <w:pPr>
        <w:pStyle w:val="Indenta"/>
        <w:rPr>
          <w:snapToGrid w:val="0"/>
        </w:rPr>
      </w:pPr>
      <w:r>
        <w:rPr>
          <w:snapToGrid w:val="0"/>
        </w:rPr>
        <w:tab/>
        <w:t>(d)</w:t>
      </w:r>
      <w:r>
        <w:rPr>
          <w:snapToGrid w:val="0"/>
        </w:rPr>
        <w:tab/>
        <w:t>is made with the consent of the Commissioner or the Tribunal.</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Where a mortgage secures payment of a debt or other pecuniary obligation or the performance of any other obligation under a regulated contract and secures other moneys or the performance of any other obligation, subsection (1) does not apply to or in respect of an assignment of rights under the mortgage that do not relate to a regulated contract.</w:t>
      </w:r>
    </w:p>
    <w:p>
      <w:pPr>
        <w:pStyle w:val="Subsection"/>
        <w:rPr>
          <w:snapToGrid w:val="0"/>
        </w:rPr>
      </w:pPr>
      <w:r>
        <w:rPr>
          <w:snapToGrid w:val="0"/>
        </w:rPr>
        <w:tab/>
        <w:t>(3)</w:t>
      </w:r>
      <w:r>
        <w:rPr>
          <w:snapToGrid w:val="0"/>
        </w:rPr>
        <w:tab/>
        <w:t>Subject to this section, where a credit provider or a mortgagee assigns his rights as a credit provider under a regulated contract or as a mortgagee under a regulated mortgage — </w:t>
      </w:r>
    </w:p>
    <w:p>
      <w:pPr>
        <w:pStyle w:val="Indenta"/>
        <w:spacing w:before="60"/>
        <w:rPr>
          <w:snapToGrid w:val="0"/>
        </w:rPr>
      </w:pPr>
      <w:r>
        <w:rPr>
          <w:snapToGrid w:val="0"/>
        </w:rPr>
        <w:tab/>
        <w:t>(a)</w:t>
      </w:r>
      <w:r>
        <w:rPr>
          <w:snapToGrid w:val="0"/>
        </w:rPr>
        <w:tab/>
        <w:t>the debtor or mortgagor and, where there is a guarantee in relation to the contract or mortgage, the guarantor, have under the contract, mortgage or guarantee the same obligations to the assignee as they would have had to the credit provider or mortgagee if the assignment had not been made; and</w:t>
      </w:r>
    </w:p>
    <w:p>
      <w:pPr>
        <w:pStyle w:val="Indenta"/>
        <w:spacing w:before="60"/>
        <w:rPr>
          <w:snapToGrid w:val="0"/>
        </w:rPr>
      </w:pPr>
      <w:r>
        <w:rPr>
          <w:snapToGrid w:val="0"/>
        </w:rPr>
        <w:tab/>
        <w:t>(b)</w:t>
      </w:r>
      <w:r>
        <w:rPr>
          <w:snapToGrid w:val="0"/>
        </w:rPr>
        <w:tab/>
        <w:t>subject to subsection (4), the debtor or mortgagor and any such guarantor have and may exercise the same rights in respect of the contract, mortgage or guarantee against the assignee as they have and may exercise against the credit provider or mortgagee.</w:t>
      </w:r>
    </w:p>
    <w:p>
      <w:pPr>
        <w:pStyle w:val="Subsection"/>
        <w:rPr>
          <w:snapToGrid w:val="0"/>
        </w:rPr>
      </w:pPr>
      <w:r>
        <w:rPr>
          <w:snapToGrid w:val="0"/>
        </w:rPr>
        <w:tab/>
        <w:t>(4)</w:t>
      </w:r>
      <w:r>
        <w:rPr>
          <w:snapToGrid w:val="0"/>
        </w:rPr>
        <w:tab/>
        <w:t>An assignee under an assignment to which subsection (1) applies of the rights of a credit provider under a regulated contract or of a mortgagee under a mortgage relating to a regulated contract is not liable to the debtor or mortgagor under the contract or mortgage in respect of an amount exceeding the amount due to the assignee under the regulated contract at the date of the assignment.</w:t>
      </w:r>
    </w:p>
    <w:p>
      <w:pPr>
        <w:pStyle w:val="Subsection"/>
        <w:rPr>
          <w:snapToGrid w:val="0"/>
        </w:rPr>
      </w:pPr>
      <w:r>
        <w:rPr>
          <w:snapToGrid w:val="0"/>
        </w:rPr>
        <w:tab/>
        <w:t>(5)</w:t>
      </w:r>
      <w:r>
        <w:rPr>
          <w:snapToGrid w:val="0"/>
        </w:rPr>
        <w:tab/>
        <w:t>The rights of a debtor, mortgagor or guarantor referred to in subsection (3)(b) in respect of a regulated contract or a regulated mortgage may not be exercised otherwise than by way of a defence or set off in respect of a claim by the assignee under the regulated contract.</w:t>
      </w:r>
    </w:p>
    <w:p>
      <w:pPr>
        <w:pStyle w:val="Subsection"/>
        <w:rPr>
          <w:snapToGrid w:val="0"/>
        </w:rPr>
      </w:pPr>
      <w:r>
        <w:rPr>
          <w:snapToGrid w:val="0"/>
        </w:rPr>
        <w:tab/>
        <w:t>(6)</w:t>
      </w:r>
      <w:r>
        <w:rPr>
          <w:snapToGrid w:val="0"/>
        </w:rPr>
        <w:tab/>
        <w:t>Subject to section 85 — </w:t>
      </w:r>
    </w:p>
    <w:p>
      <w:pPr>
        <w:pStyle w:val="Indenta"/>
        <w:spacing w:before="60"/>
        <w:rPr>
          <w:snapToGrid w:val="0"/>
        </w:rPr>
      </w:pPr>
      <w:r>
        <w:rPr>
          <w:snapToGrid w:val="0"/>
        </w:rPr>
        <w:tab/>
        <w:t>(a)</w:t>
      </w:r>
      <w:r>
        <w:rPr>
          <w:snapToGrid w:val="0"/>
        </w:rPr>
        <w:tab/>
        <w:t>where a credit provider assigns the whole or any part of his rights under a credit sale contract or a loan contract otherwise than in accordance with subsection (1), the debtor is not liable to pay the amount of the credit charge under the contract; and</w:t>
      </w:r>
    </w:p>
    <w:p>
      <w:pPr>
        <w:pStyle w:val="Indenta"/>
        <w:spacing w:before="60"/>
        <w:rPr>
          <w:snapToGrid w:val="0"/>
        </w:rPr>
      </w:pPr>
      <w:r>
        <w:rPr>
          <w:snapToGrid w:val="0"/>
        </w:rPr>
        <w:tab/>
        <w:t>(b)</w:t>
      </w:r>
      <w:r>
        <w:rPr>
          <w:snapToGrid w:val="0"/>
        </w:rPr>
        <w:tab/>
        <w:t>where a credit provider assigns the whole or any part of his rights under a regulated continuing credit contract otherwise than in accordance with subsection (1), the debtor is not liable to pay the amount of the credit charge for the billing cycle during which the assignment occurred; and</w:t>
      </w:r>
    </w:p>
    <w:p>
      <w:pPr>
        <w:pStyle w:val="Indenta"/>
        <w:rPr>
          <w:snapToGrid w:val="0"/>
        </w:rPr>
      </w:pPr>
      <w:r>
        <w:rPr>
          <w:snapToGrid w:val="0"/>
        </w:rPr>
        <w:tab/>
        <w:t>(c)</w:t>
      </w:r>
      <w:r>
        <w:rPr>
          <w:snapToGrid w:val="0"/>
        </w:rPr>
        <w:tab/>
        <w:t>where a credit provider assigns the whole or any part of his rights as mortgagee under a regulated mortgage otherwise than in accordance with subsection (1) — </w:t>
      </w:r>
    </w:p>
    <w:p>
      <w:pPr>
        <w:pStyle w:val="Indenti"/>
        <w:rPr>
          <w:snapToGrid w:val="0"/>
        </w:rPr>
      </w:pPr>
      <w:r>
        <w:rPr>
          <w:snapToGrid w:val="0"/>
        </w:rPr>
        <w:tab/>
        <w:t>(i)</w:t>
      </w:r>
      <w:r>
        <w:rPr>
          <w:snapToGrid w:val="0"/>
        </w:rPr>
        <w:tab/>
        <w:t>where the mortgage relates to a credit sale contract or a loan contract, the debtor is not liable to pay the amount of the credit charge under the contract; and</w:t>
      </w:r>
    </w:p>
    <w:p>
      <w:pPr>
        <w:pStyle w:val="Indenti"/>
        <w:rPr>
          <w:snapToGrid w:val="0"/>
        </w:rPr>
      </w:pPr>
      <w:r>
        <w:rPr>
          <w:snapToGrid w:val="0"/>
        </w:rPr>
        <w:tab/>
        <w:t>(ii)</w:t>
      </w:r>
      <w:r>
        <w:rPr>
          <w:snapToGrid w:val="0"/>
        </w:rPr>
        <w:tab/>
        <w:t>where the mortgage relates to a regulated continuing credit contract, the debtor is not liable to pay the amount of the credit charge for the billing cycle during which the assignment is made.</w:t>
      </w:r>
    </w:p>
    <w:p>
      <w:pPr>
        <w:pStyle w:val="Subsection"/>
        <w:rPr>
          <w:snapToGrid w:val="0"/>
        </w:rPr>
      </w:pPr>
      <w:r>
        <w:rPr>
          <w:snapToGrid w:val="0"/>
        </w:rPr>
        <w:tab/>
        <w:t>(7)</w:t>
      </w:r>
      <w:r>
        <w:rPr>
          <w:snapToGrid w:val="0"/>
        </w:rPr>
        <w:tab/>
        <w:t>This section does not apply to or in respect of an assignment that occurs by operation of law.</w:t>
      </w:r>
    </w:p>
    <w:p>
      <w:pPr>
        <w:pStyle w:val="Heading5"/>
        <w:rPr>
          <w:snapToGrid w:val="0"/>
        </w:rPr>
      </w:pPr>
      <w:bookmarkStart w:id="174" w:name="_Toc392496553"/>
      <w:r>
        <w:rPr>
          <w:rStyle w:val="CharSectno"/>
        </w:rPr>
        <w:t>82</w:t>
      </w:r>
      <w:r>
        <w:rPr>
          <w:snapToGrid w:val="0"/>
        </w:rPr>
        <w:t>.</w:t>
      </w:r>
      <w:r>
        <w:rPr>
          <w:snapToGrid w:val="0"/>
        </w:rPr>
        <w:tab/>
        <w:t>Payments by credit provider to be in cash and in full</w:t>
      </w:r>
      <w:bookmarkEnd w:id="174"/>
    </w:p>
    <w:p>
      <w:pPr>
        <w:pStyle w:val="Subsection"/>
        <w:rPr>
          <w:snapToGrid w:val="0"/>
        </w:rPr>
      </w:pPr>
      <w:r>
        <w:rPr>
          <w:snapToGrid w:val="0"/>
        </w:rPr>
        <w:tab/>
      </w:r>
      <w:r>
        <w:rPr>
          <w:snapToGrid w:val="0"/>
        </w:rPr>
        <w:tab/>
        <w:t>Subject to this Act, a credit provider shall not under a regulated loan contract make a payment of an amount to or in accordance with the instructions of the debtor unless the payment — </w:t>
      </w:r>
    </w:p>
    <w:p>
      <w:pPr>
        <w:pStyle w:val="Indenta"/>
        <w:rPr>
          <w:snapToGrid w:val="0"/>
        </w:rPr>
      </w:pPr>
      <w:r>
        <w:rPr>
          <w:snapToGrid w:val="0"/>
        </w:rPr>
        <w:tab/>
        <w:t>(a)</w:t>
      </w:r>
      <w:r>
        <w:rPr>
          <w:snapToGrid w:val="0"/>
        </w:rPr>
        <w:tab/>
        <w:t>is in cash or money’s worth; and</w:t>
      </w:r>
    </w:p>
    <w:p>
      <w:pPr>
        <w:pStyle w:val="Indenta"/>
        <w:rPr>
          <w:snapToGrid w:val="0"/>
        </w:rPr>
      </w:pPr>
      <w:r>
        <w:rPr>
          <w:snapToGrid w:val="0"/>
        </w:rPr>
        <w:tab/>
        <w:t>(b)</w:t>
      </w:r>
      <w:r>
        <w:rPr>
          <w:snapToGrid w:val="0"/>
        </w:rPr>
        <w:tab/>
        <w:t>is made in full without deduction of an amount included in the credit charge in respect of the contract.</w:t>
      </w:r>
    </w:p>
    <w:p>
      <w:pPr>
        <w:pStyle w:val="Penstart"/>
        <w:rPr>
          <w:snapToGrid w:val="0"/>
        </w:rPr>
      </w:pPr>
      <w:r>
        <w:rPr>
          <w:snapToGrid w:val="0"/>
        </w:rPr>
        <w:tab/>
        <w:t>Penalty: $1 000.</w:t>
      </w:r>
    </w:p>
    <w:p>
      <w:pPr>
        <w:pStyle w:val="Heading5"/>
        <w:rPr>
          <w:snapToGrid w:val="0"/>
        </w:rPr>
      </w:pPr>
      <w:bookmarkStart w:id="175" w:name="_Toc392496554"/>
      <w:r>
        <w:rPr>
          <w:rStyle w:val="CharSectno"/>
        </w:rPr>
        <w:t>83</w:t>
      </w:r>
      <w:r>
        <w:rPr>
          <w:snapToGrid w:val="0"/>
        </w:rPr>
        <w:t>.</w:t>
      </w:r>
      <w:r>
        <w:rPr>
          <w:snapToGrid w:val="0"/>
        </w:rPr>
        <w:tab/>
        <w:t>Application of payments received by credit provider</w:t>
      </w:r>
      <w:bookmarkEnd w:id="175"/>
    </w:p>
    <w:p>
      <w:pPr>
        <w:pStyle w:val="Subsection"/>
        <w:keepNext/>
        <w:keepLines/>
        <w:spacing w:before="140"/>
        <w:rPr>
          <w:snapToGrid w:val="0"/>
        </w:rPr>
      </w:pPr>
      <w:r>
        <w:rPr>
          <w:snapToGrid w:val="0"/>
        </w:rPr>
        <w:tab/>
      </w:r>
      <w:r>
        <w:rPr>
          <w:snapToGrid w:val="0"/>
        </w:rPr>
        <w:tab/>
        <w:t>A credit provider shall, unless the credit provider and debtor otherwise agree, apply payments received under a regulated contract — </w:t>
      </w:r>
    </w:p>
    <w:p>
      <w:pPr>
        <w:pStyle w:val="Indenta"/>
        <w:rPr>
          <w:snapToGrid w:val="0"/>
        </w:rPr>
      </w:pPr>
      <w:r>
        <w:rPr>
          <w:snapToGrid w:val="0"/>
        </w:rPr>
        <w:tab/>
        <w:t>(a)</w:t>
      </w:r>
      <w:r>
        <w:rPr>
          <w:snapToGrid w:val="0"/>
        </w:rPr>
        <w:tab/>
        <w:t>in the case of a regulated credit sale contract or a regulated loan contract — </w:t>
      </w:r>
    </w:p>
    <w:p>
      <w:pPr>
        <w:pStyle w:val="Indenti"/>
        <w:rPr>
          <w:snapToGrid w:val="0"/>
        </w:rPr>
      </w:pPr>
      <w:r>
        <w:rPr>
          <w:snapToGrid w:val="0"/>
        </w:rPr>
        <w:tab/>
        <w:t>(i)</w:t>
      </w:r>
      <w:r>
        <w:rPr>
          <w:snapToGrid w:val="0"/>
        </w:rPr>
        <w:tab/>
        <w:t>first in payment of default charges (if any); and</w:t>
      </w:r>
    </w:p>
    <w:p>
      <w:pPr>
        <w:pStyle w:val="Indenti"/>
        <w:rPr>
          <w:snapToGrid w:val="0"/>
        </w:rPr>
      </w:pPr>
      <w:r>
        <w:rPr>
          <w:snapToGrid w:val="0"/>
        </w:rPr>
        <w:tab/>
        <w:t>(ii)</w:t>
      </w:r>
      <w:r>
        <w:rPr>
          <w:snapToGrid w:val="0"/>
        </w:rPr>
        <w:tab/>
        <w:t>secondly in payment of the accrued credit charge; and</w:t>
      </w:r>
    </w:p>
    <w:p>
      <w:pPr>
        <w:pStyle w:val="Indenti"/>
        <w:rPr>
          <w:snapToGrid w:val="0"/>
        </w:rPr>
      </w:pPr>
      <w:r>
        <w:rPr>
          <w:snapToGrid w:val="0"/>
        </w:rPr>
        <w:tab/>
        <w:t>(iii)</w:t>
      </w:r>
      <w:r>
        <w:rPr>
          <w:snapToGrid w:val="0"/>
        </w:rPr>
        <w:tab/>
        <w:t>thirdly in payment of deferral charges (if any); and</w:t>
      </w:r>
    </w:p>
    <w:p>
      <w:pPr>
        <w:pStyle w:val="Indenti"/>
        <w:rPr>
          <w:snapToGrid w:val="0"/>
        </w:rPr>
      </w:pPr>
      <w:r>
        <w:rPr>
          <w:snapToGrid w:val="0"/>
        </w:rPr>
        <w:tab/>
        <w:t>(iv)</w:t>
      </w:r>
      <w:r>
        <w:rPr>
          <w:snapToGrid w:val="0"/>
        </w:rPr>
        <w:tab/>
        <w:t>fourthly in payment of the outstanding balance of the amount financed; and</w:t>
      </w:r>
    </w:p>
    <w:p>
      <w:pPr>
        <w:pStyle w:val="Indenti"/>
        <w:rPr>
          <w:snapToGrid w:val="0"/>
        </w:rPr>
      </w:pPr>
      <w:r>
        <w:rPr>
          <w:snapToGrid w:val="0"/>
        </w:rPr>
        <w:tab/>
        <w:t>(v)</w:t>
      </w:r>
      <w:r>
        <w:rPr>
          <w:snapToGrid w:val="0"/>
        </w:rPr>
        <w:tab/>
        <w:t xml:space="preserve">fifthly in payment of enforcement expenses;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regulated continuing credit contract — </w:t>
      </w:r>
    </w:p>
    <w:p>
      <w:pPr>
        <w:pStyle w:val="Indenti"/>
        <w:rPr>
          <w:snapToGrid w:val="0"/>
        </w:rPr>
      </w:pPr>
      <w:r>
        <w:rPr>
          <w:snapToGrid w:val="0"/>
        </w:rPr>
        <w:tab/>
        <w:t>(i)</w:t>
      </w:r>
      <w:r>
        <w:rPr>
          <w:snapToGrid w:val="0"/>
        </w:rPr>
        <w:tab/>
        <w:t>first in payment of the credit charge; and</w:t>
      </w:r>
    </w:p>
    <w:p>
      <w:pPr>
        <w:pStyle w:val="Indenti"/>
        <w:rPr>
          <w:snapToGrid w:val="0"/>
        </w:rPr>
      </w:pPr>
      <w:r>
        <w:rPr>
          <w:snapToGrid w:val="0"/>
        </w:rPr>
        <w:tab/>
        <w:t>(ii)</w:t>
      </w:r>
      <w:r>
        <w:rPr>
          <w:snapToGrid w:val="0"/>
        </w:rPr>
        <w:tab/>
        <w:t xml:space="preserve">secondly in payment of any other amount owed under the contract by the debtor to the credit provider. </w:t>
      </w:r>
    </w:p>
    <w:p>
      <w:pPr>
        <w:pStyle w:val="Heading5"/>
        <w:rPr>
          <w:snapToGrid w:val="0"/>
        </w:rPr>
      </w:pPr>
      <w:bookmarkStart w:id="176" w:name="_Toc392496555"/>
      <w:r>
        <w:rPr>
          <w:rStyle w:val="CharSectno"/>
        </w:rPr>
        <w:t>84</w:t>
      </w:r>
      <w:r>
        <w:rPr>
          <w:snapToGrid w:val="0"/>
        </w:rPr>
        <w:t>.</w:t>
      </w:r>
      <w:r>
        <w:rPr>
          <w:snapToGrid w:val="0"/>
        </w:rPr>
        <w:tab/>
        <w:t>Appropriation of payments between 2 or more contracts</w:t>
      </w:r>
      <w:bookmarkEnd w:id="176"/>
    </w:p>
    <w:p>
      <w:pPr>
        <w:pStyle w:val="Subsection"/>
        <w:rPr>
          <w:snapToGrid w:val="0"/>
        </w:rPr>
      </w:pPr>
      <w:r>
        <w:rPr>
          <w:snapToGrid w:val="0"/>
        </w:rPr>
        <w:tab/>
      </w:r>
      <w:r>
        <w:rPr>
          <w:snapToGrid w:val="0"/>
        </w:rPr>
        <w:tab/>
        <w:t>A debtor who is liable to make payments in respect of 2 or more regulated contracts to the same credit provider shall, notwithstanding any agreement to the contrary, be entitled, on making a payment in respect of the contracts which is not sufficient to discharge the total amount then due under all the contracts, to require the credit provider to appropriate the amount so paid in or towards the satisfaction of the amount due under any one or more of the contracts, or in or towards the satisfaction of the amount due under any 2 or more of the contracts, in such proportions as the debtor specifies and, if the debtor fails to make such an appropriation, the payment shall, unless the debtor and the credit provider otherwise agree, be appropriated in or towards the satisfaction of the amounts due under the respective contracts in the order in which the contracts were entered into.</w:t>
      </w:r>
    </w:p>
    <w:p>
      <w:pPr>
        <w:pStyle w:val="Heading5"/>
        <w:rPr>
          <w:snapToGrid w:val="0"/>
        </w:rPr>
      </w:pPr>
      <w:bookmarkStart w:id="177" w:name="_Toc392496556"/>
      <w:r>
        <w:rPr>
          <w:rStyle w:val="CharSectno"/>
        </w:rPr>
        <w:t>85</w:t>
      </w:r>
      <w:r>
        <w:rPr>
          <w:snapToGrid w:val="0"/>
        </w:rPr>
        <w:t>.</w:t>
      </w:r>
      <w:r>
        <w:rPr>
          <w:snapToGrid w:val="0"/>
        </w:rPr>
        <w:tab/>
        <w:t>Tribunal may reduce credit provider’s loss due to breach of law</w:t>
      </w:r>
      <w:bookmarkEnd w:id="177"/>
    </w:p>
    <w:p>
      <w:pPr>
        <w:pStyle w:val="Subsection"/>
        <w:rPr>
          <w:snapToGrid w:val="0"/>
        </w:rPr>
      </w:pPr>
      <w:r>
        <w:rPr>
          <w:snapToGrid w:val="0"/>
        </w:rPr>
        <w:tab/>
        <w:t>(1)</w:t>
      </w:r>
      <w:r>
        <w:rPr>
          <w:snapToGrid w:val="0"/>
        </w:rPr>
        <w:tab/>
        <w:t xml:space="preserve">Where, by reason of a contravention of or a failure to comply with this Act or the </w:t>
      </w:r>
      <w:r>
        <w:rPr>
          <w:i/>
          <w:snapToGrid w:val="0"/>
        </w:rPr>
        <w:t>Credit (Administration) Act 1984</w:t>
      </w:r>
      <w:r>
        <w:rPr>
          <w:snapToGrid w:val="0"/>
        </w:rPr>
        <w:t>, by a credit provider, a debtor is not liable to pay to the credit provider under a regulated contract an amount that, but for the contravention or failure, he would have been liable to pay under the contract, the credit provider may apply to the Tribunal in the prescribed form for an order increasing the liability of the debtor to the credit provider.</w:t>
      </w:r>
    </w:p>
    <w:p>
      <w:pPr>
        <w:pStyle w:val="Subsection"/>
        <w:rPr>
          <w:snapToGrid w:val="0"/>
        </w:rPr>
      </w:pPr>
      <w:r>
        <w:rPr>
          <w:snapToGrid w:val="0"/>
        </w:rPr>
        <w:tab/>
        <w:t>(2)</w:t>
      </w:r>
      <w:r>
        <w:rPr>
          <w:snapToGrid w:val="0"/>
        </w:rPr>
        <w:tab/>
        <w:t>Where an application is made to the Tribunal under this section in relation to a regulated contract, the Tribunal, after consideration of the relevant circumstances, including the conduct of the credit provider and the debtor and loss or damage (if any) suffered by the debtor — </w:t>
      </w:r>
    </w:p>
    <w:p>
      <w:pPr>
        <w:pStyle w:val="Indenta"/>
        <w:rPr>
          <w:snapToGrid w:val="0"/>
        </w:rPr>
      </w:pPr>
      <w:r>
        <w:rPr>
          <w:snapToGrid w:val="0"/>
        </w:rPr>
        <w:tab/>
        <w:t>(a)</w:t>
      </w:r>
      <w:r>
        <w:rPr>
          <w:snapToGrid w:val="0"/>
        </w:rPr>
        <w:tab/>
        <w:t xml:space="preserve">in the case of a credit sale contract or a loan contract and a contravention of or failure to comply with the </w:t>
      </w:r>
      <w:r>
        <w:rPr>
          <w:i/>
          <w:snapToGrid w:val="0"/>
        </w:rPr>
        <w:t>Credit (Administration) Act 1984</w:t>
      </w:r>
      <w:r>
        <w:rPr>
          <w:snapToGrid w:val="0"/>
        </w:rPr>
        <w:t> — </w:t>
      </w:r>
    </w:p>
    <w:p>
      <w:pPr>
        <w:pStyle w:val="Indenti"/>
        <w:rPr>
          <w:snapToGrid w:val="0"/>
        </w:rPr>
      </w:pPr>
      <w:r>
        <w:rPr>
          <w:snapToGrid w:val="0"/>
        </w:rPr>
        <w:tab/>
        <w:t>(i)</w:t>
      </w:r>
      <w:r>
        <w:rPr>
          <w:snapToGrid w:val="0"/>
        </w:rPr>
        <w:tab/>
        <w:t>may, where it is satisfied that the contravention or failure has occurred and ought reasonably to be excused — determine that the debtor is liable to pay the amount financed under the contract and the whole or such part of the credit charge as it determines; or</w:t>
      </w:r>
    </w:p>
    <w:p>
      <w:pPr>
        <w:pStyle w:val="Indenti"/>
        <w:rPr>
          <w:snapToGrid w:val="0"/>
        </w:rPr>
      </w:pPr>
      <w:r>
        <w:rPr>
          <w:snapToGrid w:val="0"/>
        </w:rPr>
        <w:tab/>
        <w:t>(ii)</w:t>
      </w:r>
      <w:r>
        <w:rPr>
          <w:snapToGrid w:val="0"/>
        </w:rPr>
        <w:tab/>
        <w:t>may, where it is satisfied that the contravention or failure has occurred but ought not to be excused — determine not to increase the liability of the debtor or determine that the debtor is liable to pay the whole or such part as it determines of the amount financed under the contract and the whole or such part of the credit charge as it determines;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in the case of a regulated continuing credit contract and a contravention of or failure to comply with the </w:t>
      </w:r>
      <w:r>
        <w:rPr>
          <w:i/>
          <w:snapToGrid w:val="0"/>
        </w:rPr>
        <w:t>Credit (Administration) Act 1984</w:t>
      </w:r>
      <w:r>
        <w:rPr>
          <w:snapToGrid w:val="0"/>
        </w:rPr>
        <w:t> — </w:t>
      </w:r>
    </w:p>
    <w:p>
      <w:pPr>
        <w:pStyle w:val="Indenti"/>
        <w:rPr>
          <w:snapToGrid w:val="0"/>
        </w:rPr>
      </w:pPr>
      <w:r>
        <w:rPr>
          <w:snapToGrid w:val="0"/>
        </w:rPr>
        <w:tab/>
        <w:t>(i)</w:t>
      </w:r>
      <w:r>
        <w:rPr>
          <w:snapToGrid w:val="0"/>
        </w:rPr>
        <w:tab/>
        <w:t>may, where it is satisfied that the contravention or failure has occurred and ought reasonably to be excused — determine that the debtor is liable to pay the whole or such part of the amount owing or the credit charge as it determines; or</w:t>
      </w:r>
    </w:p>
    <w:p>
      <w:pPr>
        <w:pStyle w:val="Indenti"/>
        <w:rPr>
          <w:snapToGrid w:val="0"/>
        </w:rPr>
      </w:pPr>
      <w:r>
        <w:rPr>
          <w:snapToGrid w:val="0"/>
        </w:rPr>
        <w:tab/>
        <w:t>(ii)</w:t>
      </w:r>
      <w:r>
        <w:rPr>
          <w:snapToGrid w:val="0"/>
        </w:rPr>
        <w:tab/>
        <w:t xml:space="preserve">may, where it is satisfied that the contravention or failure has occurred but ought not to be excused — determine not to increase the liability of the debtor or determine that the debtor is liable to pay the whole or such part of the amount owing or the credit charge as it determines;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regulated contract and a contravention of or failure to comply with this Act by a credit provider may, where it is satisfied that the contravention or failure has occurred — determine not to increase the liability of the debtor or determine that the debtor is liable to pay the whole or such part of the credit charge under the contract as it determines.</w:t>
      </w:r>
    </w:p>
    <w:p>
      <w:pPr>
        <w:pStyle w:val="Subsection"/>
        <w:rPr>
          <w:snapToGrid w:val="0"/>
        </w:rPr>
      </w:pPr>
      <w:r>
        <w:rPr>
          <w:snapToGrid w:val="0"/>
        </w:rPr>
        <w:tab/>
        <w:t>(3)</w:t>
      </w:r>
      <w:r>
        <w:rPr>
          <w:snapToGrid w:val="0"/>
        </w:rPr>
        <w:tab/>
        <w:t xml:space="preserve">Where, under this section, the Tribunal determines the amount that a debtor is liable to pay after a contravention of or failure to comply with this Act or the </w:t>
      </w:r>
      <w:r>
        <w:rPr>
          <w:i/>
          <w:snapToGrid w:val="0"/>
        </w:rPr>
        <w:t>Credit (Administration) Act 1984</w:t>
      </w:r>
      <w:r>
        <w:rPr>
          <w:snapToGrid w:val="0"/>
        </w:rPr>
        <w:t>, by a credit provider, the Tribunal shall ensure that, in determining that amount, the amount that the debtor would have been liable to pay but for the contravention or failure is reduced by an amount that is not less than the amount of loss or damage (if any) suffered by the debtor as a result of the contravention or failure.</w:t>
      </w:r>
    </w:p>
    <w:p>
      <w:pPr>
        <w:pStyle w:val="Subsection"/>
        <w:rPr>
          <w:snapToGrid w:val="0"/>
        </w:rPr>
      </w:pPr>
      <w:r>
        <w:rPr>
          <w:snapToGrid w:val="0"/>
        </w:rPr>
        <w:tab/>
        <w:t>(4)</w:t>
      </w:r>
      <w:r>
        <w:rPr>
          <w:snapToGrid w:val="0"/>
        </w:rPr>
        <w:tab/>
        <w:t xml:space="preserve">Where, under this section, the Tribunal determines the liability of the debtor under a regulated contract in consequence of a contravention of or a failure to comply with this Act or the </w:t>
      </w:r>
      <w:r>
        <w:rPr>
          <w:i/>
          <w:snapToGrid w:val="0"/>
        </w:rPr>
        <w:t>Credit (Administration) Act 1984</w:t>
      </w:r>
      <w:r>
        <w:rPr>
          <w:snapToGrid w:val="0"/>
        </w:rPr>
        <w:t>, by the credit provider, the liability of the debtor to the credit provider under the contract is the liability determined by the Tribunal instead of the liability that, but for the determination, the debtor would have had to the credit provider under the contract.</w:t>
      </w:r>
    </w:p>
    <w:p>
      <w:pPr>
        <w:pStyle w:val="Subsection"/>
        <w:rPr>
          <w:snapToGrid w:val="0"/>
        </w:rPr>
      </w:pPr>
      <w:r>
        <w:rPr>
          <w:snapToGrid w:val="0"/>
        </w:rPr>
        <w:tab/>
        <w:t>(4a)</w:t>
      </w:r>
      <w:r>
        <w:rPr>
          <w:snapToGrid w:val="0"/>
        </w:rPr>
        <w:tab/>
        <w:t>The Tribunal may, when making a determination under this section of the amount that a debtor is liable to pay, give the parties to the proceedings such directions as the Tribunal considers appropriate relating to the payment of the amount owed by the debtor or by the credit provider as a result of the determination.</w:t>
      </w:r>
    </w:p>
    <w:p>
      <w:pPr>
        <w:pStyle w:val="Subsection"/>
        <w:rPr>
          <w:snapToGrid w:val="0"/>
        </w:rPr>
      </w:pPr>
      <w:r>
        <w:rPr>
          <w:snapToGrid w:val="0"/>
        </w:rPr>
        <w:tab/>
        <w:t>(4b)</w:t>
      </w:r>
      <w:r>
        <w:rPr>
          <w:snapToGrid w:val="0"/>
        </w:rPr>
        <w:tab/>
        <w:t>A determination made by the Tribunal under this section of the liability of a debtor has effect only in respect of the contravention or failure to which the determination relates.</w:t>
      </w:r>
    </w:p>
    <w:p>
      <w:pPr>
        <w:pStyle w:val="Subsection"/>
        <w:rPr>
          <w:snapToGrid w:val="0"/>
        </w:rPr>
      </w:pPr>
      <w:r>
        <w:rPr>
          <w:snapToGrid w:val="0"/>
        </w:rPr>
        <w:tab/>
        <w:t>(4c)</w:t>
      </w:r>
      <w:r>
        <w:rPr>
          <w:snapToGrid w:val="0"/>
        </w:rPr>
        <w:tab/>
        <w:t xml:space="preserve">This section, as amended by section 9 of the </w:t>
      </w:r>
      <w:r>
        <w:rPr>
          <w:i/>
          <w:snapToGrid w:val="0"/>
        </w:rPr>
        <w:t>Credit Amendment Act 1992</w:t>
      </w:r>
      <w:r>
        <w:rPr>
          <w:snapToGrid w:val="0"/>
        </w:rPr>
        <w:t>, applies to proceedings in the Tribunal commenced before as well as after the coming into operation of that section.</w:t>
      </w:r>
    </w:p>
    <w:p>
      <w:pPr>
        <w:pStyle w:val="Subsection"/>
        <w:rPr>
          <w:snapToGrid w:val="0"/>
        </w:rPr>
      </w:pPr>
      <w:r>
        <w:rPr>
          <w:snapToGrid w:val="0"/>
        </w:rPr>
        <w:tab/>
        <w:t>(5)</w:t>
      </w:r>
      <w:r>
        <w:rPr>
          <w:snapToGrid w:val="0"/>
        </w:rPr>
        <w:tab/>
        <w:t xml:space="preserve">Nothing in this section affects the liability of a person to be convicted of an offence under this Act or the </w:t>
      </w:r>
      <w:r>
        <w:rPr>
          <w:i/>
          <w:snapToGrid w:val="0"/>
        </w:rPr>
        <w:t>Credit (Administration) Act 1984</w:t>
      </w:r>
      <w:r>
        <w:rPr>
          <w:snapToGrid w:val="0"/>
        </w:rPr>
        <w:t>.</w:t>
      </w:r>
    </w:p>
    <w:p>
      <w:pPr>
        <w:pStyle w:val="Footnotesection"/>
      </w:pPr>
      <w:r>
        <w:tab/>
        <w:t xml:space="preserve">[Section 85 amended by No. 58 of 1992 s. 8 and 9.] </w:t>
      </w:r>
    </w:p>
    <w:p>
      <w:pPr>
        <w:pStyle w:val="Heading5"/>
        <w:rPr>
          <w:snapToGrid w:val="0"/>
        </w:rPr>
      </w:pPr>
      <w:bookmarkStart w:id="178" w:name="_Toc392496557"/>
      <w:r>
        <w:rPr>
          <w:rStyle w:val="CharSectno"/>
        </w:rPr>
        <w:t>85A</w:t>
      </w:r>
      <w:r>
        <w:rPr>
          <w:snapToGrid w:val="0"/>
        </w:rPr>
        <w:t>.</w:t>
      </w:r>
      <w:r>
        <w:rPr>
          <w:snapToGrid w:val="0"/>
        </w:rPr>
        <w:tab/>
        <w:t>Declaration by Tribunal that debtor not liable due to s. 42 or 67</w:t>
      </w:r>
      <w:bookmarkEnd w:id="178"/>
    </w:p>
    <w:p>
      <w:pPr>
        <w:pStyle w:val="Subsection"/>
        <w:rPr>
          <w:snapToGrid w:val="0"/>
        </w:rPr>
      </w:pPr>
      <w:r>
        <w:rPr>
          <w:snapToGrid w:val="0"/>
        </w:rPr>
        <w:tab/>
        <w:t xml:space="preserve">(1) </w:t>
      </w:r>
      <w:r>
        <w:rPr>
          <w:snapToGrid w:val="0"/>
        </w:rPr>
        <w:tab/>
        <w:t>Where a debtor is not liable to pay — </w:t>
      </w:r>
    </w:p>
    <w:p>
      <w:pPr>
        <w:pStyle w:val="Indenta"/>
        <w:rPr>
          <w:snapToGrid w:val="0"/>
        </w:rPr>
      </w:pPr>
      <w:r>
        <w:rPr>
          <w:snapToGrid w:val="0"/>
        </w:rPr>
        <w:tab/>
        <w:t>(a)</w:t>
      </w:r>
      <w:r>
        <w:rPr>
          <w:snapToGrid w:val="0"/>
        </w:rPr>
        <w:tab/>
        <w:t>the credit charge under a regulated contract by virtue of section 42; or</w:t>
      </w:r>
    </w:p>
    <w:p>
      <w:pPr>
        <w:pStyle w:val="Indenta"/>
        <w:keepNext/>
        <w:rPr>
          <w:snapToGrid w:val="0"/>
        </w:rPr>
      </w:pPr>
      <w:r>
        <w:rPr>
          <w:snapToGrid w:val="0"/>
        </w:rPr>
        <w:tab/>
        <w:t>(b)</w:t>
      </w:r>
      <w:r>
        <w:rPr>
          <w:snapToGrid w:val="0"/>
        </w:rPr>
        <w:tab/>
        <w:t>a portion of the credit charge under a regulated continuing credit contract by virtue of section 67,</w:t>
      </w:r>
    </w:p>
    <w:p>
      <w:pPr>
        <w:pStyle w:val="Subsection"/>
        <w:spacing w:before="120"/>
        <w:rPr>
          <w:snapToGrid w:val="0"/>
        </w:rPr>
      </w:pPr>
      <w:r>
        <w:rPr>
          <w:snapToGrid w:val="0"/>
        </w:rPr>
        <w:tab/>
      </w:r>
      <w:r>
        <w:rPr>
          <w:snapToGrid w:val="0"/>
        </w:rPr>
        <w:tab/>
        <w:t>the debtor or the Commissioner may apply to the Tribunal for a declaration to that effect in relation to the contract in question and the Tribunal may make such a declaration.</w:t>
      </w:r>
    </w:p>
    <w:p>
      <w:pPr>
        <w:pStyle w:val="Subsection"/>
        <w:rPr>
          <w:snapToGrid w:val="0"/>
        </w:rPr>
      </w:pPr>
      <w:r>
        <w:rPr>
          <w:snapToGrid w:val="0"/>
        </w:rPr>
        <w:tab/>
        <w:t>(2)</w:t>
      </w:r>
      <w:r>
        <w:rPr>
          <w:snapToGrid w:val="0"/>
        </w:rPr>
        <w:tab/>
        <w:t>Any declaration made under subsection (1) is subject to any determination made under section 85, 86 or 86A that affects the regulated contract the subject of the declaration.</w:t>
      </w:r>
    </w:p>
    <w:p>
      <w:pPr>
        <w:pStyle w:val="Footnotesection"/>
      </w:pPr>
      <w:r>
        <w:tab/>
        <w:t>[Section 85A inserted by No. 47 of 1989 s. 4.]</w:t>
      </w:r>
    </w:p>
    <w:p>
      <w:pPr>
        <w:pStyle w:val="Heading5"/>
        <w:rPr>
          <w:snapToGrid w:val="0"/>
        </w:rPr>
      </w:pPr>
      <w:bookmarkStart w:id="179" w:name="_Toc392496558"/>
      <w:r>
        <w:rPr>
          <w:rStyle w:val="CharSectno"/>
        </w:rPr>
        <w:t>85B</w:t>
      </w:r>
      <w:r>
        <w:rPr>
          <w:snapToGrid w:val="0"/>
        </w:rPr>
        <w:t xml:space="preserve">. </w:t>
      </w:r>
      <w:r>
        <w:rPr>
          <w:snapToGrid w:val="0"/>
        </w:rPr>
        <w:tab/>
        <w:t>Stay of civil penalty under s. 42 or 67 pending decision of s. 85 application</w:t>
      </w:r>
      <w:bookmarkEnd w:id="179"/>
    </w:p>
    <w:p>
      <w:pPr>
        <w:pStyle w:val="Subsection"/>
        <w:rPr>
          <w:snapToGrid w:val="0"/>
        </w:rPr>
      </w:pPr>
      <w:r>
        <w:rPr>
          <w:snapToGrid w:val="0"/>
        </w:rPr>
        <w:tab/>
        <w:t>(1)</w:t>
      </w:r>
      <w:r>
        <w:rPr>
          <w:snapToGrid w:val="0"/>
        </w:rPr>
        <w:tab/>
        <w:t>When an application is made for a determination under section 85, the civil penalty to which the application relates is stayed pending the disposal of the application by the Tribunal.</w:t>
      </w:r>
    </w:p>
    <w:p>
      <w:pPr>
        <w:pStyle w:val="Subsection"/>
        <w:rPr>
          <w:snapToGrid w:val="0"/>
        </w:rPr>
      </w:pPr>
      <w:r>
        <w:rPr>
          <w:snapToGrid w:val="0"/>
        </w:rPr>
        <w:tab/>
        <w:t>(2)</w:t>
      </w:r>
      <w:r>
        <w:rPr>
          <w:snapToGrid w:val="0"/>
        </w:rPr>
        <w:tab/>
        <w:t>For the purposes of staying any such civil penalty, the application operates as an interim determination of the Tribunal in the terms sought by the application pending its disposal by the Tribunal.</w:t>
      </w:r>
    </w:p>
    <w:p>
      <w:pPr>
        <w:pStyle w:val="Subsection"/>
        <w:rPr>
          <w:snapToGrid w:val="0"/>
        </w:rPr>
      </w:pPr>
      <w:r>
        <w:rPr>
          <w:snapToGrid w:val="0"/>
        </w:rPr>
        <w:tab/>
        <w:t>(3)</w:t>
      </w:r>
      <w:r>
        <w:rPr>
          <w:snapToGrid w:val="0"/>
        </w:rPr>
        <w:tab/>
        <w:t>Until the interim determination ceases to have effect, the credit provider must not, without the consent of the Tribunal, in relation to an amount in excess of the amount financed under the regulated contract concerned — </w:t>
      </w:r>
    </w:p>
    <w:p>
      <w:pPr>
        <w:pStyle w:val="Indenta"/>
        <w:rPr>
          <w:snapToGrid w:val="0"/>
        </w:rPr>
      </w:pPr>
      <w:r>
        <w:rPr>
          <w:snapToGrid w:val="0"/>
        </w:rPr>
        <w:tab/>
        <w:t>(a)</w:t>
      </w:r>
      <w:r>
        <w:rPr>
          <w:snapToGrid w:val="0"/>
        </w:rPr>
        <w:tab/>
        <w:t>take enforcement action against the debtor; or</w:t>
      </w:r>
    </w:p>
    <w:p>
      <w:pPr>
        <w:pStyle w:val="Indenta"/>
        <w:rPr>
          <w:snapToGrid w:val="0"/>
        </w:rPr>
      </w:pPr>
      <w:r>
        <w:rPr>
          <w:snapToGrid w:val="0"/>
        </w:rPr>
        <w:tab/>
        <w:t>(b)</w:t>
      </w:r>
      <w:r>
        <w:rPr>
          <w:snapToGrid w:val="0"/>
        </w:rPr>
        <w:tab/>
        <w:t>enter into an agreement under section 69 for the refinancing of the contract; or</w:t>
      </w:r>
    </w:p>
    <w:p>
      <w:pPr>
        <w:pStyle w:val="Indenta"/>
        <w:rPr>
          <w:snapToGrid w:val="0"/>
        </w:rPr>
      </w:pPr>
      <w:r>
        <w:rPr>
          <w:snapToGrid w:val="0"/>
        </w:rPr>
        <w:tab/>
        <w:t>(c)</w:t>
      </w:r>
      <w:r>
        <w:rPr>
          <w:snapToGrid w:val="0"/>
        </w:rPr>
        <w:tab/>
        <w:t>make a default charge under section 72.</w:t>
      </w:r>
    </w:p>
    <w:p>
      <w:pPr>
        <w:pStyle w:val="Subsection"/>
        <w:rPr>
          <w:snapToGrid w:val="0"/>
        </w:rPr>
      </w:pPr>
      <w:r>
        <w:rPr>
          <w:snapToGrid w:val="0"/>
        </w:rPr>
        <w:tab/>
        <w:t>(4)</w:t>
      </w:r>
      <w:r>
        <w:rPr>
          <w:snapToGrid w:val="0"/>
        </w:rPr>
        <w:tab/>
        <w:t>When the application is disposed of by the Tribunal, the interim determination under this section ceases to have effect and (unless a determination in the same terms is made by the Tribunal) is taken never to have had effect.</w:t>
      </w:r>
    </w:p>
    <w:p>
      <w:pPr>
        <w:pStyle w:val="Subsection"/>
        <w:rPr>
          <w:snapToGrid w:val="0"/>
        </w:rPr>
      </w:pPr>
      <w:r>
        <w:rPr>
          <w:snapToGrid w:val="0"/>
        </w:rPr>
        <w:tab/>
        <w:t>(5)</w:t>
      </w:r>
      <w:r>
        <w:rPr>
          <w:snapToGrid w:val="0"/>
        </w:rPr>
        <w:tab/>
        <w:t>The Tribunal may, before disposing of the application, give the applicant such directions as it considers appropriate to protect the interests of the debtors concerned, including directions relating to the payment of all or any of the amounts concerned in a trust account.</w:t>
      </w:r>
    </w:p>
    <w:p>
      <w:pPr>
        <w:pStyle w:val="Subsection"/>
        <w:keepNext/>
        <w:rPr>
          <w:snapToGrid w:val="0"/>
        </w:rPr>
      </w:pPr>
      <w:r>
        <w:rPr>
          <w:snapToGrid w:val="0"/>
        </w:rPr>
        <w:tab/>
        <w:t>(6)</w:t>
      </w:r>
      <w:r>
        <w:rPr>
          <w:snapToGrid w:val="0"/>
        </w:rPr>
        <w:tab/>
        <w:t>This section does not apply to an application for a determination if — </w:t>
      </w:r>
    </w:p>
    <w:p>
      <w:pPr>
        <w:pStyle w:val="Indenta"/>
        <w:rPr>
          <w:snapToGrid w:val="0"/>
        </w:rPr>
      </w:pPr>
      <w:r>
        <w:rPr>
          <w:snapToGrid w:val="0"/>
        </w:rPr>
        <w:tab/>
        <w:t>(a)</w:t>
      </w:r>
      <w:r>
        <w:rPr>
          <w:snapToGrid w:val="0"/>
        </w:rPr>
        <w:tab/>
        <w:t>the determination cannot be made by the Tribunal under section 85; or</w:t>
      </w:r>
    </w:p>
    <w:p>
      <w:pPr>
        <w:pStyle w:val="Indenta"/>
        <w:rPr>
          <w:snapToGrid w:val="0"/>
        </w:rPr>
      </w:pPr>
      <w:r>
        <w:rPr>
          <w:snapToGrid w:val="0"/>
        </w:rPr>
        <w:tab/>
        <w:t>(b)</w:t>
      </w:r>
      <w:r>
        <w:rPr>
          <w:snapToGrid w:val="0"/>
        </w:rPr>
        <w:tab/>
        <w:t>the Tribunal excludes the application from the operation</w:t>
      </w:r>
      <w:bookmarkStart w:id="180" w:name="RuleErr_60"/>
      <w:r>
        <w:rPr>
          <w:snapToGrid w:val="0"/>
        </w:rPr>
        <w:t xml:space="preserve"> of this section</w:t>
      </w:r>
      <w:bookmarkEnd w:id="180"/>
      <w:r>
        <w:rPr>
          <w:snapToGrid w:val="0"/>
        </w:rPr>
        <w:t> because a direction under subsection (5) has not been complied with or for any other reason.</w:t>
      </w:r>
    </w:p>
    <w:p>
      <w:pPr>
        <w:pStyle w:val="Subsection"/>
        <w:rPr>
          <w:snapToGrid w:val="0"/>
        </w:rPr>
      </w:pPr>
      <w:r>
        <w:rPr>
          <w:snapToGrid w:val="0"/>
        </w:rPr>
        <w:tab/>
        <w:t>(7)</w:t>
      </w:r>
      <w:r>
        <w:rPr>
          <w:snapToGrid w:val="0"/>
        </w:rPr>
        <w:tab/>
        <w:t>For the purposes</w:t>
      </w:r>
      <w:bookmarkStart w:id="181" w:name="RuleErr_61"/>
      <w:r>
        <w:rPr>
          <w:snapToGrid w:val="0"/>
        </w:rPr>
        <w:t xml:space="preserve"> of this section</w:t>
      </w:r>
      <w:bookmarkEnd w:id="181"/>
      <w:r>
        <w:rPr>
          <w:snapToGrid w:val="0"/>
        </w:rPr>
        <w:t>, a reference to the disposal of an application includes a reference to the withdrawal of the application by the applicant.</w:t>
      </w:r>
    </w:p>
    <w:p>
      <w:pPr>
        <w:pStyle w:val="Subsection"/>
        <w:rPr>
          <w:snapToGrid w:val="0"/>
        </w:rPr>
      </w:pPr>
      <w:r>
        <w:rPr>
          <w:snapToGrid w:val="0"/>
        </w:rPr>
        <w:tab/>
        <w:t>(8)</w:t>
      </w:r>
      <w:r>
        <w:rPr>
          <w:snapToGrid w:val="0"/>
        </w:rPr>
        <w:tab/>
        <w:t xml:space="preserve">In this section, </w:t>
      </w:r>
      <w:r>
        <w:rPr>
          <w:rStyle w:val="CharDefText"/>
        </w:rPr>
        <w:t>civil penalty</w:t>
      </w:r>
      <w:r>
        <w:rPr>
          <w:snapToGrid w:val="0"/>
        </w:rPr>
        <w:t xml:space="preserve"> means a penalty which is imposed on a credit provider by the operation of section 42, 67 or 81 or of the </w:t>
      </w:r>
      <w:r>
        <w:rPr>
          <w:i/>
          <w:snapToGrid w:val="0"/>
        </w:rPr>
        <w:t>Credit (Administration) Act 1984</w:t>
      </w:r>
      <w:r>
        <w:rPr>
          <w:snapToGrid w:val="0"/>
        </w:rPr>
        <w:t xml:space="preserve"> and under which the debtor is not liable to pay to the credit provider an amount otherwise payable under a regulated contract.</w:t>
      </w:r>
    </w:p>
    <w:p>
      <w:pPr>
        <w:pStyle w:val="Footnotesection"/>
      </w:pPr>
      <w:r>
        <w:tab/>
        <w:t xml:space="preserve">[Section 85B inserted by No. 58 of 1992 s. 10; amended by No. 55 of 2004 s. 174.] </w:t>
      </w:r>
    </w:p>
    <w:p>
      <w:pPr>
        <w:pStyle w:val="Heading5"/>
        <w:rPr>
          <w:snapToGrid w:val="0"/>
        </w:rPr>
      </w:pPr>
      <w:bookmarkStart w:id="182" w:name="_Toc392496559"/>
      <w:r>
        <w:rPr>
          <w:rStyle w:val="CharSectno"/>
        </w:rPr>
        <w:t>86</w:t>
      </w:r>
      <w:r>
        <w:rPr>
          <w:snapToGrid w:val="0"/>
        </w:rPr>
        <w:t>.</w:t>
      </w:r>
      <w:r>
        <w:rPr>
          <w:snapToGrid w:val="0"/>
        </w:rPr>
        <w:tab/>
        <w:t>Declaration under s. 85 as to 2 or more contracts</w:t>
      </w:r>
      <w:bookmarkEnd w:id="182"/>
    </w:p>
    <w:p>
      <w:pPr>
        <w:pStyle w:val="Subsection"/>
        <w:rPr>
          <w:snapToGrid w:val="0"/>
        </w:rPr>
      </w:pPr>
      <w:r>
        <w:rPr>
          <w:snapToGrid w:val="0"/>
        </w:rPr>
        <w:tab/>
        <w:t>(1)</w:t>
      </w:r>
      <w:r>
        <w:rPr>
          <w:snapToGrid w:val="0"/>
        </w:rPr>
        <w:tab/>
        <w:t xml:space="preserve">Where a credit provider has contravened or failed to comply with this Act or the </w:t>
      </w:r>
      <w:r>
        <w:rPr>
          <w:i/>
          <w:snapToGrid w:val="0"/>
        </w:rPr>
        <w:t>Credit (Administration) Act 1984</w:t>
      </w:r>
      <w:r>
        <w:rPr>
          <w:snapToGrid w:val="0"/>
        </w:rPr>
        <w:t xml:space="preserve">, in respect of 2 or more regulated contracts, he may apply to the Tribunal for a determination under section 85 and the Tribunal, without affecting the liability of a person to be convicted of an offence under this Act or the </w:t>
      </w:r>
      <w:r>
        <w:rPr>
          <w:i/>
          <w:snapToGrid w:val="0"/>
        </w:rPr>
        <w:t>Credit (Administration) Act 1984</w:t>
      </w:r>
      <w:r>
        <w:rPr>
          <w:snapToGrid w:val="0"/>
        </w:rPr>
        <w:t> — </w:t>
      </w:r>
    </w:p>
    <w:p>
      <w:pPr>
        <w:pStyle w:val="Indenta"/>
        <w:rPr>
          <w:snapToGrid w:val="0"/>
        </w:rPr>
      </w:pPr>
      <w:r>
        <w:rPr>
          <w:snapToGrid w:val="0"/>
        </w:rPr>
        <w:tab/>
        <w:t>(a)</w:t>
      </w:r>
      <w:r>
        <w:rPr>
          <w:snapToGrid w:val="0"/>
        </w:rPr>
        <w:tab/>
        <w:t>may make a determination under section 85 in relation to one or more specified regulated contracts; and</w:t>
      </w:r>
    </w:p>
    <w:p>
      <w:pPr>
        <w:pStyle w:val="Indenta"/>
        <w:rPr>
          <w:snapToGrid w:val="0"/>
        </w:rPr>
      </w:pPr>
      <w:r>
        <w:rPr>
          <w:snapToGrid w:val="0"/>
        </w:rPr>
        <w:tab/>
        <w:t>(b)</w:t>
      </w:r>
      <w:r>
        <w:rPr>
          <w:snapToGrid w:val="0"/>
        </w:rPr>
        <w:tab/>
        <w:t>may make a determination under section 85 in relation to all regulated contracts entered into by the credit provider during a specified period; and</w:t>
      </w:r>
    </w:p>
    <w:p>
      <w:pPr>
        <w:pStyle w:val="Indenta"/>
        <w:rPr>
          <w:snapToGrid w:val="0"/>
        </w:rPr>
      </w:pPr>
      <w:r>
        <w:rPr>
          <w:snapToGrid w:val="0"/>
        </w:rPr>
        <w:tab/>
        <w:t>(c)</w:t>
      </w:r>
      <w:r>
        <w:rPr>
          <w:snapToGrid w:val="0"/>
        </w:rPr>
        <w:tab/>
        <w:t>may make a determination under section 85 in relation to all regulated contracts of a specified class entered into by the credit provider during a specified period (for example, all regulated contracts entered into during a specified period which are affected by a specified contravention or failure).</w:t>
      </w:r>
    </w:p>
    <w:p>
      <w:pPr>
        <w:pStyle w:val="Subsection"/>
        <w:rPr>
          <w:snapToGrid w:val="0"/>
        </w:rPr>
      </w:pPr>
      <w:r>
        <w:rPr>
          <w:snapToGrid w:val="0"/>
        </w:rPr>
        <w:tab/>
        <w:t>(2)</w:t>
      </w:r>
      <w:r>
        <w:rPr>
          <w:snapToGrid w:val="0"/>
        </w:rPr>
        <w:tab/>
        <w:t>The debtors affected by an application under this section need not be identified in the application but the Tribunal may (if it considers that it is appropriate to do so) decline to deal with the application unless the application is amended to identify the debtors.</w:t>
      </w:r>
    </w:p>
    <w:p>
      <w:pPr>
        <w:pStyle w:val="Subsection"/>
        <w:rPr>
          <w:snapToGrid w:val="0"/>
        </w:rPr>
      </w:pPr>
      <w:r>
        <w:rPr>
          <w:snapToGrid w:val="0"/>
        </w:rPr>
        <w:tab/>
        <w:t>(3)</w:t>
      </w:r>
      <w:r>
        <w:rPr>
          <w:snapToGrid w:val="0"/>
        </w:rPr>
        <w:tab/>
        <w:t>The Tribunal may authorise notice of an application under this section to be given by the publication of the notice in a newspaper circulating within the State or Australia if the Tribunal considers that (because of the number of debtors and other circumstances of the case) it is impracticable to give notice to each debtor and is otherwise appropriate so to give notice of that application.</w:t>
      </w:r>
    </w:p>
    <w:p>
      <w:pPr>
        <w:pStyle w:val="Subsection"/>
        <w:rPr>
          <w:snapToGrid w:val="0"/>
        </w:rPr>
      </w:pPr>
      <w:r>
        <w:rPr>
          <w:snapToGrid w:val="0"/>
        </w:rPr>
        <w:tab/>
        <w:t>(4)</w:t>
      </w:r>
      <w:r>
        <w:rPr>
          <w:snapToGrid w:val="0"/>
        </w:rPr>
        <w:tab/>
        <w:t>If the debtors affected by any such application are not identified in the notice, the following information must be included in the notice — </w:t>
      </w:r>
    </w:p>
    <w:p>
      <w:pPr>
        <w:pStyle w:val="Indenta"/>
        <w:spacing w:before="60"/>
        <w:rPr>
          <w:snapToGrid w:val="0"/>
        </w:rPr>
      </w:pPr>
      <w:r>
        <w:rPr>
          <w:snapToGrid w:val="0"/>
        </w:rPr>
        <w:tab/>
        <w:t>(a)</w:t>
      </w:r>
      <w:r>
        <w:rPr>
          <w:snapToGrid w:val="0"/>
        </w:rPr>
        <w:tab/>
        <w:t>the name of the credit provider; and</w:t>
      </w:r>
    </w:p>
    <w:p>
      <w:pPr>
        <w:pStyle w:val="Indenta"/>
        <w:spacing w:before="60"/>
        <w:rPr>
          <w:snapToGrid w:val="0"/>
        </w:rPr>
      </w:pPr>
      <w:r>
        <w:rPr>
          <w:snapToGrid w:val="0"/>
        </w:rPr>
        <w:tab/>
        <w:t>(b)</w:t>
      </w:r>
      <w:r>
        <w:rPr>
          <w:snapToGrid w:val="0"/>
        </w:rPr>
        <w:tab/>
        <w:t>a general description of the regulated contracts concerned; and</w:t>
      </w:r>
    </w:p>
    <w:p>
      <w:pPr>
        <w:pStyle w:val="Indenta"/>
        <w:spacing w:before="60"/>
        <w:rPr>
          <w:snapToGrid w:val="0"/>
        </w:rPr>
      </w:pPr>
      <w:r>
        <w:rPr>
          <w:snapToGrid w:val="0"/>
        </w:rPr>
        <w:tab/>
        <w:t>(c)</w:t>
      </w:r>
      <w:r>
        <w:rPr>
          <w:snapToGrid w:val="0"/>
        </w:rPr>
        <w:tab/>
        <w:t>the period during which the contracts were entered into; and</w:t>
      </w:r>
    </w:p>
    <w:p>
      <w:pPr>
        <w:pStyle w:val="Indenta"/>
        <w:spacing w:before="60"/>
        <w:rPr>
          <w:snapToGrid w:val="0"/>
        </w:rPr>
      </w:pPr>
      <w:r>
        <w:rPr>
          <w:snapToGrid w:val="0"/>
        </w:rPr>
        <w:tab/>
        <w:t>(d)</w:t>
      </w:r>
      <w:r>
        <w:rPr>
          <w:snapToGrid w:val="0"/>
        </w:rPr>
        <w:tab/>
        <w:t>the nature of the contraventions or failures to which the application relates.</w:t>
      </w:r>
    </w:p>
    <w:p>
      <w:pPr>
        <w:pStyle w:val="Subsection"/>
        <w:rPr>
          <w:snapToGrid w:val="0"/>
        </w:rPr>
      </w:pPr>
      <w:r>
        <w:rPr>
          <w:snapToGrid w:val="0"/>
        </w:rPr>
        <w:tab/>
        <w:t>(5)</w:t>
      </w:r>
      <w:r>
        <w:rPr>
          <w:snapToGrid w:val="0"/>
        </w:rPr>
        <w:tab/>
        <w:t xml:space="preserve">Each debtor who may be affected by any such application is taken to have been personally served with a notice so published and, despite anything to the contrary in the </w:t>
      </w:r>
      <w:r>
        <w:rPr>
          <w:i/>
          <w:snapToGrid w:val="0"/>
        </w:rPr>
        <w:t xml:space="preserve">State Administrative Tribunal Act 2004 </w:t>
      </w:r>
      <w:r>
        <w:rPr>
          <w:snapToGrid w:val="0"/>
        </w:rPr>
        <w:t>or the rules of the Tribunal, is not entitled to any other notice of the application.</w:t>
      </w:r>
    </w:p>
    <w:p>
      <w:pPr>
        <w:pStyle w:val="Footnotesection"/>
        <w:spacing w:before="100"/>
        <w:ind w:left="890" w:hanging="890"/>
      </w:pPr>
      <w:r>
        <w:tab/>
        <w:t>[Section 86 amended by No. 58 of 1992 s. 11; No. 55 of 2004 s. 175.]</w:t>
      </w:r>
    </w:p>
    <w:p>
      <w:pPr>
        <w:pStyle w:val="Heading5"/>
        <w:spacing w:before="160"/>
        <w:rPr>
          <w:snapToGrid w:val="0"/>
        </w:rPr>
      </w:pPr>
      <w:bookmarkStart w:id="183" w:name="_Toc392496560"/>
      <w:r>
        <w:rPr>
          <w:rStyle w:val="CharSectno"/>
        </w:rPr>
        <w:t>86A</w:t>
      </w:r>
      <w:r>
        <w:rPr>
          <w:snapToGrid w:val="0"/>
        </w:rPr>
        <w:t xml:space="preserve">. </w:t>
      </w:r>
      <w:r>
        <w:rPr>
          <w:snapToGrid w:val="0"/>
        </w:rPr>
        <w:tab/>
        <w:t>Contracts with minor errors etc. may be deemed to comply with Act</w:t>
      </w:r>
      <w:bookmarkEnd w:id="183"/>
    </w:p>
    <w:p>
      <w:pPr>
        <w:pStyle w:val="Subsection"/>
        <w:spacing w:before="140"/>
        <w:rPr>
          <w:snapToGrid w:val="0"/>
        </w:rPr>
      </w:pPr>
      <w:r>
        <w:rPr>
          <w:snapToGrid w:val="0"/>
        </w:rPr>
        <w:tab/>
        <w:t>(1)</w:t>
      </w:r>
      <w:r>
        <w:rPr>
          <w:snapToGrid w:val="0"/>
        </w:rPr>
        <w:tab/>
        <w:t>If on application made by a credit provider the Tribunal is of the opinion that — </w:t>
      </w:r>
    </w:p>
    <w:p>
      <w:pPr>
        <w:pStyle w:val="Indenta"/>
        <w:spacing w:before="60"/>
        <w:rPr>
          <w:snapToGrid w:val="0"/>
        </w:rPr>
      </w:pPr>
      <w:r>
        <w:rPr>
          <w:snapToGrid w:val="0"/>
        </w:rPr>
        <w:tab/>
        <w:t>(a)</w:t>
      </w:r>
      <w:r>
        <w:rPr>
          <w:snapToGrid w:val="0"/>
        </w:rPr>
        <w:tab/>
        <w:t>any failure to include in any regulated contract any matter; or</w:t>
      </w:r>
    </w:p>
    <w:p>
      <w:pPr>
        <w:pStyle w:val="Indenta"/>
        <w:spacing w:before="60"/>
        <w:rPr>
          <w:snapToGrid w:val="0"/>
        </w:rPr>
      </w:pPr>
      <w:r>
        <w:rPr>
          <w:snapToGrid w:val="0"/>
        </w:rPr>
        <w:tab/>
        <w:t>(b)</w:t>
      </w:r>
      <w:r>
        <w:rPr>
          <w:snapToGrid w:val="0"/>
        </w:rPr>
        <w:tab/>
        <w:t>any error or misdescription in any regulated contract of any matter,</w:t>
      </w:r>
    </w:p>
    <w:p>
      <w:pPr>
        <w:pStyle w:val="Subsection"/>
        <w:spacing w:before="120"/>
        <w:rPr>
          <w:snapToGrid w:val="0"/>
        </w:rPr>
      </w:pPr>
      <w:r>
        <w:rPr>
          <w:snapToGrid w:val="0"/>
        </w:rPr>
        <w:tab/>
      </w:r>
      <w:r>
        <w:rPr>
          <w:snapToGrid w:val="0"/>
        </w:rPr>
        <w:tab/>
        <w:t>required by this Act is of a minor nature and unlikely to mislead, deceive, or materially prejudice or disadvantage any debtor, the Tribunal may order that the contract shall be deemed to be a contract to which this section applies.</w:t>
      </w:r>
    </w:p>
    <w:p>
      <w:pPr>
        <w:pStyle w:val="Subsection"/>
        <w:rPr>
          <w:snapToGrid w:val="0"/>
        </w:rPr>
      </w:pPr>
      <w:r>
        <w:rPr>
          <w:snapToGrid w:val="0"/>
        </w:rPr>
        <w:tab/>
        <w:t>(2)</w:t>
      </w:r>
      <w:r>
        <w:rPr>
          <w:snapToGrid w:val="0"/>
        </w:rPr>
        <w:tab/>
        <w:t>An application under subsection (1) shall specify the details and extent of the breach or breaches in any contract the subject of the application.</w:t>
      </w:r>
    </w:p>
    <w:p>
      <w:pPr>
        <w:pStyle w:val="Subsection"/>
        <w:rPr>
          <w:snapToGrid w:val="0"/>
        </w:rPr>
      </w:pPr>
      <w:r>
        <w:rPr>
          <w:snapToGrid w:val="0"/>
        </w:rPr>
        <w:tab/>
        <w:t>(3)</w:t>
      </w:r>
      <w:r>
        <w:rPr>
          <w:snapToGrid w:val="0"/>
        </w:rPr>
        <w:tab/>
        <w:t>A contract that is the subject of an order under subsection (1) shall, to the extent of the matters specified in the order, be deemed to have complied with this Act as from the date of such contract.</w:t>
      </w:r>
    </w:p>
    <w:p>
      <w:pPr>
        <w:pStyle w:val="Subsection"/>
        <w:rPr>
          <w:snapToGrid w:val="0"/>
        </w:rPr>
      </w:pPr>
      <w:r>
        <w:rPr>
          <w:snapToGrid w:val="0"/>
        </w:rPr>
        <w:tab/>
        <w:t>(4)</w:t>
      </w:r>
      <w:r>
        <w:rPr>
          <w:snapToGrid w:val="0"/>
        </w:rPr>
        <w:tab/>
        <w:t>The Tribunal may make an order under subsection (1) in relation to one or more specified regulated contracts.</w:t>
      </w:r>
    </w:p>
    <w:p>
      <w:pPr>
        <w:pStyle w:val="Subsection"/>
        <w:rPr>
          <w:snapToGrid w:val="0"/>
        </w:rPr>
      </w:pPr>
      <w:r>
        <w:rPr>
          <w:snapToGrid w:val="0"/>
        </w:rPr>
        <w:tab/>
        <w:t>(5)</w:t>
      </w:r>
      <w:r>
        <w:rPr>
          <w:snapToGrid w:val="0"/>
        </w:rPr>
        <w:tab/>
        <w:t>Where an application is made under subsection (1) the applicant shall publish in a newspaper circulating throughout the State notice of the application as approved by the Tribunal.</w:t>
      </w:r>
    </w:p>
    <w:p>
      <w:pPr>
        <w:pStyle w:val="Subsection"/>
        <w:rPr>
          <w:snapToGrid w:val="0"/>
        </w:rPr>
      </w:pPr>
      <w:r>
        <w:rPr>
          <w:snapToGrid w:val="0"/>
        </w:rPr>
        <w:tab/>
        <w:t>(6)</w:t>
      </w:r>
      <w:r>
        <w:rPr>
          <w:snapToGrid w:val="0"/>
        </w:rPr>
        <w:tab/>
        <w:t>Nothing in this section — </w:t>
      </w:r>
    </w:p>
    <w:p>
      <w:pPr>
        <w:pStyle w:val="Indenta"/>
        <w:rPr>
          <w:snapToGrid w:val="0"/>
        </w:rPr>
      </w:pPr>
      <w:r>
        <w:rPr>
          <w:snapToGrid w:val="0"/>
        </w:rPr>
        <w:tab/>
        <w:t>(a)</w:t>
      </w:r>
      <w:r>
        <w:rPr>
          <w:snapToGrid w:val="0"/>
        </w:rPr>
        <w:tab/>
        <w:t>prevents a credit provider from making a subsequent application under section 85 or 86 in relation to any contract the subject of an application under this section;</w:t>
      </w:r>
    </w:p>
    <w:p>
      <w:pPr>
        <w:pStyle w:val="Indenta"/>
        <w:rPr>
          <w:snapToGrid w:val="0"/>
        </w:rPr>
      </w:pPr>
      <w:r>
        <w:rPr>
          <w:snapToGrid w:val="0"/>
        </w:rPr>
        <w:tab/>
        <w:t>(b)</w:t>
      </w:r>
      <w:r>
        <w:rPr>
          <w:snapToGrid w:val="0"/>
        </w:rPr>
        <w:tab/>
        <w:t xml:space="preserve">affects the liability of a person to be convicted of an offence under this Act or the </w:t>
      </w:r>
      <w:r>
        <w:rPr>
          <w:i/>
          <w:snapToGrid w:val="0"/>
        </w:rPr>
        <w:t>Credit (Administration) Act 1984</w:t>
      </w:r>
      <w:r>
        <w:rPr>
          <w:snapToGrid w:val="0"/>
        </w:rPr>
        <w:t>.</w:t>
      </w:r>
    </w:p>
    <w:p>
      <w:pPr>
        <w:pStyle w:val="Footnotesection"/>
      </w:pPr>
      <w:r>
        <w:tab/>
        <w:t>[Section 86A inserted by No. 47 of 1989 s. 5.]</w:t>
      </w:r>
    </w:p>
    <w:p>
      <w:pPr>
        <w:pStyle w:val="Heading5"/>
        <w:rPr>
          <w:snapToGrid w:val="0"/>
        </w:rPr>
      </w:pPr>
      <w:bookmarkStart w:id="184" w:name="_Toc392496561"/>
      <w:r>
        <w:rPr>
          <w:rStyle w:val="CharSectno"/>
        </w:rPr>
        <w:t>87</w:t>
      </w:r>
      <w:r>
        <w:rPr>
          <w:snapToGrid w:val="0"/>
        </w:rPr>
        <w:t>.</w:t>
      </w:r>
      <w:r>
        <w:rPr>
          <w:snapToGrid w:val="0"/>
        </w:rPr>
        <w:tab/>
        <w:t>Reduction in debtor’s liability due to Act, effect of</w:t>
      </w:r>
      <w:bookmarkEnd w:id="184"/>
    </w:p>
    <w:p>
      <w:pPr>
        <w:pStyle w:val="Subsection"/>
        <w:rPr>
          <w:snapToGrid w:val="0"/>
        </w:rPr>
      </w:pPr>
      <w:r>
        <w:rPr>
          <w:snapToGrid w:val="0"/>
        </w:rPr>
        <w:tab/>
      </w:r>
      <w:r>
        <w:rPr>
          <w:snapToGrid w:val="0"/>
        </w:rPr>
        <w:tab/>
        <w:t>Where under this Act the liability of a debtor to a credit provider is reduced — </w:t>
      </w:r>
    </w:p>
    <w:p>
      <w:pPr>
        <w:pStyle w:val="Indenta"/>
        <w:rPr>
          <w:snapToGrid w:val="0"/>
        </w:rPr>
      </w:pPr>
      <w:r>
        <w:rPr>
          <w:snapToGrid w:val="0"/>
        </w:rPr>
        <w:tab/>
        <w:t>(a)</w:t>
      </w:r>
      <w:r>
        <w:rPr>
          <w:snapToGrid w:val="0"/>
        </w:rPr>
        <w:tab/>
        <w:t>the amount of the reduction shall be set off against amounts that, but for the reduction, would become payable by the debtor to the credit provider; and</w:t>
      </w:r>
    </w:p>
    <w:p>
      <w:pPr>
        <w:pStyle w:val="Indenta"/>
        <w:rPr>
          <w:snapToGrid w:val="0"/>
        </w:rPr>
      </w:pPr>
      <w:r>
        <w:rPr>
          <w:snapToGrid w:val="0"/>
        </w:rPr>
        <w:tab/>
        <w:t>(b)</w:t>
      </w:r>
      <w:r>
        <w:rPr>
          <w:snapToGrid w:val="0"/>
        </w:rPr>
        <w:tab/>
        <w:t>where the amount of the reduction exceeds the amount that the debtor, but for the reduction, would have become liable to pay to the credit provider, the amount of the excess is a debt payable by the credit provider to the debtor.</w:t>
      </w:r>
    </w:p>
    <w:p>
      <w:pPr>
        <w:pStyle w:val="Heading5"/>
        <w:rPr>
          <w:snapToGrid w:val="0"/>
        </w:rPr>
      </w:pPr>
      <w:bookmarkStart w:id="185" w:name="_Toc392496562"/>
      <w:r>
        <w:rPr>
          <w:rStyle w:val="CharSectno"/>
        </w:rPr>
        <w:t>88</w:t>
      </w:r>
      <w:r>
        <w:rPr>
          <w:snapToGrid w:val="0"/>
        </w:rPr>
        <w:t>.</w:t>
      </w:r>
      <w:r>
        <w:rPr>
          <w:snapToGrid w:val="0"/>
        </w:rPr>
        <w:tab/>
        <w:t>Court may dismiss charges of offences under s. 3(4), 43, 59, 61 or 64 in some cases</w:t>
      </w:r>
      <w:bookmarkEnd w:id="185"/>
    </w:p>
    <w:p>
      <w:pPr>
        <w:pStyle w:val="Subsection"/>
        <w:rPr>
          <w:snapToGrid w:val="0"/>
        </w:rPr>
      </w:pPr>
      <w:r>
        <w:rPr>
          <w:snapToGrid w:val="0"/>
        </w:rPr>
        <w:tab/>
      </w:r>
      <w:r>
        <w:rPr>
          <w:snapToGrid w:val="0"/>
        </w:rPr>
        <w:tab/>
        <w:t>In a prosecution for a contravention of section 3(4), 43, 59, 61 or 64 the court may, without proceeding to conviction, dismiss the charge if it is satisfied — </w:t>
      </w:r>
    </w:p>
    <w:p>
      <w:pPr>
        <w:pStyle w:val="Indenta"/>
        <w:rPr>
          <w:snapToGrid w:val="0"/>
        </w:rPr>
      </w:pPr>
      <w:r>
        <w:rPr>
          <w:snapToGrid w:val="0"/>
        </w:rPr>
        <w:tab/>
        <w:t>(a)</w:t>
      </w:r>
      <w:r>
        <w:rPr>
          <w:snapToGrid w:val="0"/>
        </w:rPr>
        <w:tab/>
        <w:t>that the contravention was unlikely to deceive or operate to the disadvantage of a party to the relevant contract; and</w:t>
      </w:r>
    </w:p>
    <w:p>
      <w:pPr>
        <w:pStyle w:val="Indenta"/>
        <w:rPr>
          <w:snapToGrid w:val="0"/>
        </w:rPr>
      </w:pPr>
      <w:r>
        <w:rPr>
          <w:snapToGrid w:val="0"/>
        </w:rPr>
        <w:tab/>
        <w:t>(b)</w:t>
      </w:r>
      <w:r>
        <w:rPr>
          <w:snapToGrid w:val="0"/>
        </w:rPr>
        <w:tab/>
        <w:t>in the case of a contravention of section 3(4), 59 or 64 — that the required notice was given within a reasonable time after it should have been given in order to comply with this Act.</w:t>
      </w:r>
    </w:p>
    <w:p>
      <w:pPr>
        <w:pStyle w:val="Heading2"/>
      </w:pPr>
      <w:bookmarkStart w:id="186" w:name="_Toc378152639"/>
      <w:bookmarkStart w:id="187" w:name="_Toc392496563"/>
      <w:r>
        <w:rPr>
          <w:rStyle w:val="CharPartNo"/>
        </w:rPr>
        <w:t>Part IV</w:t>
      </w:r>
      <w:r>
        <w:t> — </w:t>
      </w:r>
      <w:r>
        <w:rPr>
          <w:rStyle w:val="CharPartText"/>
        </w:rPr>
        <w:t>Regulated mortgages</w:t>
      </w:r>
      <w:bookmarkEnd w:id="186"/>
      <w:bookmarkEnd w:id="187"/>
    </w:p>
    <w:p>
      <w:pPr>
        <w:pStyle w:val="Heading3"/>
        <w:rPr>
          <w:snapToGrid w:val="0"/>
        </w:rPr>
      </w:pPr>
      <w:bookmarkStart w:id="188" w:name="_Toc378152640"/>
      <w:bookmarkStart w:id="189" w:name="_Toc392496564"/>
      <w:r>
        <w:rPr>
          <w:rStyle w:val="CharDivNo"/>
        </w:rPr>
        <w:t>Division 1</w:t>
      </w:r>
      <w:r>
        <w:rPr>
          <w:snapToGrid w:val="0"/>
        </w:rPr>
        <w:t> — </w:t>
      </w:r>
      <w:r>
        <w:rPr>
          <w:rStyle w:val="CharDivText"/>
        </w:rPr>
        <w:t>General</w:t>
      </w:r>
      <w:bookmarkEnd w:id="188"/>
      <w:bookmarkEnd w:id="189"/>
    </w:p>
    <w:p>
      <w:pPr>
        <w:pStyle w:val="Heading5"/>
        <w:rPr>
          <w:snapToGrid w:val="0"/>
        </w:rPr>
      </w:pPr>
      <w:bookmarkStart w:id="190" w:name="_Toc392496565"/>
      <w:r>
        <w:rPr>
          <w:rStyle w:val="CharSectno"/>
        </w:rPr>
        <w:t>89</w:t>
      </w:r>
      <w:r>
        <w:rPr>
          <w:snapToGrid w:val="0"/>
        </w:rPr>
        <w:t>.</w:t>
      </w:r>
      <w:r>
        <w:rPr>
          <w:snapToGrid w:val="0"/>
        </w:rPr>
        <w:tab/>
        <w:t>Term used: mortgage</w:t>
      </w:r>
      <w:bookmarkEnd w:id="190"/>
    </w:p>
    <w:p>
      <w:pPr>
        <w:pStyle w:val="Subsection"/>
        <w:rPr>
          <w:snapToGrid w:val="0"/>
        </w:rPr>
      </w:pPr>
      <w:r>
        <w:rPr>
          <w:snapToGrid w:val="0"/>
        </w:rPr>
        <w:tab/>
      </w:r>
      <w:r>
        <w:rPr>
          <w:snapToGrid w:val="0"/>
        </w:rPr>
        <w:tab/>
        <w:t>In this Part, a reference to a mortgage is reference to a mortgage given by a person other than a body corporate to the extent that it secures the payment of a debt or other pecuniary obligation, or the performance of any other obligation, under a regulated contract.</w:t>
      </w:r>
    </w:p>
    <w:p>
      <w:pPr>
        <w:pStyle w:val="Heading5"/>
        <w:rPr>
          <w:snapToGrid w:val="0"/>
        </w:rPr>
      </w:pPr>
      <w:bookmarkStart w:id="191" w:name="_Toc392496566"/>
      <w:r>
        <w:rPr>
          <w:rStyle w:val="CharSectno"/>
        </w:rPr>
        <w:t>90</w:t>
      </w:r>
      <w:r>
        <w:rPr>
          <w:snapToGrid w:val="0"/>
        </w:rPr>
        <w:t>.</w:t>
      </w:r>
      <w:r>
        <w:rPr>
          <w:snapToGrid w:val="0"/>
        </w:rPr>
        <w:tab/>
        <w:t>Mortgagee’s obligations not to exceed contract’s obligations</w:t>
      </w:r>
      <w:bookmarkEnd w:id="191"/>
    </w:p>
    <w:p>
      <w:pPr>
        <w:pStyle w:val="Subsection"/>
        <w:rPr>
          <w:snapToGrid w:val="0"/>
        </w:rPr>
      </w:pPr>
      <w:r>
        <w:rPr>
          <w:snapToGrid w:val="0"/>
        </w:rPr>
        <w:tab/>
        <w:t>(1)</w:t>
      </w:r>
      <w:r>
        <w:rPr>
          <w:snapToGrid w:val="0"/>
        </w:rPr>
        <w:tab/>
        <w:t>A provision in a mortgage relating to a regulated contract that requires or purports to require or secures or purports to secure payment or performance under the contract by the debtor or by a guarantor of the debtor of a debt or other pecuniary obligation or any other obligation of an amount or to an extent that exceeds the payment or performance — </w:t>
      </w:r>
    </w:p>
    <w:p>
      <w:pPr>
        <w:pStyle w:val="Indenta"/>
        <w:rPr>
          <w:snapToGrid w:val="0"/>
        </w:rPr>
      </w:pPr>
      <w:r>
        <w:rPr>
          <w:snapToGrid w:val="0"/>
        </w:rPr>
        <w:tab/>
        <w:t>(a)</w:t>
      </w:r>
      <w:r>
        <w:rPr>
          <w:snapToGrid w:val="0"/>
        </w:rPr>
        <w:tab/>
        <w:t>required by the contract or the contract of guarantee; or</w:t>
      </w:r>
    </w:p>
    <w:p>
      <w:pPr>
        <w:pStyle w:val="Indenta"/>
        <w:rPr>
          <w:snapToGrid w:val="0"/>
        </w:rPr>
      </w:pPr>
      <w:r>
        <w:rPr>
          <w:snapToGrid w:val="0"/>
        </w:rPr>
        <w:tab/>
        <w:t>(b)</w:t>
      </w:r>
      <w:r>
        <w:rPr>
          <w:snapToGrid w:val="0"/>
        </w:rPr>
        <w:tab/>
        <w:t>permitted by this Act,</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mortgagee shall not enter into a mortgage that includes a provision that, by reason of subsection (1), is void.</w:t>
      </w:r>
    </w:p>
    <w:p>
      <w:pPr>
        <w:pStyle w:val="Penstart"/>
        <w:rPr>
          <w:snapToGrid w:val="0"/>
        </w:rPr>
      </w:pPr>
      <w:r>
        <w:rPr>
          <w:snapToGrid w:val="0"/>
        </w:rPr>
        <w:tab/>
        <w:t>Penalty: $2 000.</w:t>
      </w:r>
    </w:p>
    <w:p>
      <w:pPr>
        <w:pStyle w:val="Heading5"/>
        <w:rPr>
          <w:snapToGrid w:val="0"/>
        </w:rPr>
      </w:pPr>
      <w:bookmarkStart w:id="192" w:name="_Toc392496567"/>
      <w:r>
        <w:rPr>
          <w:rStyle w:val="CharSectno"/>
        </w:rPr>
        <w:t>91</w:t>
      </w:r>
      <w:r>
        <w:rPr>
          <w:snapToGrid w:val="0"/>
        </w:rPr>
        <w:t>.</w:t>
      </w:r>
      <w:r>
        <w:rPr>
          <w:snapToGrid w:val="0"/>
        </w:rPr>
        <w:tab/>
        <w:t>Mortgage of goods to be in writing</w:t>
      </w:r>
      <w:bookmarkEnd w:id="192"/>
    </w:p>
    <w:p>
      <w:pPr>
        <w:pStyle w:val="Subsection"/>
        <w:rPr>
          <w:snapToGrid w:val="0"/>
        </w:rPr>
      </w:pPr>
      <w:r>
        <w:rPr>
          <w:snapToGrid w:val="0"/>
        </w:rPr>
        <w:tab/>
        <w:t>(1)</w:t>
      </w:r>
      <w:r>
        <w:rPr>
          <w:snapToGrid w:val="0"/>
        </w:rPr>
        <w:tab/>
        <w:t>Subject to subsection (2), a mortgagee shall not enter into a mortgage that is not in writing if the property the subject of the mortgage is, or includes, goods.</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Subsection (1) is not contravened if — </w:t>
      </w:r>
    </w:p>
    <w:p>
      <w:pPr>
        <w:pStyle w:val="Indenta"/>
        <w:rPr>
          <w:snapToGrid w:val="0"/>
        </w:rPr>
      </w:pPr>
      <w:r>
        <w:rPr>
          <w:snapToGrid w:val="0"/>
        </w:rPr>
        <w:tab/>
        <w:t>(a)</w:t>
      </w:r>
      <w:r>
        <w:rPr>
          <w:snapToGrid w:val="0"/>
        </w:rPr>
        <w:tab/>
        <w:t>the mortgage was entered into by the acceptance of an offer in writing signed by the mortgagor to the mortgagee to enter into the mortgage; or</w:t>
      </w:r>
    </w:p>
    <w:p>
      <w:pPr>
        <w:pStyle w:val="Indenta"/>
        <w:rPr>
          <w:snapToGrid w:val="0"/>
        </w:rPr>
      </w:pPr>
      <w:r>
        <w:rPr>
          <w:snapToGrid w:val="0"/>
        </w:rPr>
        <w:tab/>
        <w:t>(b)</w:t>
      </w:r>
      <w:r>
        <w:rPr>
          <w:snapToGrid w:val="0"/>
        </w:rPr>
        <w:tab/>
        <w:t xml:space="preserve">the mortgage arose pursuant to an agreement in writing or an agreement made by the acceptance of an offer in writing signed by the mortgagor to the mortgagee; or </w:t>
      </w:r>
    </w:p>
    <w:p>
      <w:pPr>
        <w:pStyle w:val="Indenta"/>
        <w:rPr>
          <w:snapToGrid w:val="0"/>
        </w:rPr>
      </w:pPr>
      <w:r>
        <w:rPr>
          <w:snapToGrid w:val="0"/>
        </w:rPr>
        <w:tab/>
        <w:t>(c)</w:t>
      </w:r>
      <w:r>
        <w:rPr>
          <w:snapToGrid w:val="0"/>
        </w:rPr>
        <w:tab/>
        <w:t>the mortgagee lawfully had possession of the goods that are subject to the mortgage before the mortgage was entered into otherwise than by reason only of being the supplier of the goods.</w:t>
      </w:r>
    </w:p>
    <w:p>
      <w:pPr>
        <w:pStyle w:val="Footnotesection"/>
      </w:pPr>
      <w:r>
        <w:tab/>
        <w:t>[Section 91 amended by No. 8 of 2009 s. 44.]</w:t>
      </w:r>
    </w:p>
    <w:p>
      <w:pPr>
        <w:pStyle w:val="Heading5"/>
        <w:rPr>
          <w:snapToGrid w:val="0"/>
        </w:rPr>
      </w:pPr>
      <w:bookmarkStart w:id="193" w:name="_Toc392496568"/>
      <w:r>
        <w:rPr>
          <w:rStyle w:val="CharSectno"/>
        </w:rPr>
        <w:t>92</w:t>
      </w:r>
      <w:r>
        <w:rPr>
          <w:snapToGrid w:val="0"/>
        </w:rPr>
        <w:t>.</w:t>
      </w:r>
      <w:r>
        <w:rPr>
          <w:snapToGrid w:val="0"/>
        </w:rPr>
        <w:tab/>
        <w:t>Debtor entitled to copy of mortgage</w:t>
      </w:r>
      <w:bookmarkEnd w:id="193"/>
    </w:p>
    <w:p>
      <w:pPr>
        <w:pStyle w:val="Subsection"/>
        <w:rPr>
          <w:snapToGrid w:val="0"/>
        </w:rPr>
      </w:pPr>
      <w:r>
        <w:rPr>
          <w:snapToGrid w:val="0"/>
        </w:rPr>
        <w:tab/>
      </w:r>
      <w:r>
        <w:rPr>
          <w:snapToGrid w:val="0"/>
        </w:rPr>
        <w:tab/>
        <w:t>Where a mortgage is entered into in relation to a regulated contract, the credit provider shall, within 14 days after the mortgage is entered into, give to the debtor a copy of the mortgage</w:t>
      </w:r>
    </w:p>
    <w:p>
      <w:pPr>
        <w:pStyle w:val="Penstart"/>
        <w:rPr>
          <w:snapToGrid w:val="0"/>
        </w:rPr>
      </w:pPr>
      <w:r>
        <w:rPr>
          <w:snapToGrid w:val="0"/>
        </w:rPr>
        <w:tab/>
        <w:t>Penalty: $1 000.</w:t>
      </w:r>
    </w:p>
    <w:p>
      <w:pPr>
        <w:pStyle w:val="Heading5"/>
        <w:rPr>
          <w:snapToGrid w:val="0"/>
        </w:rPr>
      </w:pPr>
      <w:bookmarkStart w:id="194" w:name="_Toc392496569"/>
      <w:r>
        <w:rPr>
          <w:rStyle w:val="CharSectno"/>
        </w:rPr>
        <w:t>93</w:t>
      </w:r>
      <w:r>
        <w:rPr>
          <w:snapToGrid w:val="0"/>
        </w:rPr>
        <w:t>.</w:t>
      </w:r>
      <w:r>
        <w:rPr>
          <w:snapToGrid w:val="0"/>
        </w:rPr>
        <w:tab/>
        <w:t>Enforcement expenses, provisions in mortgages as to</w:t>
      </w:r>
      <w:bookmarkEnd w:id="194"/>
    </w:p>
    <w:p>
      <w:pPr>
        <w:pStyle w:val="Subsection"/>
        <w:rPr>
          <w:snapToGrid w:val="0"/>
        </w:rPr>
      </w:pPr>
      <w:r>
        <w:rPr>
          <w:snapToGrid w:val="0"/>
        </w:rPr>
        <w:tab/>
        <w:t>(1)</w:t>
      </w:r>
      <w:r>
        <w:rPr>
          <w:snapToGrid w:val="0"/>
        </w:rPr>
        <w:tab/>
        <w:t>A provision in a mortgage to the effect that where the mortgagor makes default under the mortgage and the mortgagee exercises a right in relation to the mortgage arising from the default, the mortgagor is, if the mortgagee so determines, liable to pay to the mortgagee an amount incurred or expended in the exercise of that right is void unless the provision limits the amount so payable to the reasonable amount reasonably incurred or expended by the mortgagee in the exercise of that right.</w:t>
      </w:r>
    </w:p>
    <w:p>
      <w:pPr>
        <w:pStyle w:val="Subsection"/>
        <w:keepNext/>
        <w:keepLines/>
        <w:rPr>
          <w:snapToGrid w:val="0"/>
        </w:rPr>
      </w:pPr>
      <w:r>
        <w:rPr>
          <w:snapToGrid w:val="0"/>
        </w:rPr>
        <w:tab/>
        <w:t>(2)</w:t>
      </w:r>
      <w:r>
        <w:rPr>
          <w:snapToGrid w:val="0"/>
        </w:rPr>
        <w:tab/>
        <w:t>A mortgagee shall not enter into a mortgage containing a provision that, by reason of subsection (1), is void.</w:t>
      </w:r>
    </w:p>
    <w:p>
      <w:pPr>
        <w:pStyle w:val="Penstart"/>
        <w:rPr>
          <w:snapToGrid w:val="0"/>
        </w:rPr>
      </w:pPr>
      <w:r>
        <w:rPr>
          <w:snapToGrid w:val="0"/>
        </w:rPr>
        <w:tab/>
        <w:t>Penalty: $2 000.</w:t>
      </w:r>
    </w:p>
    <w:p>
      <w:pPr>
        <w:pStyle w:val="Subsection"/>
        <w:rPr>
          <w:snapToGrid w:val="0"/>
        </w:rPr>
      </w:pPr>
      <w:r>
        <w:rPr>
          <w:snapToGrid w:val="0"/>
        </w:rPr>
        <w:tab/>
        <w:t>(3)</w:t>
      </w:r>
      <w:r>
        <w:rPr>
          <w:snapToGrid w:val="0"/>
        </w:rPr>
        <w:tab/>
        <w:t>Where there is a dispute between the mortgagee and the mortgagor in relation to the liability of the mortgagor to pay a reasonable amount reasonably incurred or expended by the mortgagee in the exercise of a right in relation to a mortgage arising from the default of the mortgagor, the Tribunal may, on the application of the mortgagor or mortgagee, determine the amount of that liability.</w:t>
      </w:r>
    </w:p>
    <w:p>
      <w:pPr>
        <w:pStyle w:val="Heading5"/>
        <w:rPr>
          <w:snapToGrid w:val="0"/>
        </w:rPr>
      </w:pPr>
      <w:bookmarkStart w:id="195" w:name="_Toc392496570"/>
      <w:r>
        <w:rPr>
          <w:rStyle w:val="CharSectno"/>
        </w:rPr>
        <w:t>94</w:t>
      </w:r>
      <w:r>
        <w:rPr>
          <w:snapToGrid w:val="0"/>
        </w:rPr>
        <w:t>.</w:t>
      </w:r>
      <w:r>
        <w:rPr>
          <w:snapToGrid w:val="0"/>
        </w:rPr>
        <w:tab/>
        <w:t>Entry of premises by mortgagee, provisions in mortgages as to</w:t>
      </w:r>
      <w:bookmarkEnd w:id="195"/>
    </w:p>
    <w:p>
      <w:pPr>
        <w:pStyle w:val="Subsection"/>
        <w:rPr>
          <w:snapToGrid w:val="0"/>
        </w:rPr>
      </w:pPr>
      <w:r>
        <w:rPr>
          <w:snapToGrid w:val="0"/>
        </w:rPr>
        <w:tab/>
        <w:t>(1)</w:t>
      </w:r>
      <w:r>
        <w:rPr>
          <w:snapToGrid w:val="0"/>
        </w:rPr>
        <w:tab/>
        <w:t>A provision in a mortgage to the effect that the mortgagee or a person acting on his behalf is authorised to enter upon premises for the purpose of taking possession of goods subject to the mortgage otherwise than in accordance with an order of a court, or is relieved from liability for such an entry, is void.</w:t>
      </w:r>
    </w:p>
    <w:p>
      <w:pPr>
        <w:pStyle w:val="Subsection"/>
        <w:rPr>
          <w:snapToGrid w:val="0"/>
        </w:rPr>
      </w:pPr>
      <w:r>
        <w:rPr>
          <w:snapToGrid w:val="0"/>
        </w:rPr>
        <w:tab/>
        <w:t>(2)</w:t>
      </w:r>
      <w:r>
        <w:rPr>
          <w:snapToGrid w:val="0"/>
        </w:rPr>
        <w:tab/>
        <w:t>A mortgagee shall not enter into a mortgage that includes a provision that, by reason of subsection (1), is void.</w:t>
      </w:r>
    </w:p>
    <w:p>
      <w:pPr>
        <w:pStyle w:val="Penstart"/>
        <w:rPr>
          <w:snapToGrid w:val="0"/>
        </w:rPr>
      </w:pPr>
      <w:r>
        <w:rPr>
          <w:snapToGrid w:val="0"/>
        </w:rPr>
        <w:tab/>
        <w:t>Penalty: $2 000.</w:t>
      </w:r>
    </w:p>
    <w:p>
      <w:pPr>
        <w:pStyle w:val="Heading5"/>
        <w:rPr>
          <w:snapToGrid w:val="0"/>
        </w:rPr>
      </w:pPr>
      <w:bookmarkStart w:id="196" w:name="_Toc392496571"/>
      <w:r>
        <w:rPr>
          <w:rStyle w:val="CharSectno"/>
        </w:rPr>
        <w:t>95</w:t>
      </w:r>
      <w:r>
        <w:rPr>
          <w:snapToGrid w:val="0"/>
        </w:rPr>
        <w:t>.</w:t>
      </w:r>
      <w:r>
        <w:rPr>
          <w:snapToGrid w:val="0"/>
        </w:rPr>
        <w:tab/>
        <w:t>Court order needed before entry for repossession</w:t>
      </w:r>
      <w:bookmarkEnd w:id="196"/>
      <w:r>
        <w:rPr>
          <w:snapToGrid w:val="0"/>
        </w:rPr>
        <w:t xml:space="preserve"> </w:t>
      </w:r>
    </w:p>
    <w:p>
      <w:pPr>
        <w:pStyle w:val="Subsection"/>
        <w:rPr>
          <w:snapToGrid w:val="0"/>
        </w:rPr>
      </w:pPr>
      <w:r>
        <w:rPr>
          <w:snapToGrid w:val="0"/>
        </w:rPr>
        <w:tab/>
        <w:t>(1)</w:t>
      </w:r>
      <w:r>
        <w:rPr>
          <w:snapToGrid w:val="0"/>
        </w:rPr>
        <w:tab/>
        <w:t>Subject to subsection (2), a mortgagee shall not enter or authorise a person on his behalf to enter, and a person so authorised shall not enter, upon premises for the purpose of taking possession of goods subject to a mortgage otherwise than in accordance with an order of a court.</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does not apply where the mortgagor was aware of the provisions</w:t>
      </w:r>
      <w:bookmarkStart w:id="197" w:name="RuleErr_62"/>
      <w:r>
        <w:rPr>
          <w:snapToGrid w:val="0"/>
        </w:rPr>
        <w:t xml:space="preserve"> of this section</w:t>
      </w:r>
      <w:bookmarkEnd w:id="197"/>
      <w:r>
        <w:rPr>
          <w:snapToGrid w:val="0"/>
        </w:rPr>
        <w:t> and, before the entry was made, gave his consent to the entry upon the premises for the purpose of taking possession of the goods.</w:t>
      </w:r>
    </w:p>
    <w:p>
      <w:pPr>
        <w:pStyle w:val="Subsection"/>
        <w:rPr>
          <w:snapToGrid w:val="0"/>
        </w:rPr>
      </w:pPr>
      <w:r>
        <w:rPr>
          <w:snapToGrid w:val="0"/>
        </w:rPr>
        <w:tab/>
        <w:t>(3)</w:t>
      </w:r>
      <w:r>
        <w:rPr>
          <w:snapToGrid w:val="0"/>
        </w:rPr>
        <w:tab/>
        <w:t>The onus of proving that, by reason of subsection (2), subsection (1) does not apply is on the person who makes the entry or gives the authority.</w:t>
      </w:r>
    </w:p>
    <w:p>
      <w:pPr>
        <w:pStyle w:val="Subsection"/>
        <w:rPr>
          <w:snapToGrid w:val="0"/>
        </w:rPr>
      </w:pPr>
      <w:r>
        <w:rPr>
          <w:snapToGrid w:val="0"/>
        </w:rPr>
        <w:tab/>
        <w:t>(4)</w:t>
      </w:r>
      <w:r>
        <w:rPr>
          <w:snapToGrid w:val="0"/>
        </w:rPr>
        <w:tab/>
        <w:t>A document that is signed by a mortgagor and is to the effect that the mortgagor was aware of the provisions</w:t>
      </w:r>
      <w:bookmarkStart w:id="198" w:name="RuleErr_63"/>
      <w:r>
        <w:rPr>
          <w:snapToGrid w:val="0"/>
        </w:rPr>
        <w:t xml:space="preserve"> of this section</w:t>
      </w:r>
      <w:bookmarkEnd w:id="198"/>
      <w:r>
        <w:rPr>
          <w:snapToGrid w:val="0"/>
        </w:rPr>
        <w:t xml:space="preserve"> and gave his consent to an entry referred to in subsection (1) is not of itself evidence of that awareness and consent.</w:t>
      </w:r>
    </w:p>
    <w:p>
      <w:pPr>
        <w:pStyle w:val="Heading5"/>
        <w:rPr>
          <w:snapToGrid w:val="0"/>
        </w:rPr>
      </w:pPr>
      <w:bookmarkStart w:id="199" w:name="_Toc392496572"/>
      <w:r>
        <w:rPr>
          <w:rStyle w:val="CharSectno"/>
        </w:rPr>
        <w:t>96</w:t>
      </w:r>
      <w:r>
        <w:rPr>
          <w:snapToGrid w:val="0"/>
        </w:rPr>
        <w:t>.</w:t>
      </w:r>
      <w:r>
        <w:rPr>
          <w:snapToGrid w:val="0"/>
        </w:rPr>
        <w:tab/>
        <w:t>Location of goods, mortgagor may be required to disclose</w:t>
      </w:r>
      <w:bookmarkEnd w:id="199"/>
    </w:p>
    <w:p>
      <w:pPr>
        <w:pStyle w:val="Subsection"/>
        <w:rPr>
          <w:snapToGrid w:val="0"/>
        </w:rPr>
      </w:pPr>
      <w:r>
        <w:rPr>
          <w:snapToGrid w:val="0"/>
        </w:rPr>
        <w:tab/>
        <w:t>(1)</w:t>
      </w:r>
      <w:r>
        <w:rPr>
          <w:snapToGrid w:val="0"/>
        </w:rPr>
        <w:tab/>
        <w:t>A mortgagee may at any time by notice in writing served on the mortgagor require the mortgagor to state in writing where goods subject to the mortgage are or, if the goods are not in the possession of the mortgagor, the name and address of the person to whom the mortgagor delivered the goods or the circumstances under which the mortgagor lost possession of them.</w:t>
      </w:r>
    </w:p>
    <w:p>
      <w:pPr>
        <w:pStyle w:val="Subsection"/>
        <w:rPr>
          <w:snapToGrid w:val="0"/>
        </w:rPr>
      </w:pPr>
      <w:r>
        <w:rPr>
          <w:snapToGrid w:val="0"/>
        </w:rPr>
        <w:tab/>
        <w:t>(2)</w:t>
      </w:r>
      <w:r>
        <w:rPr>
          <w:snapToGrid w:val="0"/>
        </w:rPr>
        <w:tab/>
        <w:t>A mortgagor shall not — </w:t>
      </w:r>
    </w:p>
    <w:p>
      <w:pPr>
        <w:pStyle w:val="Indenta"/>
        <w:rPr>
          <w:snapToGrid w:val="0"/>
        </w:rPr>
      </w:pPr>
      <w:r>
        <w:rPr>
          <w:snapToGrid w:val="0"/>
        </w:rPr>
        <w:tab/>
        <w:t>(a)</w:t>
      </w:r>
      <w:r>
        <w:rPr>
          <w:snapToGrid w:val="0"/>
        </w:rPr>
        <w:tab/>
        <w:t>fail to give to the mortgagee within 14 days after receiving a notice under subsection (1) a statement that complies with the requirement in the notice; or</w:t>
      </w:r>
    </w:p>
    <w:p>
      <w:pPr>
        <w:pStyle w:val="Indenta"/>
        <w:rPr>
          <w:snapToGrid w:val="0"/>
        </w:rPr>
      </w:pPr>
      <w:r>
        <w:rPr>
          <w:snapToGrid w:val="0"/>
        </w:rPr>
        <w:tab/>
        <w:t>(b)</w:t>
      </w:r>
      <w:r>
        <w:rPr>
          <w:snapToGrid w:val="0"/>
        </w:rPr>
        <w:tab/>
        <w:t>give a statement under subsection (1) containing information which to his knowledge is false.</w:t>
      </w:r>
    </w:p>
    <w:p>
      <w:pPr>
        <w:pStyle w:val="Penstart"/>
        <w:rPr>
          <w:snapToGrid w:val="0"/>
        </w:rPr>
      </w:pPr>
      <w:r>
        <w:rPr>
          <w:snapToGrid w:val="0"/>
        </w:rPr>
        <w:tab/>
        <w:t>Penalty: $1 000.</w:t>
      </w:r>
    </w:p>
    <w:p>
      <w:pPr>
        <w:pStyle w:val="Heading5"/>
        <w:rPr>
          <w:snapToGrid w:val="0"/>
        </w:rPr>
      </w:pPr>
      <w:bookmarkStart w:id="200" w:name="_Toc392496573"/>
      <w:r>
        <w:rPr>
          <w:rStyle w:val="CharSectno"/>
        </w:rPr>
        <w:t>97</w:t>
      </w:r>
      <w:r>
        <w:rPr>
          <w:snapToGrid w:val="0"/>
        </w:rPr>
        <w:t>.</w:t>
      </w:r>
      <w:r>
        <w:rPr>
          <w:snapToGrid w:val="0"/>
        </w:rPr>
        <w:tab/>
        <w:t>Time and place for delivery of goods, court may determine</w:t>
      </w:r>
      <w:bookmarkEnd w:id="200"/>
    </w:p>
    <w:p>
      <w:pPr>
        <w:pStyle w:val="Subsection"/>
        <w:rPr>
          <w:snapToGrid w:val="0"/>
        </w:rPr>
      </w:pPr>
      <w:r>
        <w:rPr>
          <w:snapToGrid w:val="0"/>
        </w:rPr>
        <w:tab/>
      </w:r>
      <w:r>
        <w:rPr>
          <w:snapToGrid w:val="0"/>
        </w:rPr>
        <w:tab/>
        <w:t>A court may, on the application of the mortgagee or mortgagor, determine a time and place at which goods subject to a mortgage may be delivered by the mortgagor to the mortgagee.</w:t>
      </w:r>
    </w:p>
    <w:p>
      <w:pPr>
        <w:pStyle w:val="Heading5"/>
        <w:rPr>
          <w:snapToGrid w:val="0"/>
        </w:rPr>
      </w:pPr>
      <w:bookmarkStart w:id="201" w:name="_Toc392496574"/>
      <w:r>
        <w:rPr>
          <w:rStyle w:val="CharSectno"/>
        </w:rPr>
        <w:t>98</w:t>
      </w:r>
      <w:r>
        <w:rPr>
          <w:snapToGrid w:val="0"/>
        </w:rPr>
        <w:t>.</w:t>
      </w:r>
      <w:r>
        <w:rPr>
          <w:snapToGrid w:val="0"/>
        </w:rPr>
        <w:tab/>
        <w:t>Blanket securities over property or assets prohibited</w:t>
      </w:r>
      <w:bookmarkEnd w:id="201"/>
    </w:p>
    <w:p>
      <w:pPr>
        <w:pStyle w:val="Subsection"/>
        <w:rPr>
          <w:snapToGrid w:val="0"/>
        </w:rPr>
      </w:pPr>
      <w:r>
        <w:rPr>
          <w:snapToGrid w:val="0"/>
        </w:rPr>
        <w:tab/>
        <w:t>(1)</w:t>
      </w:r>
      <w:r>
        <w:rPr>
          <w:snapToGrid w:val="0"/>
        </w:rPr>
        <w:tab/>
        <w:t>Subject to subsection (2), a provision in a mortgage to the effect that the mortgagor charges all his property or assets or all his property and assets and that does not specify the property or assets is void.</w:t>
      </w:r>
    </w:p>
    <w:p>
      <w:pPr>
        <w:pStyle w:val="Subsection"/>
        <w:rPr>
          <w:snapToGrid w:val="0"/>
        </w:rPr>
      </w:pPr>
      <w:r>
        <w:rPr>
          <w:snapToGrid w:val="0"/>
        </w:rPr>
        <w:tab/>
        <w:t>(2)</w:t>
      </w:r>
      <w:r>
        <w:rPr>
          <w:snapToGrid w:val="0"/>
        </w:rPr>
        <w:tab/>
        <w:t>Subsection (1) does not apply to a provision in a mortgage to the effect that the mortgagor charges only property or assets of a business carried on by him.</w:t>
      </w:r>
    </w:p>
    <w:p>
      <w:pPr>
        <w:pStyle w:val="Subsection"/>
        <w:rPr>
          <w:snapToGrid w:val="0"/>
        </w:rPr>
      </w:pPr>
      <w:r>
        <w:rPr>
          <w:snapToGrid w:val="0"/>
        </w:rPr>
        <w:tab/>
        <w:t>(3)</w:t>
      </w:r>
      <w:r>
        <w:rPr>
          <w:snapToGrid w:val="0"/>
        </w:rPr>
        <w:tab/>
        <w:t>A mortgagee shall not enter into a mortgage that includes a provision that, by reason of subsection (1), is void.</w:t>
      </w:r>
    </w:p>
    <w:p>
      <w:pPr>
        <w:pStyle w:val="Penstart"/>
        <w:rPr>
          <w:snapToGrid w:val="0"/>
        </w:rPr>
      </w:pPr>
      <w:r>
        <w:rPr>
          <w:snapToGrid w:val="0"/>
        </w:rPr>
        <w:tab/>
        <w:t>Penalty: $2 000.</w:t>
      </w:r>
    </w:p>
    <w:p>
      <w:pPr>
        <w:pStyle w:val="Heading5"/>
        <w:rPr>
          <w:snapToGrid w:val="0"/>
        </w:rPr>
      </w:pPr>
      <w:bookmarkStart w:id="202" w:name="_Toc392496575"/>
      <w:r>
        <w:rPr>
          <w:rStyle w:val="CharSectno"/>
        </w:rPr>
        <w:t>99</w:t>
      </w:r>
      <w:r>
        <w:rPr>
          <w:snapToGrid w:val="0"/>
        </w:rPr>
        <w:t>.</w:t>
      </w:r>
      <w:r>
        <w:rPr>
          <w:snapToGrid w:val="0"/>
        </w:rPr>
        <w:tab/>
        <w:t>Agreement to mortgage future property, provisions in mortgage as to</w:t>
      </w:r>
      <w:bookmarkEnd w:id="202"/>
    </w:p>
    <w:p>
      <w:pPr>
        <w:pStyle w:val="Subsection"/>
        <w:rPr>
          <w:snapToGrid w:val="0"/>
        </w:rPr>
      </w:pPr>
      <w:r>
        <w:rPr>
          <w:snapToGrid w:val="0"/>
        </w:rPr>
        <w:tab/>
        <w:t>(1)</w:t>
      </w:r>
      <w:r>
        <w:rPr>
          <w:snapToGrid w:val="0"/>
        </w:rPr>
        <w:tab/>
        <w:t>Subject to subsection (2), a provision in a mortgage to the effect that the mortgagor creates or agrees to create a mortgage over or in respect of property that is to be, or may be, acquired by him after the mortgage is entered into is void.</w:t>
      </w:r>
    </w:p>
    <w:p>
      <w:pPr>
        <w:pStyle w:val="Subsection"/>
        <w:rPr>
          <w:snapToGrid w:val="0"/>
        </w:rPr>
      </w:pPr>
      <w:r>
        <w:rPr>
          <w:snapToGrid w:val="0"/>
        </w:rPr>
        <w:tab/>
        <w:t>(2)</w:t>
      </w:r>
      <w:r>
        <w:rPr>
          <w:snapToGrid w:val="0"/>
        </w:rPr>
        <w:tab/>
        <w:t>Subsection (1) does not apply to or in respect of — </w:t>
      </w:r>
    </w:p>
    <w:p>
      <w:pPr>
        <w:pStyle w:val="Indenta"/>
        <w:spacing w:before="70"/>
        <w:rPr>
          <w:snapToGrid w:val="0"/>
        </w:rPr>
      </w:pPr>
      <w:r>
        <w:rPr>
          <w:snapToGrid w:val="0"/>
        </w:rPr>
        <w:tab/>
        <w:t>(a)</w:t>
      </w:r>
      <w:r>
        <w:rPr>
          <w:snapToGrid w:val="0"/>
        </w:rPr>
        <w:tab/>
        <w:t>a provision in a mortgage relating to property that is to be, or may be, acquired by the mortgagor with, or partly with, credit provided under the regulated contract to which the mortgage relates; or</w:t>
      </w:r>
    </w:p>
    <w:p>
      <w:pPr>
        <w:pStyle w:val="Indenta"/>
        <w:spacing w:before="70"/>
        <w:rPr>
          <w:snapToGrid w:val="0"/>
        </w:rPr>
      </w:pPr>
      <w:r>
        <w:rPr>
          <w:snapToGrid w:val="0"/>
        </w:rPr>
        <w:tab/>
        <w:t>(b)</w:t>
      </w:r>
      <w:r>
        <w:rPr>
          <w:snapToGrid w:val="0"/>
        </w:rPr>
        <w:tab/>
        <w:t>a provision in a mortgage relating to property (whether or not ascertained) described or identified in the mortgage; or</w:t>
      </w:r>
    </w:p>
    <w:p>
      <w:pPr>
        <w:pStyle w:val="Indenta"/>
        <w:spacing w:before="70"/>
        <w:rPr>
          <w:snapToGrid w:val="0"/>
        </w:rPr>
      </w:pPr>
      <w:r>
        <w:rPr>
          <w:snapToGrid w:val="0"/>
        </w:rPr>
        <w:tab/>
        <w:t>(c)</w:t>
      </w:r>
      <w:r>
        <w:rPr>
          <w:snapToGrid w:val="0"/>
        </w:rPr>
        <w:tab/>
        <w:t>a provision in a mortgage to the effect that goods subject to the mortgage include goods acquired by the mortgagor in replacement for, or as additions or accessories to, other goods that are subject to the mortgage; or</w:t>
      </w:r>
    </w:p>
    <w:p>
      <w:pPr>
        <w:pStyle w:val="Indenta"/>
        <w:spacing w:before="70"/>
        <w:rPr>
          <w:snapToGrid w:val="0"/>
        </w:rPr>
      </w:pPr>
      <w:r>
        <w:rPr>
          <w:snapToGrid w:val="0"/>
        </w:rPr>
        <w:tab/>
        <w:t>(d)</w:t>
      </w:r>
      <w:r>
        <w:rPr>
          <w:snapToGrid w:val="0"/>
        </w:rPr>
        <w:tab/>
        <w:t>a provision in a mortgage to the effect that the mortgagor charges only property or assets of a business carried on by him.</w:t>
      </w:r>
    </w:p>
    <w:p>
      <w:pPr>
        <w:pStyle w:val="Subsection"/>
        <w:keepNext/>
        <w:keepLines/>
        <w:rPr>
          <w:snapToGrid w:val="0"/>
        </w:rPr>
      </w:pPr>
      <w:r>
        <w:rPr>
          <w:snapToGrid w:val="0"/>
        </w:rPr>
        <w:tab/>
        <w:t>(3)</w:t>
      </w:r>
      <w:r>
        <w:rPr>
          <w:snapToGrid w:val="0"/>
        </w:rPr>
        <w:tab/>
        <w:t>A mortgagee shall not enter into a mortgage that includes a provision that, by reason of subsection (1), is void.</w:t>
      </w:r>
    </w:p>
    <w:p>
      <w:pPr>
        <w:pStyle w:val="Penstart"/>
        <w:rPr>
          <w:snapToGrid w:val="0"/>
        </w:rPr>
      </w:pPr>
      <w:r>
        <w:rPr>
          <w:snapToGrid w:val="0"/>
        </w:rPr>
        <w:tab/>
        <w:t>Penalty: $2 000.</w:t>
      </w:r>
    </w:p>
    <w:p>
      <w:pPr>
        <w:pStyle w:val="Heading5"/>
        <w:rPr>
          <w:snapToGrid w:val="0"/>
        </w:rPr>
      </w:pPr>
      <w:bookmarkStart w:id="203" w:name="_Toc392496576"/>
      <w:r>
        <w:rPr>
          <w:rStyle w:val="CharSectno"/>
        </w:rPr>
        <w:t>100</w:t>
      </w:r>
      <w:r>
        <w:rPr>
          <w:snapToGrid w:val="0"/>
        </w:rPr>
        <w:t>.</w:t>
      </w:r>
      <w:r>
        <w:rPr>
          <w:snapToGrid w:val="0"/>
        </w:rPr>
        <w:tab/>
        <w:t>Mortgages of goods, provisions in continuing credit contracts as to</w:t>
      </w:r>
      <w:bookmarkEnd w:id="203"/>
    </w:p>
    <w:p>
      <w:pPr>
        <w:pStyle w:val="Subsection"/>
        <w:rPr>
          <w:snapToGrid w:val="0"/>
        </w:rPr>
      </w:pPr>
      <w:r>
        <w:rPr>
          <w:snapToGrid w:val="0"/>
        </w:rPr>
        <w:tab/>
        <w:t>(1)</w:t>
      </w:r>
      <w:r>
        <w:rPr>
          <w:snapToGrid w:val="0"/>
        </w:rPr>
        <w:tab/>
        <w:t>A provision in a regulated continuing credit contract to the effect that goods supplied under that or any other contract are, as a result of the provision or of entering into the regulated continuing credit contract, subject to a mortgage is void.</w:t>
      </w:r>
    </w:p>
    <w:p>
      <w:pPr>
        <w:pStyle w:val="Subsection"/>
        <w:rPr>
          <w:snapToGrid w:val="0"/>
        </w:rPr>
      </w:pPr>
      <w:r>
        <w:rPr>
          <w:snapToGrid w:val="0"/>
        </w:rPr>
        <w:tab/>
        <w:t>(2)</w:t>
      </w:r>
      <w:r>
        <w:rPr>
          <w:snapToGrid w:val="0"/>
        </w:rPr>
        <w:tab/>
        <w:t>A provision in a mortgage to the effect that goods supplied from time to time under a regulated continuing credit contract are subject to the mortgage is void.</w:t>
      </w:r>
    </w:p>
    <w:p>
      <w:pPr>
        <w:pStyle w:val="Subsection"/>
        <w:rPr>
          <w:snapToGrid w:val="0"/>
        </w:rPr>
      </w:pPr>
      <w:r>
        <w:rPr>
          <w:snapToGrid w:val="0"/>
        </w:rPr>
        <w:tab/>
        <w:t>(3)</w:t>
      </w:r>
      <w:r>
        <w:rPr>
          <w:snapToGrid w:val="0"/>
        </w:rPr>
        <w:tab/>
        <w:t>Nothing in subsection (1) or (2) makes void a provision in a mortgage in respect of specified goods securing payment of a debt under a regulated continuing credit contract.</w:t>
      </w:r>
    </w:p>
    <w:p>
      <w:pPr>
        <w:pStyle w:val="Subsection"/>
        <w:rPr>
          <w:snapToGrid w:val="0"/>
        </w:rPr>
      </w:pPr>
      <w:r>
        <w:rPr>
          <w:snapToGrid w:val="0"/>
        </w:rPr>
        <w:tab/>
        <w:t>(4)</w:t>
      </w:r>
      <w:r>
        <w:rPr>
          <w:snapToGrid w:val="0"/>
        </w:rPr>
        <w:tab/>
        <w:t>A credit provider shall not enter into a regulated continuing credit contract or a mortgage that includes a provision that, by reason of subsection (1) or (2), is void.</w:t>
      </w:r>
    </w:p>
    <w:p>
      <w:pPr>
        <w:pStyle w:val="Penstart"/>
        <w:rPr>
          <w:snapToGrid w:val="0"/>
        </w:rPr>
      </w:pPr>
      <w:r>
        <w:rPr>
          <w:snapToGrid w:val="0"/>
        </w:rPr>
        <w:tab/>
        <w:t>Penalty: $2 000.</w:t>
      </w:r>
    </w:p>
    <w:p>
      <w:pPr>
        <w:pStyle w:val="Heading5"/>
        <w:rPr>
          <w:snapToGrid w:val="0"/>
        </w:rPr>
      </w:pPr>
      <w:bookmarkStart w:id="204" w:name="_Toc392496577"/>
      <w:r>
        <w:rPr>
          <w:rStyle w:val="CharSectno"/>
        </w:rPr>
        <w:t>101</w:t>
      </w:r>
      <w:r>
        <w:rPr>
          <w:snapToGrid w:val="0"/>
        </w:rPr>
        <w:t>.</w:t>
      </w:r>
      <w:r>
        <w:rPr>
          <w:snapToGrid w:val="0"/>
        </w:rPr>
        <w:tab/>
        <w:t>Assignment etc. of mortgaged property to defraud mortgagee</w:t>
      </w:r>
      <w:bookmarkEnd w:id="204"/>
    </w:p>
    <w:p>
      <w:pPr>
        <w:pStyle w:val="Subsection"/>
        <w:rPr>
          <w:snapToGrid w:val="0"/>
        </w:rPr>
      </w:pPr>
      <w:r>
        <w:rPr>
          <w:snapToGrid w:val="0"/>
        </w:rPr>
        <w:tab/>
      </w:r>
      <w:r>
        <w:rPr>
          <w:snapToGrid w:val="0"/>
        </w:rPr>
        <w:tab/>
        <w:t>A person shall not, by the assignment, disposal or sale or an attempted assignment, disposal or sale of an interest in property that is subject to a mortgage or by the removal of any part of the property that is goods or by any other means defraud or attempt to defraud the mortgagee.</w:t>
      </w:r>
    </w:p>
    <w:p>
      <w:pPr>
        <w:pStyle w:val="Penstart"/>
        <w:rPr>
          <w:snapToGrid w:val="0"/>
        </w:rPr>
      </w:pPr>
      <w:r>
        <w:rPr>
          <w:snapToGrid w:val="0"/>
        </w:rPr>
        <w:tab/>
        <w:t>Penalty: $5 000 or imprisonment for 1 year.</w:t>
      </w:r>
    </w:p>
    <w:p>
      <w:pPr>
        <w:pStyle w:val="Heading3"/>
        <w:rPr>
          <w:snapToGrid w:val="0"/>
        </w:rPr>
      </w:pPr>
      <w:bookmarkStart w:id="205" w:name="_Toc378152654"/>
      <w:bookmarkStart w:id="206" w:name="_Toc392496578"/>
      <w:r>
        <w:rPr>
          <w:rStyle w:val="CharDivNo"/>
        </w:rPr>
        <w:t>Division 2</w:t>
      </w:r>
      <w:r>
        <w:rPr>
          <w:snapToGrid w:val="0"/>
        </w:rPr>
        <w:t> — </w:t>
      </w:r>
      <w:r>
        <w:rPr>
          <w:rStyle w:val="CharDivText"/>
        </w:rPr>
        <w:t>Assignment, etc., of property</w:t>
      </w:r>
      <w:bookmarkEnd w:id="205"/>
      <w:bookmarkEnd w:id="206"/>
    </w:p>
    <w:p>
      <w:pPr>
        <w:pStyle w:val="Heading5"/>
        <w:rPr>
          <w:snapToGrid w:val="0"/>
        </w:rPr>
      </w:pPr>
      <w:bookmarkStart w:id="207" w:name="_Toc392496579"/>
      <w:r>
        <w:rPr>
          <w:rStyle w:val="CharSectno"/>
        </w:rPr>
        <w:t>102</w:t>
      </w:r>
      <w:r>
        <w:rPr>
          <w:snapToGrid w:val="0"/>
        </w:rPr>
        <w:t>.</w:t>
      </w:r>
      <w:r>
        <w:rPr>
          <w:snapToGrid w:val="0"/>
        </w:rPr>
        <w:tab/>
        <w:t>Assignment by mortgagor</w:t>
      </w:r>
      <w:bookmarkEnd w:id="207"/>
    </w:p>
    <w:p>
      <w:pPr>
        <w:pStyle w:val="Subsection"/>
        <w:rPr>
          <w:snapToGrid w:val="0"/>
        </w:rPr>
      </w:pPr>
      <w:r>
        <w:rPr>
          <w:snapToGrid w:val="0"/>
        </w:rPr>
        <w:tab/>
        <w:t>(1)</w:t>
      </w:r>
      <w:r>
        <w:rPr>
          <w:snapToGrid w:val="0"/>
        </w:rPr>
        <w:tab/>
        <w:t>A mortgagor shall not, except as provided in this section, assign or dispose of property subject to a mortgage without the consent of the mortgagee.</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consent of the mortgagee to an assignment or disposal of property referred to in subsection (1) shall not be unreasonably withheld and, except as provided in subsection (3), no payment or consideration shall be required by the mortgagee for his consent.</w:t>
      </w:r>
    </w:p>
    <w:p>
      <w:pPr>
        <w:pStyle w:val="Subsection"/>
        <w:rPr>
          <w:snapToGrid w:val="0"/>
        </w:rPr>
      </w:pPr>
      <w:r>
        <w:rPr>
          <w:snapToGrid w:val="0"/>
        </w:rPr>
        <w:tab/>
        <w:t>(3)</w:t>
      </w:r>
      <w:r>
        <w:rPr>
          <w:snapToGrid w:val="0"/>
        </w:rPr>
        <w:tab/>
        <w:t>As a condition of granting consent to an assignment or disposal of property subject to a mortgage, the mortgagee may require any breaches of the regulated contract or contracts to which the mortgage relates and of the mortgage to be remedied and may require the mortgagor and the assignee —</w:t>
      </w:r>
    </w:p>
    <w:p>
      <w:pPr>
        <w:pStyle w:val="Indenta"/>
        <w:rPr>
          <w:snapToGrid w:val="0"/>
        </w:rPr>
      </w:pPr>
      <w:r>
        <w:rPr>
          <w:snapToGrid w:val="0"/>
        </w:rPr>
        <w:tab/>
        <w:t>(a)</w:t>
      </w:r>
      <w:r>
        <w:rPr>
          <w:snapToGrid w:val="0"/>
        </w:rPr>
        <w:tab/>
        <w:t>to execute and deliver to the mortgagee an agreement relating to the assignment or disposal in a form approved by the mortgagee under which, without prejudicing or affecting the liability of the mortgagor, the assignee agrees with the mortgagee —</w:t>
      </w:r>
    </w:p>
    <w:p>
      <w:pPr>
        <w:pStyle w:val="Indenti"/>
        <w:rPr>
          <w:snapToGrid w:val="0"/>
        </w:rPr>
      </w:pPr>
      <w:r>
        <w:rPr>
          <w:snapToGrid w:val="0"/>
        </w:rPr>
        <w:tab/>
        <w:t>(i)</w:t>
      </w:r>
      <w:r>
        <w:rPr>
          <w:snapToGrid w:val="0"/>
        </w:rPr>
        <w:tab/>
        <w:t>to be personally liable to pay the amounts due or that become due under the mortgage; and</w:t>
      </w:r>
    </w:p>
    <w:p>
      <w:pPr>
        <w:pStyle w:val="Indenti"/>
        <w:rPr>
          <w:snapToGrid w:val="0"/>
        </w:rPr>
      </w:pPr>
      <w:r>
        <w:rPr>
          <w:snapToGrid w:val="0"/>
        </w:rPr>
        <w:tab/>
        <w:t>(ii)</w:t>
      </w:r>
      <w:r>
        <w:rPr>
          <w:snapToGrid w:val="0"/>
        </w:rPr>
        <w:tab/>
        <w:t xml:space="preserve">to perform and observe all other requirements and conditions of the mortgage;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pay the reasonable costs (if any) incurred by the mortgagee in respect of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fees payable to a duly qualified legal practitioner (not being the mortgagee or an employee of the mortgagee) authorised to prepare documents,</w:t>
      </w:r>
    </w:p>
    <w:p>
      <w:pPr>
        <w:pStyle w:val="Indenta"/>
        <w:rPr>
          <w:snapToGrid w:val="0"/>
        </w:rPr>
      </w:pPr>
      <w:r>
        <w:rPr>
          <w:snapToGrid w:val="0"/>
        </w:rPr>
        <w:tab/>
      </w:r>
      <w:r>
        <w:rPr>
          <w:snapToGrid w:val="0"/>
        </w:rPr>
        <w:tab/>
        <w:t>in respect of or relating to the assignment agreement.</w:t>
      </w:r>
    </w:p>
    <w:p>
      <w:pPr>
        <w:pStyle w:val="Subsection"/>
        <w:rPr>
          <w:snapToGrid w:val="0"/>
        </w:rPr>
      </w:pPr>
      <w:r>
        <w:rPr>
          <w:snapToGrid w:val="0"/>
        </w:rPr>
        <w:tab/>
        <w:t>(4)</w:t>
      </w:r>
      <w:r>
        <w:rPr>
          <w:snapToGrid w:val="0"/>
        </w:rPr>
        <w:tab/>
        <w:t>Where, in the opinion of a debtor or mortgagor, a mortgagee has unreasonably withheld consent to an assignment or disposal of property subject to a mortgage, the debtor or mortgagor may refer the matter to the Commissioner who, if he is of the same opinion and has sought but not obtained that consent, may apply to the Tribunal for a determination that the consent has been unreasonably withheld.</w:t>
      </w:r>
    </w:p>
    <w:p>
      <w:pPr>
        <w:pStyle w:val="Subsection"/>
        <w:rPr>
          <w:snapToGrid w:val="0"/>
        </w:rPr>
      </w:pPr>
      <w:r>
        <w:rPr>
          <w:snapToGrid w:val="0"/>
        </w:rPr>
        <w:tab/>
        <w:t>(5)</w:t>
      </w:r>
      <w:r>
        <w:rPr>
          <w:snapToGrid w:val="0"/>
        </w:rPr>
        <w:tab/>
        <w:t>Where, on an application under subsection (4), the Tribunal determines that consent to an assignment or disposal has been unreasonably withheld, the assignment or disposal may be effected without that consent.</w:t>
      </w:r>
    </w:p>
    <w:p>
      <w:pPr>
        <w:pStyle w:val="Subsection"/>
        <w:rPr>
          <w:snapToGrid w:val="0"/>
        </w:rPr>
      </w:pPr>
      <w:r>
        <w:rPr>
          <w:snapToGrid w:val="0"/>
        </w:rPr>
        <w:tab/>
        <w:t>(6)</w:t>
      </w:r>
      <w:r>
        <w:rPr>
          <w:snapToGrid w:val="0"/>
        </w:rPr>
        <w:tab/>
        <w:t>Where a mortgage relates to goods for the time being forming the whole or part of the trading stock of a business carried on by the mortgagor, this section does not apply to or in respect of an assignment or disposal of any such goods.</w:t>
      </w:r>
    </w:p>
    <w:p>
      <w:pPr>
        <w:pStyle w:val="Subsection"/>
        <w:rPr>
          <w:snapToGrid w:val="0"/>
        </w:rPr>
      </w:pPr>
      <w:r>
        <w:rPr>
          <w:snapToGrid w:val="0"/>
        </w:rPr>
        <w:tab/>
        <w:t>(7)</w:t>
      </w:r>
      <w:r>
        <w:rPr>
          <w:snapToGrid w:val="0"/>
        </w:rPr>
        <w:tab/>
        <w:t>This section does not apply to or in respect of an assignment that occurs by operation of law.</w:t>
      </w:r>
    </w:p>
    <w:p>
      <w:pPr>
        <w:pStyle w:val="Subsection"/>
        <w:rPr>
          <w:snapToGrid w:val="0"/>
        </w:rPr>
      </w:pPr>
      <w:r>
        <w:rPr>
          <w:snapToGrid w:val="0"/>
        </w:rPr>
        <w:tab/>
        <w:t>(8)</w:t>
      </w:r>
      <w:r>
        <w:rPr>
          <w:snapToGrid w:val="0"/>
        </w:rPr>
        <w:tab/>
        <w:t>An agreement to assign goods the subject of a mortgage does not operate to create a new mortgage relating to the goods.</w:t>
      </w:r>
    </w:p>
    <w:p>
      <w:pPr>
        <w:pStyle w:val="Footnotesection"/>
      </w:pPr>
      <w:r>
        <w:tab/>
        <w:t>[Section 102 amended by No. 12 of 2008 Sch. 1 cl. 6(4).]</w:t>
      </w:r>
    </w:p>
    <w:p>
      <w:pPr>
        <w:pStyle w:val="Heading2"/>
      </w:pPr>
      <w:bookmarkStart w:id="208" w:name="_Toc378152656"/>
      <w:bookmarkStart w:id="209" w:name="_Toc392496580"/>
      <w:r>
        <w:rPr>
          <w:rStyle w:val="CharPartNo"/>
        </w:rPr>
        <w:t>Part V</w:t>
      </w:r>
      <w:r>
        <w:rPr>
          <w:rStyle w:val="CharDivNo"/>
        </w:rPr>
        <w:t> </w:t>
      </w:r>
      <w:r>
        <w:t>—</w:t>
      </w:r>
      <w:r>
        <w:rPr>
          <w:rStyle w:val="CharDivText"/>
        </w:rPr>
        <w:t> </w:t>
      </w:r>
      <w:r>
        <w:rPr>
          <w:rStyle w:val="CharPartText"/>
        </w:rPr>
        <w:t>Termination and enforcement of regulated contracts and regulated mortgages</w:t>
      </w:r>
      <w:bookmarkEnd w:id="208"/>
      <w:bookmarkEnd w:id="209"/>
    </w:p>
    <w:p>
      <w:pPr>
        <w:pStyle w:val="Heading5"/>
        <w:rPr>
          <w:snapToGrid w:val="0"/>
        </w:rPr>
      </w:pPr>
      <w:bookmarkStart w:id="210" w:name="_Toc392496581"/>
      <w:r>
        <w:rPr>
          <w:rStyle w:val="CharSectno"/>
        </w:rPr>
        <w:t>103</w:t>
      </w:r>
      <w:r>
        <w:rPr>
          <w:snapToGrid w:val="0"/>
        </w:rPr>
        <w:t>.</w:t>
      </w:r>
      <w:r>
        <w:rPr>
          <w:snapToGrid w:val="0"/>
        </w:rPr>
        <w:tab/>
        <w:t>Net balance due, calculation of</w:t>
      </w:r>
      <w:bookmarkEnd w:id="210"/>
    </w:p>
    <w:p>
      <w:pPr>
        <w:pStyle w:val="Subsection"/>
        <w:rPr>
          <w:snapToGrid w:val="0"/>
        </w:rPr>
      </w:pPr>
      <w:r>
        <w:rPr>
          <w:snapToGrid w:val="0"/>
        </w:rPr>
        <w:tab/>
        <w:t>(1)</w:t>
      </w:r>
      <w:r>
        <w:rPr>
          <w:snapToGrid w:val="0"/>
        </w:rPr>
        <w:tab/>
        <w:t>For the purposes</w:t>
      </w:r>
      <w:bookmarkStart w:id="211" w:name="RuleErr_37"/>
      <w:r>
        <w:rPr>
          <w:snapToGrid w:val="0"/>
        </w:rPr>
        <w:t xml:space="preserve"> of this Part</w:t>
      </w:r>
      <w:bookmarkEnd w:id="211"/>
      <w:r>
        <w:rPr>
          <w:snapToGrid w:val="0"/>
        </w:rPr>
        <w:t>, a reference to the net balance due to a credit provider at a particular time — </w:t>
      </w:r>
    </w:p>
    <w:p>
      <w:pPr>
        <w:pStyle w:val="Indenta"/>
        <w:rPr>
          <w:snapToGrid w:val="0"/>
        </w:rPr>
      </w:pPr>
      <w:r>
        <w:rPr>
          <w:snapToGrid w:val="0"/>
        </w:rPr>
        <w:tab/>
        <w:t>(a)</w:t>
      </w:r>
      <w:r>
        <w:rPr>
          <w:snapToGrid w:val="0"/>
        </w:rPr>
        <w:tab/>
        <w:t>in relation to a regulated credit sale contract or a regulated loan contract, is a reference to the amount that, at that time, is the sum of — </w:t>
      </w:r>
    </w:p>
    <w:p>
      <w:pPr>
        <w:pStyle w:val="Indenti"/>
        <w:rPr>
          <w:snapToGrid w:val="0"/>
        </w:rPr>
      </w:pPr>
      <w:r>
        <w:rPr>
          <w:snapToGrid w:val="0"/>
        </w:rPr>
        <w:tab/>
        <w:t>(i)</w:t>
      </w:r>
      <w:r>
        <w:rPr>
          <w:snapToGrid w:val="0"/>
        </w:rPr>
        <w:tab/>
        <w:t>the amount financed; and</w:t>
      </w:r>
    </w:p>
    <w:p>
      <w:pPr>
        <w:pStyle w:val="Indenti"/>
        <w:rPr>
          <w:snapToGrid w:val="0"/>
        </w:rPr>
      </w:pPr>
      <w:r>
        <w:rPr>
          <w:snapToGrid w:val="0"/>
        </w:rPr>
        <w:tab/>
        <w:t>(ii)</w:t>
      </w:r>
      <w:r>
        <w:rPr>
          <w:snapToGrid w:val="0"/>
        </w:rPr>
        <w:tab/>
        <w:t>the accrued credit charge; and</w:t>
      </w:r>
    </w:p>
    <w:p>
      <w:pPr>
        <w:pStyle w:val="Indenti"/>
        <w:rPr>
          <w:snapToGrid w:val="0"/>
        </w:rPr>
      </w:pPr>
      <w:r>
        <w:rPr>
          <w:snapToGrid w:val="0"/>
        </w:rPr>
        <w:tab/>
        <w:t>(iii)</w:t>
      </w:r>
      <w:r>
        <w:rPr>
          <w:snapToGrid w:val="0"/>
        </w:rPr>
        <w:tab/>
        <w:t>the deferral charges (if any) charged in accordance with Part III; and</w:t>
      </w:r>
    </w:p>
    <w:p>
      <w:pPr>
        <w:pStyle w:val="Indenti"/>
        <w:rPr>
          <w:snapToGrid w:val="0"/>
        </w:rPr>
      </w:pPr>
      <w:r>
        <w:rPr>
          <w:snapToGrid w:val="0"/>
        </w:rPr>
        <w:tab/>
        <w:t>(iv)</w:t>
      </w:r>
      <w:r>
        <w:rPr>
          <w:snapToGrid w:val="0"/>
        </w:rPr>
        <w:tab/>
        <w:t>the default charges (if any) charged in accordance with Part III; and</w:t>
      </w:r>
    </w:p>
    <w:p>
      <w:pPr>
        <w:pStyle w:val="Indenti"/>
        <w:rPr>
          <w:snapToGrid w:val="0"/>
        </w:rPr>
      </w:pPr>
      <w:r>
        <w:rPr>
          <w:snapToGrid w:val="0"/>
        </w:rPr>
        <w:tab/>
        <w:t>(v)</w:t>
      </w:r>
      <w:r>
        <w:rPr>
          <w:snapToGrid w:val="0"/>
        </w:rPr>
        <w:tab/>
        <w:t>the enforcement expenses (if any),</w:t>
      </w:r>
    </w:p>
    <w:p>
      <w:pPr>
        <w:pStyle w:val="Indenta"/>
        <w:rPr>
          <w:snapToGrid w:val="0"/>
        </w:rPr>
      </w:pPr>
      <w:r>
        <w:rPr>
          <w:snapToGrid w:val="0"/>
        </w:rPr>
        <w:tab/>
      </w:r>
      <w:r>
        <w:rPr>
          <w:snapToGrid w:val="0"/>
        </w:rPr>
        <w:tab/>
        <w:t>less any payments received by the credit provider in relation to the contract and (where the relevant insurance and maintenance contracts are discharged) the amounts of statutory rebates (if any) of insurance charges and maintenance charges; and</w:t>
      </w:r>
    </w:p>
    <w:p>
      <w:pPr>
        <w:pStyle w:val="Indenta"/>
        <w:rPr>
          <w:snapToGrid w:val="0"/>
        </w:rPr>
      </w:pPr>
      <w:r>
        <w:rPr>
          <w:snapToGrid w:val="0"/>
        </w:rPr>
        <w:tab/>
        <w:t>(b)</w:t>
      </w:r>
      <w:r>
        <w:rPr>
          <w:snapToGrid w:val="0"/>
        </w:rPr>
        <w:tab/>
        <w:t>in relation to a regulated continuing credit contract, is a reference to the amount owed under the contract by the debtor to the credit provider at that time less (where the relevant insurance and maintenance contracts are discharged) the amounts of statutory rebates (if any) of insurance charges and maintenance charges.</w:t>
      </w:r>
    </w:p>
    <w:p>
      <w:pPr>
        <w:pStyle w:val="Subsection"/>
        <w:rPr>
          <w:snapToGrid w:val="0"/>
        </w:rPr>
      </w:pPr>
      <w:r>
        <w:rPr>
          <w:snapToGrid w:val="0"/>
        </w:rPr>
        <w:tab/>
        <w:t>(2)</w:t>
      </w:r>
      <w:r>
        <w:rPr>
          <w:snapToGrid w:val="0"/>
        </w:rPr>
        <w:tab/>
        <w:t>For the purposes</w:t>
      </w:r>
      <w:bookmarkStart w:id="212" w:name="RuleErr_38"/>
      <w:r>
        <w:rPr>
          <w:snapToGrid w:val="0"/>
        </w:rPr>
        <w:t xml:space="preserve"> of this Part</w:t>
      </w:r>
      <w:bookmarkEnd w:id="212"/>
      <w:r>
        <w:rPr>
          <w:snapToGrid w:val="0"/>
        </w:rPr>
        <w:t>, a reference to the outstanding balance of an amount, charge or expense is a reference to the part of that amount, charge or expense that, at a particular time, is owed but unpaid, whether or not the whole or any part of that amount is due.</w:t>
      </w:r>
    </w:p>
    <w:p>
      <w:pPr>
        <w:pStyle w:val="Heading5"/>
        <w:rPr>
          <w:snapToGrid w:val="0"/>
        </w:rPr>
      </w:pPr>
      <w:bookmarkStart w:id="213" w:name="_Toc392496582"/>
      <w:r>
        <w:rPr>
          <w:rStyle w:val="CharSectno"/>
        </w:rPr>
        <w:t>104</w:t>
      </w:r>
      <w:r>
        <w:rPr>
          <w:snapToGrid w:val="0"/>
        </w:rPr>
        <w:t>.</w:t>
      </w:r>
      <w:r>
        <w:rPr>
          <w:snapToGrid w:val="0"/>
        </w:rPr>
        <w:tab/>
        <w:t>Net balance due, credit provider to state on request</w:t>
      </w:r>
      <w:bookmarkEnd w:id="213"/>
    </w:p>
    <w:p>
      <w:pPr>
        <w:pStyle w:val="Subsection"/>
        <w:rPr>
          <w:snapToGrid w:val="0"/>
        </w:rPr>
      </w:pPr>
      <w:r>
        <w:rPr>
          <w:snapToGrid w:val="0"/>
        </w:rPr>
        <w:tab/>
        <w:t>(1)</w:t>
      </w:r>
      <w:r>
        <w:rPr>
          <w:snapToGrid w:val="0"/>
        </w:rPr>
        <w:tab/>
        <w:t>Where a credit provider receives a request in writing from a debtor under a regulated contract, or from a guarantor under a contract of guarantee that relates to that regulated contract, for a statement of the net balance due to the credit provider under the regulated contract, the credit provider shall, within 7 days after receiving the request, give to the debtor or guarantor a statement in writing — </w:t>
      </w:r>
    </w:p>
    <w:p>
      <w:pPr>
        <w:pStyle w:val="Indenta"/>
        <w:rPr>
          <w:snapToGrid w:val="0"/>
        </w:rPr>
      </w:pPr>
      <w:r>
        <w:rPr>
          <w:snapToGrid w:val="0"/>
        </w:rPr>
        <w:tab/>
        <w:t>(a)</w:t>
      </w:r>
      <w:r>
        <w:rPr>
          <w:snapToGrid w:val="0"/>
        </w:rPr>
        <w:tab/>
        <w:t>stating the net balance due to the credit provider on the business day that last preceded the giving of the statement and, where the debtor or guarantor has also requested particulars of the calculation of that net balance, those particulars; and</w:t>
      </w:r>
    </w:p>
    <w:p>
      <w:pPr>
        <w:pStyle w:val="Indenta"/>
        <w:rPr>
          <w:snapToGrid w:val="0"/>
        </w:rPr>
      </w:pPr>
      <w:r>
        <w:rPr>
          <w:snapToGrid w:val="0"/>
        </w:rPr>
        <w:tab/>
        <w:t>(b)</w:t>
      </w:r>
      <w:r>
        <w:rPr>
          <w:snapToGrid w:val="0"/>
        </w:rPr>
        <w:tab/>
        <w:t>where the amount of the net balance increases until paid, stating that the amount so increases.</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credit provider is not required to comply with a request under subsection (1) — </w:t>
      </w:r>
    </w:p>
    <w:p>
      <w:pPr>
        <w:pStyle w:val="Indenta"/>
        <w:rPr>
          <w:snapToGrid w:val="0"/>
        </w:rPr>
      </w:pPr>
      <w:r>
        <w:rPr>
          <w:snapToGrid w:val="0"/>
        </w:rPr>
        <w:tab/>
        <w:t>(a)</w:t>
      </w:r>
      <w:r>
        <w:rPr>
          <w:snapToGrid w:val="0"/>
        </w:rPr>
        <w:tab/>
        <w:t>by a debtor — if he has, within the period of 3 months that last preceded receipt of the request, complied with an earlier such request by the debtor in relation to the contract to which the later request relates; or</w:t>
      </w:r>
    </w:p>
    <w:p>
      <w:pPr>
        <w:pStyle w:val="Indenta"/>
        <w:rPr>
          <w:snapToGrid w:val="0"/>
        </w:rPr>
      </w:pPr>
      <w:r>
        <w:rPr>
          <w:snapToGrid w:val="0"/>
        </w:rPr>
        <w:tab/>
        <w:t>(b)</w:t>
      </w:r>
      <w:r>
        <w:rPr>
          <w:snapToGrid w:val="0"/>
        </w:rPr>
        <w:tab/>
        <w:t>by a guarantor — if he has, within the period of 3 months that last preceded receipt of the request, complied with an earlier such request by the guarantor in relation to the contract to which the later request relates.</w:t>
      </w:r>
    </w:p>
    <w:p>
      <w:pPr>
        <w:pStyle w:val="Subsection"/>
        <w:rPr>
          <w:snapToGrid w:val="0"/>
        </w:rPr>
      </w:pPr>
      <w:r>
        <w:rPr>
          <w:snapToGrid w:val="0"/>
        </w:rPr>
        <w:tab/>
        <w:t>(3)</w:t>
      </w:r>
      <w:r>
        <w:rPr>
          <w:snapToGrid w:val="0"/>
        </w:rPr>
        <w:tab/>
        <w:t>Where, within 7 days after making a request referred to in subsection (1), a debtor or guarantor has not received the statement requested, he may apply to the Tribunal for a determination of the amount that, for the purposes</w:t>
      </w:r>
      <w:bookmarkStart w:id="214" w:name="RuleErr_39"/>
      <w:r>
        <w:rPr>
          <w:snapToGrid w:val="0"/>
        </w:rPr>
        <w:t xml:space="preserve"> of this Part</w:t>
      </w:r>
      <w:bookmarkEnd w:id="214"/>
      <w:r>
        <w:rPr>
          <w:snapToGrid w:val="0"/>
        </w:rPr>
        <w:t>, is the net balance due to which the request relates.</w:t>
      </w:r>
    </w:p>
    <w:p>
      <w:pPr>
        <w:pStyle w:val="Subsection"/>
        <w:rPr>
          <w:snapToGrid w:val="0"/>
        </w:rPr>
      </w:pPr>
      <w:r>
        <w:rPr>
          <w:snapToGrid w:val="0"/>
        </w:rPr>
        <w:tab/>
        <w:t>(4)</w:t>
      </w:r>
      <w:r>
        <w:rPr>
          <w:snapToGrid w:val="0"/>
        </w:rPr>
        <w:tab/>
        <w:t>An amount determined by the Tribunal on an application under subsection (3) by a debtor or guarantor under a regulated contract shall, for the purposes</w:t>
      </w:r>
      <w:bookmarkStart w:id="215" w:name="RuleErr_40"/>
      <w:r>
        <w:rPr>
          <w:snapToGrid w:val="0"/>
        </w:rPr>
        <w:t xml:space="preserve"> of this Part</w:t>
      </w:r>
      <w:bookmarkEnd w:id="215"/>
      <w:r>
        <w:rPr>
          <w:snapToGrid w:val="0"/>
        </w:rPr>
        <w:t>, be deemed to be the net balance due to the credit provider under the contract.</w:t>
      </w:r>
    </w:p>
    <w:p>
      <w:pPr>
        <w:pStyle w:val="Heading5"/>
        <w:rPr>
          <w:snapToGrid w:val="0"/>
        </w:rPr>
      </w:pPr>
      <w:bookmarkStart w:id="216" w:name="_Toc392496583"/>
      <w:r>
        <w:rPr>
          <w:rStyle w:val="CharSectno"/>
        </w:rPr>
        <w:t>105</w:t>
      </w:r>
      <w:r>
        <w:rPr>
          <w:snapToGrid w:val="0"/>
        </w:rPr>
        <w:t>.</w:t>
      </w:r>
      <w:r>
        <w:rPr>
          <w:snapToGrid w:val="0"/>
        </w:rPr>
        <w:tab/>
        <w:t>Early termination of contract by debtor</w:t>
      </w:r>
      <w:bookmarkEnd w:id="216"/>
    </w:p>
    <w:p>
      <w:pPr>
        <w:pStyle w:val="Subsection"/>
        <w:rPr>
          <w:snapToGrid w:val="0"/>
        </w:rPr>
      </w:pPr>
      <w:r>
        <w:rPr>
          <w:snapToGrid w:val="0"/>
        </w:rPr>
        <w:tab/>
      </w:r>
      <w:r>
        <w:rPr>
          <w:snapToGrid w:val="0"/>
        </w:rPr>
        <w:tab/>
        <w:t>The debtor under a regulated contract may discharge his obligations under the contract by paying or tendering to the credit provider the net balance due to the credit provider at the time of payment or tender.</w:t>
      </w:r>
    </w:p>
    <w:p>
      <w:pPr>
        <w:pStyle w:val="Heading5"/>
        <w:rPr>
          <w:snapToGrid w:val="0"/>
        </w:rPr>
      </w:pPr>
      <w:bookmarkStart w:id="217" w:name="_Toc392496584"/>
      <w:r>
        <w:rPr>
          <w:rStyle w:val="CharSectno"/>
        </w:rPr>
        <w:t>106</w:t>
      </w:r>
      <w:r>
        <w:rPr>
          <w:snapToGrid w:val="0"/>
        </w:rPr>
        <w:t>.</w:t>
      </w:r>
      <w:r>
        <w:rPr>
          <w:snapToGrid w:val="0"/>
        </w:rPr>
        <w:tab/>
        <w:t>Mortgagor may require mortgagee to sell mortgaged goods</w:t>
      </w:r>
      <w:bookmarkEnd w:id="217"/>
    </w:p>
    <w:p>
      <w:pPr>
        <w:pStyle w:val="Subsection"/>
        <w:rPr>
          <w:snapToGrid w:val="0"/>
        </w:rPr>
      </w:pPr>
      <w:r>
        <w:rPr>
          <w:snapToGrid w:val="0"/>
        </w:rPr>
        <w:tab/>
        <w:t>(1)</w:t>
      </w:r>
      <w:r>
        <w:rPr>
          <w:snapToGrid w:val="0"/>
        </w:rPr>
        <w:tab/>
        <w:t>Subject to this section, the mortgagor under a regulated mortgage may, unless the mortgage is also security for a debt or obligation arising otherwise than in relation to a regulated contract, by notice in writing given to the mortgagee, require the mortgagee to sell goods that are subject to the mortgage.</w:t>
      </w:r>
    </w:p>
    <w:p>
      <w:pPr>
        <w:pStyle w:val="Subsection"/>
        <w:rPr>
          <w:snapToGrid w:val="0"/>
        </w:rPr>
      </w:pPr>
      <w:r>
        <w:rPr>
          <w:snapToGrid w:val="0"/>
        </w:rPr>
        <w:tab/>
        <w:t>(2)</w:t>
      </w:r>
      <w:r>
        <w:rPr>
          <w:snapToGrid w:val="0"/>
        </w:rPr>
        <w:tab/>
        <w:t>A notice given under subsection (1) is of no force or effect unless — </w:t>
      </w:r>
    </w:p>
    <w:p>
      <w:pPr>
        <w:pStyle w:val="Indenta"/>
        <w:rPr>
          <w:snapToGrid w:val="0"/>
        </w:rPr>
      </w:pPr>
      <w:r>
        <w:rPr>
          <w:snapToGrid w:val="0"/>
        </w:rPr>
        <w:tab/>
        <w:t>(a)</w:t>
      </w:r>
      <w:r>
        <w:rPr>
          <w:snapToGrid w:val="0"/>
        </w:rPr>
        <w:tab/>
        <w:t>the goods to which the notice relates are, when the notice is given, in the possession of the mortgagee; or</w:t>
      </w:r>
    </w:p>
    <w:p>
      <w:pPr>
        <w:pStyle w:val="Indenta"/>
        <w:rPr>
          <w:snapToGrid w:val="0"/>
        </w:rPr>
      </w:pPr>
      <w:r>
        <w:rPr>
          <w:snapToGrid w:val="0"/>
        </w:rPr>
        <w:tab/>
        <w:t>(b)</w:t>
      </w:r>
      <w:r>
        <w:rPr>
          <w:snapToGrid w:val="0"/>
        </w:rPr>
        <w:tab/>
        <w:t>the mortgagor delivers the goods to the mortgagee in accordance with subsection (3) not later than 7 days after the giving of the notice or such longer time as is agreed upon between the mortgagee and the mortgagor or as a court permits on application by the mortgagee or the mortgagor.</w:t>
      </w:r>
    </w:p>
    <w:p>
      <w:pPr>
        <w:pStyle w:val="Subsection"/>
        <w:rPr>
          <w:snapToGrid w:val="0"/>
        </w:rPr>
      </w:pPr>
      <w:r>
        <w:rPr>
          <w:snapToGrid w:val="0"/>
        </w:rPr>
        <w:tab/>
        <w:t>(3)</w:t>
      </w:r>
      <w:r>
        <w:rPr>
          <w:snapToGrid w:val="0"/>
        </w:rPr>
        <w:tab/>
        <w:t>A mortgagor who gives a notice under subsection (1) may, unless the goods to which the notice relates are in the possession of the mortgagee, deliver the goods to the mortgagee during ordinary business hours at a place at which the mortgagee ordinarily carries on business or at a time and place agreed upon by the mortgagee and the mortgagor or, if the mortgagee and mortgagor fail to agree on a time and place, at a time and place determined by a court on application by the mortgagee or the mortgagor.</w:t>
      </w:r>
    </w:p>
    <w:p>
      <w:pPr>
        <w:pStyle w:val="Subsection"/>
        <w:rPr>
          <w:snapToGrid w:val="0"/>
        </w:rPr>
      </w:pPr>
      <w:r>
        <w:rPr>
          <w:snapToGrid w:val="0"/>
        </w:rPr>
        <w:tab/>
        <w:t>(4)</w:t>
      </w:r>
      <w:r>
        <w:rPr>
          <w:snapToGrid w:val="0"/>
        </w:rPr>
        <w:tab/>
        <w:t>Where — </w:t>
      </w:r>
    </w:p>
    <w:p>
      <w:pPr>
        <w:pStyle w:val="Indenta"/>
        <w:spacing w:before="60"/>
        <w:rPr>
          <w:snapToGrid w:val="0"/>
        </w:rPr>
      </w:pPr>
      <w:r>
        <w:rPr>
          <w:snapToGrid w:val="0"/>
        </w:rPr>
        <w:tab/>
        <w:t>(a)</w:t>
      </w:r>
      <w:r>
        <w:rPr>
          <w:snapToGrid w:val="0"/>
        </w:rPr>
        <w:tab/>
        <w:t>a notice has been given to a mortgagee under this section; and</w:t>
      </w:r>
    </w:p>
    <w:p>
      <w:pPr>
        <w:pStyle w:val="Indenta"/>
        <w:spacing w:before="60"/>
        <w:rPr>
          <w:snapToGrid w:val="0"/>
        </w:rPr>
      </w:pPr>
      <w:r>
        <w:rPr>
          <w:snapToGrid w:val="0"/>
        </w:rPr>
        <w:tab/>
        <w:t>(b)</w:t>
      </w:r>
      <w:r>
        <w:rPr>
          <w:snapToGrid w:val="0"/>
        </w:rPr>
        <w:tab/>
        <w:t>any goods to which the notice relates are in the possession of the mortgagee or have been delivered to him in accordance with subsection (3),</w:t>
      </w:r>
    </w:p>
    <w:p>
      <w:pPr>
        <w:pStyle w:val="Subsection"/>
        <w:rPr>
          <w:snapToGrid w:val="0"/>
        </w:rPr>
      </w:pPr>
      <w:r>
        <w:rPr>
          <w:snapToGrid w:val="0"/>
        </w:rPr>
        <w:tab/>
      </w:r>
      <w:r>
        <w:rPr>
          <w:snapToGrid w:val="0"/>
        </w:rPr>
        <w:tab/>
        <w:t>the mortgagee shall, as soon as is reasonable and practicable in the circumstances, sell the goods for the best price reasonably obtainable and shall account to the mortgagor as provided by section 114.</w:t>
      </w:r>
    </w:p>
    <w:p>
      <w:pPr>
        <w:pStyle w:val="Penstart"/>
        <w:rPr>
          <w:snapToGrid w:val="0"/>
        </w:rPr>
      </w:pPr>
      <w:r>
        <w:rPr>
          <w:snapToGrid w:val="0"/>
        </w:rPr>
        <w:tab/>
        <w:t>Penalty: $1 000.</w:t>
      </w:r>
    </w:p>
    <w:p>
      <w:pPr>
        <w:pStyle w:val="Heading5"/>
        <w:rPr>
          <w:snapToGrid w:val="0"/>
        </w:rPr>
      </w:pPr>
      <w:bookmarkStart w:id="218" w:name="_Toc392496585"/>
      <w:r>
        <w:rPr>
          <w:rStyle w:val="CharSectno"/>
        </w:rPr>
        <w:t>107</w:t>
      </w:r>
      <w:r>
        <w:rPr>
          <w:snapToGrid w:val="0"/>
        </w:rPr>
        <w:t>.</w:t>
      </w:r>
      <w:r>
        <w:rPr>
          <w:snapToGrid w:val="0"/>
        </w:rPr>
        <w:tab/>
        <w:t>Rights of credit provider or mortgagee, restrictions on exercising</w:t>
      </w:r>
      <w:bookmarkEnd w:id="218"/>
    </w:p>
    <w:p>
      <w:pPr>
        <w:pStyle w:val="Subsection"/>
        <w:rPr>
          <w:snapToGrid w:val="0"/>
        </w:rPr>
      </w:pPr>
      <w:r>
        <w:rPr>
          <w:snapToGrid w:val="0"/>
        </w:rPr>
        <w:tab/>
        <w:t>(1)</w:t>
      </w:r>
      <w:r>
        <w:rPr>
          <w:snapToGrid w:val="0"/>
        </w:rPr>
        <w:tab/>
        <w:t>A credit provider shall not — </w:t>
      </w:r>
    </w:p>
    <w:p>
      <w:pPr>
        <w:pStyle w:val="Indenta"/>
        <w:spacing w:before="70"/>
        <w:rPr>
          <w:snapToGrid w:val="0"/>
        </w:rPr>
      </w:pPr>
      <w:r>
        <w:rPr>
          <w:snapToGrid w:val="0"/>
        </w:rPr>
        <w:tab/>
        <w:t>(a)</w:t>
      </w:r>
      <w:r>
        <w:rPr>
          <w:snapToGrid w:val="0"/>
        </w:rPr>
        <w:tab/>
        <w:t>institute proceedings against a debtor in respect of a matter arising under a regulated contract by reason of —</w:t>
      </w:r>
    </w:p>
    <w:p>
      <w:pPr>
        <w:pStyle w:val="Indenti"/>
        <w:spacing w:before="70"/>
        <w:rPr>
          <w:snapToGrid w:val="0"/>
        </w:rPr>
      </w:pPr>
      <w:r>
        <w:rPr>
          <w:snapToGrid w:val="0"/>
        </w:rPr>
        <w:tab/>
        <w:t>(i)</w:t>
      </w:r>
      <w:r>
        <w:rPr>
          <w:snapToGrid w:val="0"/>
        </w:rPr>
        <w:tab/>
        <w:t>a default by the debtor; or</w:t>
      </w:r>
    </w:p>
    <w:p>
      <w:pPr>
        <w:pStyle w:val="Indenti"/>
        <w:spacing w:before="70"/>
        <w:rPr>
          <w:snapToGrid w:val="0"/>
        </w:rPr>
      </w:pPr>
      <w:r>
        <w:rPr>
          <w:snapToGrid w:val="0"/>
        </w:rPr>
        <w:tab/>
        <w:t>(ii)</w:t>
      </w:r>
      <w:r>
        <w:rPr>
          <w:snapToGrid w:val="0"/>
        </w:rPr>
        <w:tab/>
        <w:t>a failure by the debtor to observe provisions of the contract, being a failure that does not constitute a breach of the contract; or</w:t>
      </w:r>
    </w:p>
    <w:p>
      <w:pPr>
        <w:pStyle w:val="Indenti"/>
        <w:spacing w:before="70"/>
        <w:rPr>
          <w:snapToGrid w:val="0"/>
        </w:rPr>
      </w:pPr>
      <w:r>
        <w:rPr>
          <w:snapToGrid w:val="0"/>
        </w:rPr>
        <w:tab/>
        <w:t>(iii)</w:t>
      </w:r>
      <w:r>
        <w:rPr>
          <w:snapToGrid w:val="0"/>
        </w:rPr>
        <w:tab/>
        <w:t xml:space="preserve">the exercise of an option by the credit provider; </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exercise, or purport to exercise, a right under a regulated contract arising by reason of — </w:t>
      </w:r>
    </w:p>
    <w:p>
      <w:pPr>
        <w:pStyle w:val="Indenti"/>
        <w:spacing w:before="70"/>
        <w:rPr>
          <w:snapToGrid w:val="0"/>
        </w:rPr>
      </w:pPr>
      <w:r>
        <w:rPr>
          <w:snapToGrid w:val="0"/>
        </w:rPr>
        <w:tab/>
        <w:t>(i)</w:t>
      </w:r>
      <w:r>
        <w:rPr>
          <w:snapToGrid w:val="0"/>
        </w:rPr>
        <w:tab/>
        <w:t>a default by the debtor; or</w:t>
      </w:r>
    </w:p>
    <w:p>
      <w:pPr>
        <w:pStyle w:val="Indenti"/>
        <w:spacing w:before="70"/>
        <w:rPr>
          <w:snapToGrid w:val="0"/>
        </w:rPr>
      </w:pPr>
      <w:r>
        <w:rPr>
          <w:snapToGrid w:val="0"/>
        </w:rPr>
        <w:tab/>
        <w:t>(ii)</w:t>
      </w:r>
      <w:r>
        <w:rPr>
          <w:snapToGrid w:val="0"/>
        </w:rPr>
        <w:tab/>
        <w:t>a failure by the debtor to observe provisions of the contract, being a failure that does not constitute a breach of the contract; or</w:t>
      </w:r>
    </w:p>
    <w:p>
      <w:pPr>
        <w:pStyle w:val="Indenti"/>
        <w:spacing w:before="70"/>
        <w:rPr>
          <w:snapToGrid w:val="0"/>
        </w:rPr>
      </w:pPr>
      <w:r>
        <w:rPr>
          <w:snapToGrid w:val="0"/>
        </w:rPr>
        <w:tab/>
        <w:t>(iii)</w:t>
      </w:r>
      <w:r>
        <w:rPr>
          <w:snapToGrid w:val="0"/>
        </w:rPr>
        <w:tab/>
        <w:t>the exercise of an option by the credit provider; or</w:t>
      </w:r>
    </w:p>
    <w:p>
      <w:pPr>
        <w:pStyle w:val="Indenti"/>
        <w:keepNext/>
        <w:spacing w:before="70"/>
        <w:rPr>
          <w:snapToGrid w:val="0"/>
        </w:rPr>
      </w:pPr>
      <w:r>
        <w:rPr>
          <w:snapToGrid w:val="0"/>
        </w:rPr>
        <w:tab/>
        <w:t>(iv)</w:t>
      </w:r>
      <w:r>
        <w:rPr>
          <w:snapToGrid w:val="0"/>
        </w:rPr>
        <w:tab/>
        <w:t>any other fact, act or thing,</w:t>
      </w:r>
    </w:p>
    <w:p>
      <w:pPr>
        <w:pStyle w:val="Indenta"/>
        <w:rPr>
          <w:snapToGrid w:val="0"/>
        </w:rPr>
      </w:pPr>
      <w:r>
        <w:rPr>
          <w:snapToGrid w:val="0"/>
        </w:rPr>
        <w:tab/>
      </w:r>
      <w:r>
        <w:rPr>
          <w:snapToGrid w:val="0"/>
        </w:rPr>
        <w:tab/>
        <w:t>by reason of which the whole or a part of the outstanding balance of the amount financed or of the amount owed has become due on a date earlier than the date on which it would have become due if the default, failure, exercise, fact, act or thing had not occurred or been done,</w:t>
      </w:r>
    </w:p>
    <w:p>
      <w:pPr>
        <w:pStyle w:val="Subsection"/>
        <w:rPr>
          <w:snapToGrid w:val="0"/>
        </w:rPr>
      </w:pPr>
      <w:r>
        <w:rPr>
          <w:snapToGrid w:val="0"/>
        </w:rPr>
        <w:tab/>
      </w:r>
      <w:r>
        <w:rPr>
          <w:snapToGrid w:val="0"/>
        </w:rPr>
        <w:tab/>
        <w:t>unless — </w:t>
      </w:r>
    </w:p>
    <w:p>
      <w:pPr>
        <w:pStyle w:val="Indenta"/>
        <w:rPr>
          <w:snapToGrid w:val="0"/>
        </w:rPr>
      </w:pPr>
      <w:r>
        <w:rPr>
          <w:snapToGrid w:val="0"/>
        </w:rPr>
        <w:tab/>
        <w:t>(c)</w:t>
      </w:r>
      <w:r>
        <w:rPr>
          <w:snapToGrid w:val="0"/>
        </w:rPr>
        <w:tab/>
        <w:t>the debtor is in default under the contract; and</w:t>
      </w:r>
    </w:p>
    <w:p>
      <w:pPr>
        <w:pStyle w:val="Indenta"/>
        <w:rPr>
          <w:snapToGrid w:val="0"/>
        </w:rPr>
      </w:pPr>
      <w:r>
        <w:rPr>
          <w:snapToGrid w:val="0"/>
        </w:rPr>
        <w:tab/>
        <w:t>(d)</w:t>
      </w:r>
      <w:r>
        <w:rPr>
          <w:snapToGrid w:val="0"/>
        </w:rPr>
        <w:tab/>
        <w:t>the credit provider has served on the debtor and, where there is a guarantor in respect of the contract, on the guarantor, a notice in accordance with subsection (3); and</w:t>
      </w:r>
    </w:p>
    <w:p>
      <w:pPr>
        <w:pStyle w:val="Indenta"/>
        <w:rPr>
          <w:snapToGrid w:val="0"/>
        </w:rPr>
      </w:pPr>
      <w:r>
        <w:rPr>
          <w:snapToGrid w:val="0"/>
        </w:rPr>
        <w:tab/>
        <w:t>(e)</w:t>
      </w:r>
      <w:r>
        <w:rPr>
          <w:snapToGrid w:val="0"/>
        </w:rPr>
        <w:tab/>
        <w:t>the notice referred to in paragraph (d) has not been complied with in accordance with subsection (4).</w:t>
      </w:r>
    </w:p>
    <w:p>
      <w:pPr>
        <w:pStyle w:val="Subsection"/>
        <w:spacing w:before="180"/>
        <w:rPr>
          <w:snapToGrid w:val="0"/>
        </w:rPr>
      </w:pPr>
      <w:r>
        <w:rPr>
          <w:snapToGrid w:val="0"/>
        </w:rPr>
        <w:tab/>
        <w:t>(2)</w:t>
      </w:r>
      <w:r>
        <w:rPr>
          <w:snapToGrid w:val="0"/>
        </w:rPr>
        <w:tab/>
        <w:t>A mortgagee shall not institute proceedings in respect of a matter arising under a regulated mortgage or exercise, or purport to exercise, a right under a regulated mortgage unless —</w:t>
      </w:r>
    </w:p>
    <w:p>
      <w:pPr>
        <w:pStyle w:val="Indenta"/>
        <w:rPr>
          <w:snapToGrid w:val="0"/>
        </w:rPr>
      </w:pPr>
      <w:r>
        <w:rPr>
          <w:snapToGrid w:val="0"/>
        </w:rPr>
        <w:tab/>
        <w:t>(a)</w:t>
      </w:r>
      <w:r>
        <w:rPr>
          <w:snapToGrid w:val="0"/>
        </w:rPr>
        <w:tab/>
        <w:t>the debtor under the regulated contract to which the mortgage relates is in default under the contract; and</w:t>
      </w:r>
    </w:p>
    <w:p>
      <w:pPr>
        <w:pStyle w:val="Indenta"/>
        <w:rPr>
          <w:snapToGrid w:val="0"/>
        </w:rPr>
      </w:pPr>
      <w:r>
        <w:rPr>
          <w:snapToGrid w:val="0"/>
        </w:rPr>
        <w:tab/>
        <w:t>(b)</w:t>
      </w:r>
      <w:r>
        <w:rPr>
          <w:snapToGrid w:val="0"/>
        </w:rPr>
        <w:tab/>
        <w:t>the mortgagee has served on the mortgagor and, where there is a guarantor in respect of the mortgage, on the guarantor, a notice in accordance with subsection (3); and</w:t>
      </w:r>
    </w:p>
    <w:p>
      <w:pPr>
        <w:pStyle w:val="Indenta"/>
        <w:rPr>
          <w:snapToGrid w:val="0"/>
        </w:rPr>
      </w:pPr>
      <w:r>
        <w:rPr>
          <w:snapToGrid w:val="0"/>
        </w:rPr>
        <w:tab/>
        <w:t>(c)</w:t>
      </w:r>
      <w:r>
        <w:rPr>
          <w:snapToGrid w:val="0"/>
        </w:rPr>
        <w:tab/>
        <w:t>the notice referred to in paragraph (b) has not been complied with in accordance with subsection (4).</w:t>
      </w:r>
    </w:p>
    <w:p>
      <w:pPr>
        <w:pStyle w:val="Subsection"/>
        <w:spacing w:before="180"/>
        <w:rPr>
          <w:snapToGrid w:val="0"/>
        </w:rPr>
      </w:pPr>
      <w:r>
        <w:rPr>
          <w:snapToGrid w:val="0"/>
        </w:rPr>
        <w:tab/>
        <w:t>(3)</w:t>
      </w:r>
      <w:r>
        <w:rPr>
          <w:snapToGrid w:val="0"/>
        </w:rPr>
        <w:tab/>
        <w:t>A notice referred to in subsection (1)(d) or (2)(b) is a notice —</w:t>
      </w:r>
    </w:p>
    <w:p>
      <w:pPr>
        <w:pStyle w:val="Indenta"/>
        <w:rPr>
          <w:snapToGrid w:val="0"/>
        </w:rPr>
      </w:pPr>
      <w:r>
        <w:rPr>
          <w:snapToGrid w:val="0"/>
        </w:rPr>
        <w:tab/>
        <w:t>(a)</w:t>
      </w:r>
      <w:r>
        <w:rPr>
          <w:snapToGrid w:val="0"/>
        </w:rPr>
        <w:tab/>
        <w:t>specifying the default, as the case may be — </w:t>
      </w:r>
    </w:p>
    <w:p>
      <w:pPr>
        <w:pStyle w:val="Indenti"/>
        <w:rPr>
          <w:snapToGrid w:val="0"/>
        </w:rPr>
      </w:pPr>
      <w:r>
        <w:rPr>
          <w:snapToGrid w:val="0"/>
        </w:rPr>
        <w:tab/>
        <w:t>(i)</w:t>
      </w:r>
      <w:r>
        <w:rPr>
          <w:snapToGrid w:val="0"/>
        </w:rPr>
        <w:tab/>
        <w:t>of the debtor under the regulated contract; or</w:t>
      </w:r>
    </w:p>
    <w:p>
      <w:pPr>
        <w:pStyle w:val="Indenti"/>
        <w:rPr>
          <w:snapToGrid w:val="0"/>
        </w:rPr>
      </w:pPr>
      <w:r>
        <w:rPr>
          <w:snapToGrid w:val="0"/>
        </w:rPr>
        <w:tab/>
        <w:t>(ii)</w:t>
      </w:r>
      <w:r>
        <w:rPr>
          <w:snapToGrid w:val="0"/>
        </w:rPr>
        <w:tab/>
        <w:t>of the debtor under the regulated contract to which the regulated mortgage relates;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stating the intention of the credit provider or mortgagee to exercise rights and remedies under the regulated contract or regulated mortgage unless, within a period of one month after service of the notice (or where a longer period is specified in the notice, that longer period) — </w:t>
      </w:r>
    </w:p>
    <w:p>
      <w:pPr>
        <w:pStyle w:val="Indenti"/>
        <w:rPr>
          <w:snapToGrid w:val="0"/>
        </w:rPr>
      </w:pPr>
      <w:r>
        <w:rPr>
          <w:snapToGrid w:val="0"/>
        </w:rPr>
        <w:tab/>
        <w:t>(i)</w:t>
      </w:r>
      <w:r>
        <w:rPr>
          <w:snapToGrid w:val="0"/>
        </w:rPr>
        <w:tab/>
        <w:t>the default is remedied (except in so far as the default relates to a requirement to do a thing at or before a certain time or within a certain period, or is a default in payment of an amount that became payable earlier than would have been the case if there had been no other default); and</w:t>
      </w:r>
    </w:p>
    <w:p>
      <w:pPr>
        <w:pStyle w:val="Indenti"/>
        <w:rPr>
          <w:snapToGrid w:val="0"/>
        </w:rPr>
      </w:pPr>
      <w:r>
        <w:rPr>
          <w:snapToGrid w:val="0"/>
        </w:rPr>
        <w:tab/>
        <w:t>(ii)</w:t>
      </w:r>
      <w:r>
        <w:rPr>
          <w:snapToGrid w:val="0"/>
        </w:rPr>
        <w:tab/>
        <w:t>the amounts that would be due to the credit provider under the contract if the default, failure, exercise, fact, act or thing had not occurred or been done, are paid; and</w:t>
      </w:r>
    </w:p>
    <w:p>
      <w:pPr>
        <w:pStyle w:val="Indenti"/>
        <w:rPr>
          <w:snapToGrid w:val="0"/>
        </w:rPr>
      </w:pPr>
      <w:r>
        <w:rPr>
          <w:snapToGrid w:val="0"/>
        </w:rPr>
        <w:tab/>
        <w:t>(iii)</w:t>
      </w:r>
      <w:r>
        <w:rPr>
          <w:snapToGrid w:val="0"/>
        </w:rPr>
        <w:tab/>
        <w:t>the enforcement expenses (if any) in relation to the exercise by the credit provider or mortgagee of any rights arising from the default of the debtor are paid;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stating, if the notice refers to payment of amounts due under the contract that increase until paid, that the amount so increase; and</w:t>
      </w:r>
    </w:p>
    <w:p>
      <w:pPr>
        <w:pStyle w:val="Indenta"/>
        <w:rPr>
          <w:snapToGrid w:val="0"/>
        </w:rPr>
      </w:pPr>
      <w:r>
        <w:rPr>
          <w:snapToGrid w:val="0"/>
        </w:rPr>
        <w:tab/>
        <w:t>(d)</w:t>
      </w:r>
      <w:r>
        <w:rPr>
          <w:snapToGrid w:val="0"/>
        </w:rPr>
        <w:tab/>
        <w:t>containing the prescribed information.</w:t>
      </w:r>
    </w:p>
    <w:p>
      <w:pPr>
        <w:pStyle w:val="Subsection"/>
        <w:rPr>
          <w:snapToGrid w:val="0"/>
        </w:rPr>
      </w:pPr>
      <w:r>
        <w:rPr>
          <w:snapToGrid w:val="0"/>
        </w:rPr>
        <w:tab/>
        <w:t>(4)</w:t>
      </w:r>
      <w:r>
        <w:rPr>
          <w:snapToGrid w:val="0"/>
        </w:rPr>
        <w:tab/>
        <w:t>The notice referred to in subsection (1)(d) or (2)(b) is complied with if within the period of one month after service of the notice (or where a longer period is specified in the notice, that longer period) the default is remedied to the extent referred to in subsection (3)(b)(i), the amounts referred to in subsection (3)(b)(ii) have been paid or tendered and the enforcement expenses referred to in subsection (3)(b)(iii</w:t>
      </w:r>
      <w:bookmarkStart w:id="219" w:name="RuleErr_29"/>
      <w:r>
        <w:rPr>
          <w:snapToGrid w:val="0"/>
        </w:rPr>
        <w:t>) (</w:t>
      </w:r>
      <w:bookmarkEnd w:id="219"/>
      <w:r>
        <w:rPr>
          <w:snapToGrid w:val="0"/>
        </w:rPr>
        <w:t>if any) have been paid.</w:t>
      </w:r>
    </w:p>
    <w:p>
      <w:pPr>
        <w:pStyle w:val="Subsection"/>
        <w:rPr>
          <w:snapToGrid w:val="0"/>
        </w:rPr>
      </w:pPr>
      <w:r>
        <w:rPr>
          <w:snapToGrid w:val="0"/>
        </w:rPr>
        <w:tab/>
        <w:t>(5)</w:t>
      </w:r>
      <w:r>
        <w:rPr>
          <w:snapToGrid w:val="0"/>
        </w:rPr>
        <w:tab/>
        <w:t>Where a mortgage secures payment of a debt or other pecuniary obligation or the performance of any other obligation under a regulated contract and secures payment of other moneys or the performance of any other obligation, subsection (2) does not apply to or in respect of the institution of proceedings, or the exercise, or purported exercise, of a right under the mortgage, arising otherwise than by reason of a default of the debtor under the regulated contract.</w:t>
      </w:r>
    </w:p>
    <w:p>
      <w:pPr>
        <w:pStyle w:val="Subsection"/>
        <w:rPr>
          <w:snapToGrid w:val="0"/>
        </w:rPr>
      </w:pPr>
      <w:r>
        <w:rPr>
          <w:snapToGrid w:val="0"/>
        </w:rPr>
        <w:tab/>
        <w:t>(6)</w:t>
      </w:r>
      <w:r>
        <w:rPr>
          <w:snapToGrid w:val="0"/>
        </w:rPr>
        <w:tab/>
        <w:t>Subsections (1) and (2) do not apply where — </w:t>
      </w:r>
    </w:p>
    <w:p>
      <w:pPr>
        <w:pStyle w:val="Indenta"/>
        <w:rPr>
          <w:snapToGrid w:val="0"/>
        </w:rPr>
      </w:pPr>
      <w:r>
        <w:rPr>
          <w:snapToGrid w:val="0"/>
        </w:rPr>
        <w:tab/>
        <w:t>(a)</w:t>
      </w:r>
      <w:r>
        <w:rPr>
          <w:snapToGrid w:val="0"/>
        </w:rPr>
        <w:tab/>
        <w:t>in relation to a regulated contract, the credit provider believes on reasonable grounds that he was induced by fraudulent misrepresentation on the part of the debtor to enter into the contract; or</w:t>
      </w:r>
    </w:p>
    <w:p>
      <w:pPr>
        <w:pStyle w:val="Indenta"/>
        <w:rPr>
          <w:snapToGrid w:val="0"/>
        </w:rPr>
      </w:pPr>
      <w:r>
        <w:rPr>
          <w:snapToGrid w:val="0"/>
        </w:rPr>
        <w:tab/>
        <w:t>(b)</w:t>
      </w:r>
      <w:r>
        <w:rPr>
          <w:snapToGrid w:val="0"/>
        </w:rPr>
        <w:tab/>
        <w:t>in relation to a regulated mortgage, the mortgagee believes on reasonable grounds — </w:t>
      </w:r>
    </w:p>
    <w:p>
      <w:pPr>
        <w:pStyle w:val="Indenti"/>
        <w:rPr>
          <w:snapToGrid w:val="0"/>
        </w:rPr>
      </w:pPr>
      <w:r>
        <w:rPr>
          <w:snapToGrid w:val="0"/>
        </w:rPr>
        <w:tab/>
        <w:t>(i)</w:t>
      </w:r>
      <w:r>
        <w:rPr>
          <w:snapToGrid w:val="0"/>
        </w:rPr>
        <w:tab/>
        <w:t>that he was induced by fraudulent misrepresentation on the part of the mortgagor to enter into the mortgage; or</w:t>
      </w:r>
    </w:p>
    <w:p>
      <w:pPr>
        <w:pStyle w:val="Indenti"/>
        <w:rPr>
          <w:snapToGrid w:val="0"/>
        </w:rPr>
      </w:pPr>
      <w:r>
        <w:rPr>
          <w:snapToGrid w:val="0"/>
        </w:rPr>
        <w:tab/>
        <w:t>(ii)</w:t>
      </w:r>
      <w:r>
        <w:rPr>
          <w:snapToGrid w:val="0"/>
        </w:rPr>
        <w:tab/>
        <w:t>in the case of the exercise of a right to take possession of goods, that the goods will be or have been removed, concealed, damaged or disposed of by the mortgagor in breach of the mortgage; or</w:t>
      </w:r>
    </w:p>
    <w:p>
      <w:pPr>
        <w:pStyle w:val="Indenti"/>
        <w:rPr>
          <w:snapToGrid w:val="0"/>
        </w:rPr>
      </w:pPr>
      <w:r>
        <w:rPr>
          <w:snapToGrid w:val="0"/>
        </w:rPr>
        <w:tab/>
        <w:t>(iii)</w:t>
      </w:r>
      <w:r>
        <w:rPr>
          <w:snapToGrid w:val="0"/>
        </w:rPr>
        <w:tab/>
        <w:t xml:space="preserve">in the case of the exercise of a right under the mortgage in respect of property other than goods, that the property has been, or will be, damaged or prejudiced by the mortgagor in breach of the mortgage;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the credit provider or mortgagee has, after making reasonable efforts to locate the debtor or mortgagor, been unable to do so. </w:t>
      </w:r>
    </w:p>
    <w:p>
      <w:pPr>
        <w:pStyle w:val="Subsection"/>
        <w:rPr>
          <w:snapToGrid w:val="0"/>
        </w:rPr>
      </w:pPr>
      <w:r>
        <w:rPr>
          <w:snapToGrid w:val="0"/>
        </w:rPr>
        <w:tab/>
        <w:t>(7)</w:t>
      </w:r>
      <w:r>
        <w:rPr>
          <w:snapToGrid w:val="0"/>
        </w:rPr>
        <w:tab/>
        <w:t>The onus of proving that, by reason of subsection (6), subsection (1) or (2) does not apply is on the credit provider or mortgagee.</w:t>
      </w:r>
    </w:p>
    <w:p>
      <w:pPr>
        <w:pStyle w:val="Subsection"/>
        <w:rPr>
          <w:snapToGrid w:val="0"/>
        </w:rPr>
      </w:pPr>
      <w:r>
        <w:rPr>
          <w:snapToGrid w:val="0"/>
        </w:rPr>
        <w:tab/>
        <w:t>(8)</w:t>
      </w:r>
      <w:r>
        <w:rPr>
          <w:snapToGrid w:val="0"/>
        </w:rPr>
        <w:tab/>
        <w:t>Where a credit provider or mortgagee fails to comply with subsection (1) or (2), as the case may be, a court may, on the application of the debtor or mortgagor, order the credit provider or mortgagee, as the case may be, to compensate the debtor or mortgagor for any loss suffered by him as a result of that failure.</w:t>
      </w:r>
    </w:p>
    <w:p>
      <w:pPr>
        <w:pStyle w:val="Penstart"/>
        <w:rPr>
          <w:snapToGrid w:val="0"/>
        </w:rPr>
      </w:pPr>
      <w:r>
        <w:rPr>
          <w:snapToGrid w:val="0"/>
        </w:rPr>
        <w:tab/>
        <w:t>Penalty: $2 000.</w:t>
      </w:r>
    </w:p>
    <w:p>
      <w:pPr>
        <w:pStyle w:val="Heading5"/>
        <w:spacing w:before="200"/>
        <w:rPr>
          <w:snapToGrid w:val="0"/>
        </w:rPr>
      </w:pPr>
      <w:bookmarkStart w:id="220" w:name="_Toc392496586"/>
      <w:r>
        <w:rPr>
          <w:rStyle w:val="CharSectno"/>
        </w:rPr>
        <w:t>108</w:t>
      </w:r>
      <w:r>
        <w:rPr>
          <w:snapToGrid w:val="0"/>
        </w:rPr>
        <w:t>.</w:t>
      </w:r>
      <w:r>
        <w:rPr>
          <w:snapToGrid w:val="0"/>
        </w:rPr>
        <w:tab/>
        <w:t>Proceedings prohibited if s. 107 notice complied with</w:t>
      </w:r>
      <w:bookmarkEnd w:id="220"/>
    </w:p>
    <w:p>
      <w:pPr>
        <w:pStyle w:val="Subsection"/>
        <w:spacing w:before="140"/>
        <w:rPr>
          <w:snapToGrid w:val="0"/>
        </w:rPr>
      </w:pPr>
      <w:r>
        <w:rPr>
          <w:snapToGrid w:val="0"/>
        </w:rPr>
        <w:tab/>
      </w:r>
      <w:r>
        <w:rPr>
          <w:snapToGrid w:val="0"/>
        </w:rPr>
        <w:tab/>
        <w:t>Where a credit provider or mortgagee serves a notice referred to in section 107 on a debtor in relation to a regulated contract or on a mortgagor in relation to a regulated mortgage and the notice is complied with in accordance with section 107(4), the credit provider or mortgagee shall not, in relation to the default specified in the notice, institute proceedings or exercise, or purport to exercise, a right under the contract or mortgage or a contract of guarantee that relates to the contract.</w:t>
      </w:r>
    </w:p>
    <w:p>
      <w:pPr>
        <w:pStyle w:val="Penstart"/>
        <w:rPr>
          <w:snapToGrid w:val="0"/>
        </w:rPr>
      </w:pPr>
      <w:r>
        <w:rPr>
          <w:snapToGrid w:val="0"/>
        </w:rPr>
        <w:tab/>
        <w:t>Penalty: $2 000.</w:t>
      </w:r>
    </w:p>
    <w:p>
      <w:pPr>
        <w:pStyle w:val="Heading5"/>
        <w:spacing w:before="200"/>
        <w:rPr>
          <w:snapToGrid w:val="0"/>
        </w:rPr>
      </w:pPr>
      <w:bookmarkStart w:id="221" w:name="_Toc392496587"/>
      <w:r>
        <w:rPr>
          <w:rStyle w:val="CharSectno"/>
        </w:rPr>
        <w:t>109</w:t>
      </w:r>
      <w:r>
        <w:rPr>
          <w:snapToGrid w:val="0"/>
        </w:rPr>
        <w:t>.</w:t>
      </w:r>
      <w:r>
        <w:rPr>
          <w:snapToGrid w:val="0"/>
        </w:rPr>
        <w:tab/>
        <w:t>Limit on amount recoverable</w:t>
      </w:r>
      <w:bookmarkEnd w:id="221"/>
    </w:p>
    <w:p>
      <w:pPr>
        <w:pStyle w:val="Subsection"/>
        <w:spacing w:before="120"/>
        <w:rPr>
          <w:snapToGrid w:val="0"/>
        </w:rPr>
      </w:pPr>
      <w:r>
        <w:rPr>
          <w:snapToGrid w:val="0"/>
        </w:rPr>
        <w:tab/>
      </w:r>
      <w:r>
        <w:rPr>
          <w:snapToGrid w:val="0"/>
        </w:rPr>
        <w:tab/>
        <w:t>A credit provider who institutes proceedings or exercises a right referred to in section 107(1) in respect of a regulated contract is not entitled to recover from the debtor an amount that exceeds the net balance due to the credit provider at the time of recovery.</w:t>
      </w:r>
    </w:p>
    <w:p>
      <w:pPr>
        <w:pStyle w:val="Heading5"/>
        <w:spacing w:before="200"/>
        <w:rPr>
          <w:snapToGrid w:val="0"/>
        </w:rPr>
      </w:pPr>
      <w:bookmarkStart w:id="222" w:name="_Toc392496588"/>
      <w:r>
        <w:rPr>
          <w:rStyle w:val="CharSectno"/>
        </w:rPr>
        <w:t>110</w:t>
      </w:r>
      <w:r>
        <w:rPr>
          <w:snapToGrid w:val="0"/>
        </w:rPr>
        <w:t>.</w:t>
      </w:r>
      <w:r>
        <w:rPr>
          <w:snapToGrid w:val="0"/>
        </w:rPr>
        <w:tab/>
        <w:t>Mortgagee’s powers, restrictions on exercising</w:t>
      </w:r>
      <w:bookmarkEnd w:id="222"/>
    </w:p>
    <w:p>
      <w:pPr>
        <w:pStyle w:val="Subsection"/>
        <w:spacing w:before="120"/>
        <w:rPr>
          <w:snapToGrid w:val="0"/>
        </w:rPr>
      </w:pPr>
      <w:r>
        <w:rPr>
          <w:snapToGrid w:val="0"/>
        </w:rPr>
        <w:tab/>
        <w:t>(1)</w:t>
      </w:r>
      <w:r>
        <w:rPr>
          <w:snapToGrid w:val="0"/>
        </w:rPr>
        <w:tab/>
        <w:t>A mortgagee shall not, except with the consent of the Tribunal, take possession (otherwise than under section 106) of goods subject to a regulated mortgage or otherwise exercise his powers under such a mortgage in relation to property other than if the outstanding balance of the amount financed under the contract to which the mortgage relates is less than one</w:t>
      </w:r>
      <w:r>
        <w:rPr>
          <w:snapToGrid w:val="0"/>
        </w:rPr>
        <w:noBreakHyphen/>
        <w:t>quarter of the total amount financed.</w:t>
      </w:r>
    </w:p>
    <w:p>
      <w:pPr>
        <w:pStyle w:val="Penstart"/>
        <w:rPr>
          <w:snapToGrid w:val="0"/>
        </w:rPr>
      </w:pPr>
      <w:r>
        <w:rPr>
          <w:snapToGrid w:val="0"/>
        </w:rPr>
        <w:tab/>
        <w:t>Penalty: $2 000.</w:t>
      </w:r>
    </w:p>
    <w:p>
      <w:pPr>
        <w:pStyle w:val="Subsection"/>
        <w:spacing w:before="140"/>
        <w:rPr>
          <w:snapToGrid w:val="0"/>
        </w:rPr>
      </w:pPr>
      <w:r>
        <w:rPr>
          <w:snapToGrid w:val="0"/>
        </w:rPr>
        <w:tab/>
        <w:t>(2)</w:t>
      </w:r>
      <w:r>
        <w:rPr>
          <w:snapToGrid w:val="0"/>
        </w:rPr>
        <w:tab/>
        <w:t>Subsection (1) does not apply where the mortgagee believes on reasonable grounds that the mortgagor has removed, concealed or damaged the property or attempted to remove, conceal, damage, sell, dispose of or part with possession of the property.</w:t>
      </w:r>
    </w:p>
    <w:p>
      <w:pPr>
        <w:pStyle w:val="Subsection"/>
        <w:rPr>
          <w:snapToGrid w:val="0"/>
        </w:rPr>
      </w:pPr>
      <w:r>
        <w:rPr>
          <w:snapToGrid w:val="0"/>
        </w:rPr>
        <w:tab/>
        <w:t>(3)</w:t>
      </w:r>
      <w:r>
        <w:rPr>
          <w:snapToGrid w:val="0"/>
        </w:rPr>
        <w:tab/>
        <w:t>The onus of proving that, by reason of subsection (2), subsection (1) does not apply, is on the mortgagee.</w:t>
      </w:r>
    </w:p>
    <w:p>
      <w:pPr>
        <w:pStyle w:val="Heading5"/>
        <w:spacing w:before="240"/>
        <w:rPr>
          <w:snapToGrid w:val="0"/>
        </w:rPr>
      </w:pPr>
      <w:bookmarkStart w:id="223" w:name="_Toc392496589"/>
      <w:r>
        <w:rPr>
          <w:rStyle w:val="CharSectno"/>
        </w:rPr>
        <w:t>111</w:t>
      </w:r>
      <w:r>
        <w:rPr>
          <w:snapToGrid w:val="0"/>
        </w:rPr>
        <w:t>.</w:t>
      </w:r>
      <w:r>
        <w:rPr>
          <w:snapToGrid w:val="0"/>
        </w:rPr>
        <w:tab/>
        <w:t>Court may order delivery of goods to mortgagee</w:t>
      </w:r>
      <w:bookmarkEnd w:id="223"/>
    </w:p>
    <w:p>
      <w:pPr>
        <w:pStyle w:val="Subsection"/>
        <w:rPr>
          <w:snapToGrid w:val="0"/>
        </w:rPr>
      </w:pPr>
      <w:r>
        <w:rPr>
          <w:snapToGrid w:val="0"/>
        </w:rPr>
        <w:tab/>
        <w:t>(1)</w:t>
      </w:r>
      <w:r>
        <w:rPr>
          <w:snapToGrid w:val="0"/>
        </w:rPr>
        <w:tab/>
        <w:t>A court may, on the application of the mortgagee under a regulated mortgage and upon being satisfied — </w:t>
      </w:r>
    </w:p>
    <w:p>
      <w:pPr>
        <w:pStyle w:val="Indenta"/>
        <w:spacing w:before="90"/>
        <w:rPr>
          <w:snapToGrid w:val="0"/>
        </w:rPr>
      </w:pPr>
      <w:r>
        <w:rPr>
          <w:snapToGrid w:val="0"/>
        </w:rPr>
        <w:tab/>
        <w:t>(a)</w:t>
      </w:r>
      <w:r>
        <w:rPr>
          <w:snapToGrid w:val="0"/>
        </w:rPr>
        <w:tab/>
        <w:t>that the mortgagee is entitled to take possession of goods subject to the mortgage; and</w:t>
      </w:r>
    </w:p>
    <w:p>
      <w:pPr>
        <w:pStyle w:val="Indenta"/>
        <w:spacing w:before="90"/>
        <w:rPr>
          <w:snapToGrid w:val="0"/>
        </w:rPr>
      </w:pPr>
      <w:r>
        <w:rPr>
          <w:snapToGrid w:val="0"/>
        </w:rPr>
        <w:tab/>
        <w:t>(b)</w:t>
      </w:r>
      <w:r>
        <w:rPr>
          <w:snapToGrid w:val="0"/>
        </w:rPr>
        <w:tab/>
        <w:t>that the mortgagor or another person in possession of the goods has without just cause refused or failed to deliver the goods after service of a notice under section 107,</w:t>
      </w:r>
    </w:p>
    <w:p>
      <w:pPr>
        <w:pStyle w:val="Subsection"/>
        <w:rPr>
          <w:snapToGrid w:val="0"/>
        </w:rPr>
      </w:pPr>
      <w:r>
        <w:rPr>
          <w:snapToGrid w:val="0"/>
        </w:rPr>
        <w:tab/>
      </w:r>
      <w:r>
        <w:rPr>
          <w:snapToGrid w:val="0"/>
        </w:rPr>
        <w:tab/>
        <w:t>order the mortgagor or other person in possession of the goods to deliver the goods to the mortgagee at or before a time specified in the order at a place so specified.</w:t>
      </w:r>
    </w:p>
    <w:p>
      <w:pPr>
        <w:pStyle w:val="Subsection"/>
        <w:rPr>
          <w:snapToGrid w:val="0"/>
        </w:rPr>
      </w:pPr>
      <w:r>
        <w:rPr>
          <w:snapToGrid w:val="0"/>
        </w:rPr>
        <w:tab/>
        <w:t>(2)</w:t>
      </w:r>
      <w:r>
        <w:rPr>
          <w:snapToGrid w:val="0"/>
        </w:rPr>
        <w:tab/>
        <w:t>A person to whom an order made under subsection (1) applies shall comply with the order.</w:t>
      </w:r>
    </w:p>
    <w:p>
      <w:pPr>
        <w:pStyle w:val="Penstart"/>
        <w:rPr>
          <w:snapToGrid w:val="0"/>
        </w:rPr>
      </w:pPr>
      <w:r>
        <w:rPr>
          <w:snapToGrid w:val="0"/>
        </w:rPr>
        <w:tab/>
        <w:t>Penalty: $1 000.</w:t>
      </w:r>
    </w:p>
    <w:p>
      <w:pPr>
        <w:pStyle w:val="Heading5"/>
        <w:spacing w:before="240"/>
        <w:rPr>
          <w:snapToGrid w:val="0"/>
        </w:rPr>
      </w:pPr>
      <w:bookmarkStart w:id="224" w:name="_Toc392496590"/>
      <w:r>
        <w:rPr>
          <w:rStyle w:val="CharSectno"/>
        </w:rPr>
        <w:t>112</w:t>
      </w:r>
      <w:r>
        <w:rPr>
          <w:snapToGrid w:val="0"/>
        </w:rPr>
        <w:t>.</w:t>
      </w:r>
      <w:r>
        <w:rPr>
          <w:snapToGrid w:val="0"/>
        </w:rPr>
        <w:tab/>
        <w:t>Mortgagee in possession of goods, restrictions on power to sell etc.</w:t>
      </w:r>
      <w:bookmarkEnd w:id="224"/>
    </w:p>
    <w:p>
      <w:pPr>
        <w:pStyle w:val="Subsection"/>
        <w:rPr>
          <w:snapToGrid w:val="0"/>
        </w:rPr>
      </w:pPr>
      <w:r>
        <w:rPr>
          <w:snapToGrid w:val="0"/>
        </w:rPr>
        <w:tab/>
        <w:t>(1)</w:t>
      </w:r>
      <w:r>
        <w:rPr>
          <w:snapToGrid w:val="0"/>
        </w:rPr>
        <w:tab/>
        <w:t>Where the mortgagee takes possession (otherwise than under section 106) of goods subject to a regulated mortgage — </w:t>
      </w:r>
    </w:p>
    <w:p>
      <w:pPr>
        <w:pStyle w:val="Indenta"/>
        <w:spacing w:before="90"/>
        <w:rPr>
          <w:snapToGrid w:val="0"/>
        </w:rPr>
      </w:pPr>
      <w:r>
        <w:rPr>
          <w:snapToGrid w:val="0"/>
        </w:rPr>
        <w:tab/>
        <w:t>(a)</w:t>
      </w:r>
      <w:r>
        <w:rPr>
          <w:snapToGrid w:val="0"/>
        </w:rPr>
        <w:tab/>
        <w:t>he shall not, without the consent in writing of the mortgagor given without inducement by the mortgagee, or the authority of a court, sell or otherwise dispose of or part with possession of the goods, or any of the goods, until the expiration of 21 days after the date of service on the mortgagor of a notice in the form prescribed for the purposes</w:t>
      </w:r>
      <w:bookmarkStart w:id="225" w:name="RuleErr_64"/>
      <w:r>
        <w:rPr>
          <w:snapToGrid w:val="0"/>
        </w:rPr>
        <w:t xml:space="preserve"> of this section</w:t>
      </w:r>
      <w:bookmarkEnd w:id="225"/>
      <w:r>
        <w:rPr>
          <w:snapToGrid w:val="0"/>
        </w:rPr>
        <w:t> relating to rights of the mortgagor in relation to the goods and specifying the estimated value of the goods; and</w:t>
      </w:r>
    </w:p>
    <w:p>
      <w:pPr>
        <w:pStyle w:val="Indenta"/>
        <w:spacing w:before="90"/>
        <w:rPr>
          <w:snapToGrid w:val="0"/>
        </w:rPr>
      </w:pPr>
      <w:r>
        <w:rPr>
          <w:snapToGrid w:val="0"/>
        </w:rPr>
        <w:tab/>
        <w:t>(b)</w:t>
      </w:r>
      <w:r>
        <w:rPr>
          <w:snapToGrid w:val="0"/>
        </w:rPr>
        <w:tab/>
        <w:t>where the mortgagor or the Commissioner has made application to a court in relation to the taking of possession of goods by the mortgagee or where the Commissioner has referred to the Tribunal an application by the mortgagor for a variation under section 74(3) or a postponement under section 116(4), the mortgagee shall not sell or otherwise dispose of or part with the possession of the goods or any of the goods — </w:t>
      </w:r>
    </w:p>
    <w:p>
      <w:pPr>
        <w:pStyle w:val="Indenti"/>
        <w:rPr>
          <w:snapToGrid w:val="0"/>
        </w:rPr>
      </w:pPr>
      <w:r>
        <w:rPr>
          <w:snapToGrid w:val="0"/>
        </w:rPr>
        <w:tab/>
        <w:t>(i)</w:t>
      </w:r>
      <w:r>
        <w:rPr>
          <w:snapToGrid w:val="0"/>
        </w:rPr>
        <w:tab/>
        <w:t>before the court, or as the case may be, the Tribunal, has determined the matter; or</w:t>
      </w:r>
    </w:p>
    <w:p>
      <w:pPr>
        <w:pStyle w:val="Indenti"/>
        <w:rPr>
          <w:snapToGrid w:val="0"/>
        </w:rPr>
      </w:pPr>
      <w:r>
        <w:rPr>
          <w:snapToGrid w:val="0"/>
        </w:rPr>
        <w:tab/>
        <w:t>(ii)</w:t>
      </w:r>
      <w:r>
        <w:rPr>
          <w:snapToGrid w:val="0"/>
        </w:rPr>
        <w:tab/>
        <w:t>in contravention of a determination by the court or, as the case may be, the Tribunal; or</w:t>
      </w:r>
    </w:p>
    <w:p>
      <w:pPr>
        <w:pStyle w:val="Indenti"/>
        <w:rPr>
          <w:snapToGrid w:val="0"/>
        </w:rPr>
      </w:pPr>
      <w:r>
        <w:rPr>
          <w:snapToGrid w:val="0"/>
        </w:rPr>
        <w:tab/>
        <w:t>(iii)</w:t>
      </w:r>
      <w:r>
        <w:rPr>
          <w:snapToGrid w:val="0"/>
        </w:rPr>
        <w:tab/>
        <w:t>where a determination of the court or the Tribunal is made against which an appeal may lie — until the time within which an appeal may be made has expired and an appeal has not been made or, where an appeal is made, until the appeal is withdrawn or has been determined in favour of the mortgagee.</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Subject to section 114, a mortgagee who (otherwise than under section 106) takes possession of goods subject to a regulated mortgage shall, if the mortgagor requires him so to do by notice in writing served on the mortgagee before he sells or otherwise disposes of or parts with possession of the goods, offer the goods for sale to a person introduced by the mortgagor — </w:t>
      </w:r>
    </w:p>
    <w:p>
      <w:pPr>
        <w:pStyle w:val="Indenta"/>
        <w:rPr>
          <w:snapToGrid w:val="0"/>
        </w:rPr>
      </w:pPr>
      <w:r>
        <w:rPr>
          <w:snapToGrid w:val="0"/>
        </w:rPr>
        <w:tab/>
        <w:t>(a)</w:t>
      </w:r>
      <w:r>
        <w:rPr>
          <w:snapToGrid w:val="0"/>
        </w:rPr>
        <w:tab/>
        <w:t>except as provided by paragraph (b) — for an amount equal to the estimated value specified in the notice under subsection (1)(a); or</w:t>
      </w:r>
    </w:p>
    <w:p>
      <w:pPr>
        <w:pStyle w:val="Indenta"/>
        <w:rPr>
          <w:snapToGrid w:val="0"/>
        </w:rPr>
      </w:pPr>
      <w:r>
        <w:rPr>
          <w:snapToGrid w:val="0"/>
        </w:rPr>
        <w:tab/>
        <w:t>(b)</w:t>
      </w:r>
      <w:r>
        <w:rPr>
          <w:snapToGrid w:val="0"/>
        </w:rPr>
        <w:tab/>
        <w:t>where the mortgagee claims to be able to sell the goods for a specified amount that is greater than the amount referred to in paragraph (a) — for that specified greater amount.</w:t>
      </w:r>
    </w:p>
    <w:p>
      <w:pPr>
        <w:pStyle w:val="Penstart"/>
        <w:rPr>
          <w:snapToGrid w:val="0"/>
        </w:rPr>
      </w:pPr>
      <w:r>
        <w:rPr>
          <w:snapToGrid w:val="0"/>
        </w:rPr>
        <w:tab/>
        <w:t>Penalty: $1 000.</w:t>
      </w:r>
    </w:p>
    <w:p>
      <w:pPr>
        <w:pStyle w:val="Heading5"/>
        <w:rPr>
          <w:snapToGrid w:val="0"/>
        </w:rPr>
      </w:pPr>
      <w:bookmarkStart w:id="226" w:name="_Toc392496591"/>
      <w:r>
        <w:rPr>
          <w:rStyle w:val="CharSectno"/>
        </w:rPr>
        <w:t>113</w:t>
      </w:r>
      <w:r>
        <w:rPr>
          <w:snapToGrid w:val="0"/>
        </w:rPr>
        <w:t>.</w:t>
      </w:r>
      <w:r>
        <w:rPr>
          <w:snapToGrid w:val="0"/>
        </w:rPr>
        <w:tab/>
        <w:t>Mortgagor’s right to redeem goods in mortgagee’s possession</w:t>
      </w:r>
      <w:bookmarkEnd w:id="226"/>
    </w:p>
    <w:p>
      <w:pPr>
        <w:pStyle w:val="Subsection"/>
        <w:rPr>
          <w:snapToGrid w:val="0"/>
        </w:rPr>
      </w:pPr>
      <w:r>
        <w:rPr>
          <w:snapToGrid w:val="0"/>
        </w:rPr>
        <w:tab/>
        <w:t>(1)</w:t>
      </w:r>
      <w:r>
        <w:rPr>
          <w:snapToGrid w:val="0"/>
        </w:rPr>
        <w:tab/>
        <w:t>Where a mortgagee takes possession of goods subject to a regulated mortgage, the mortgagor may redeem the goods by discharging his obligations under the mortgage in accordance with subsection (2).</w:t>
      </w:r>
    </w:p>
    <w:p>
      <w:pPr>
        <w:pStyle w:val="Subsection"/>
        <w:rPr>
          <w:snapToGrid w:val="0"/>
        </w:rPr>
      </w:pPr>
      <w:r>
        <w:rPr>
          <w:snapToGrid w:val="0"/>
        </w:rPr>
        <w:tab/>
        <w:t>(2)</w:t>
      </w:r>
      <w:r>
        <w:rPr>
          <w:snapToGrid w:val="0"/>
        </w:rPr>
        <w:tab/>
        <w:t>A mortgagor may exercise his right under subsection (1) to redeem goods subject to a mortgage by paying or tendering at any time before foreclosure or sale by the mortgagee</w:t>
      </w:r>
    </w:p>
    <w:p>
      <w:pPr>
        <w:pStyle w:val="Indenta"/>
        <w:rPr>
          <w:snapToGrid w:val="0"/>
        </w:rPr>
      </w:pPr>
      <w:r>
        <w:rPr>
          <w:snapToGrid w:val="0"/>
        </w:rPr>
        <w:tab/>
        <w:t>(a)</w:t>
      </w:r>
      <w:r>
        <w:rPr>
          <w:snapToGrid w:val="0"/>
        </w:rPr>
        <w:tab/>
        <w:t>where the mortgage relates to one or more regulated contracts — the net balance within the meaning of section 103 due to the credit provider under each contract at the time of payment or tender; and</w:t>
      </w:r>
    </w:p>
    <w:p>
      <w:pPr>
        <w:pStyle w:val="Indenta"/>
        <w:rPr>
          <w:snapToGrid w:val="0"/>
        </w:rPr>
      </w:pPr>
      <w:r>
        <w:rPr>
          <w:snapToGrid w:val="0"/>
        </w:rPr>
        <w:tab/>
        <w:t>(b)</w:t>
      </w:r>
      <w:r>
        <w:rPr>
          <w:snapToGrid w:val="0"/>
        </w:rPr>
        <w:tab/>
        <w:t>where the mortgage secures payment to a person of a debt or other pecuniary obligation arising otherwise than under a regulated contract, the amount payable to that person in respect of that debt or obligation at the time of payment or tender,</w:t>
      </w:r>
    </w:p>
    <w:p>
      <w:pPr>
        <w:pStyle w:val="Subsection"/>
        <w:rPr>
          <w:snapToGrid w:val="0"/>
        </w:rPr>
      </w:pPr>
      <w:r>
        <w:rPr>
          <w:snapToGrid w:val="0"/>
        </w:rPr>
        <w:tab/>
      </w:r>
      <w:r>
        <w:rPr>
          <w:snapToGrid w:val="0"/>
        </w:rPr>
        <w:tab/>
        <w:t>or the amount payable under and secured by the mortgage, whichever is the lesser, at the time of payment or tender.</w:t>
      </w:r>
    </w:p>
    <w:p>
      <w:pPr>
        <w:pStyle w:val="Subsection"/>
        <w:rPr>
          <w:snapToGrid w:val="0"/>
        </w:rPr>
      </w:pPr>
      <w:r>
        <w:rPr>
          <w:snapToGrid w:val="0"/>
        </w:rPr>
        <w:tab/>
        <w:t>(3)</w:t>
      </w:r>
      <w:r>
        <w:rPr>
          <w:snapToGrid w:val="0"/>
        </w:rPr>
        <w:tab/>
        <w:t>Where a mortgagee takes possession of goods subject to a regulated mortgage and, at any time before foreclosure or sale by the mortgagee — </w:t>
      </w:r>
    </w:p>
    <w:p>
      <w:pPr>
        <w:pStyle w:val="Indenta"/>
        <w:rPr>
          <w:snapToGrid w:val="0"/>
        </w:rPr>
      </w:pPr>
      <w:r>
        <w:rPr>
          <w:snapToGrid w:val="0"/>
        </w:rPr>
        <w:tab/>
        <w:t>(a)</w:t>
      </w:r>
      <w:r>
        <w:rPr>
          <w:snapToGrid w:val="0"/>
        </w:rPr>
        <w:tab/>
        <w:t>where the mortgage relates to one or more regulated contracts under which the debtor is in default — </w:t>
      </w:r>
    </w:p>
    <w:p>
      <w:pPr>
        <w:pStyle w:val="Indenti"/>
        <w:rPr>
          <w:snapToGrid w:val="0"/>
        </w:rPr>
      </w:pPr>
      <w:r>
        <w:rPr>
          <w:snapToGrid w:val="0"/>
        </w:rPr>
        <w:tab/>
        <w:t>(i)</w:t>
      </w:r>
      <w:r>
        <w:rPr>
          <w:snapToGrid w:val="0"/>
        </w:rPr>
        <w:tab/>
        <w:t>the default under each such contract is remedied; and</w:t>
      </w:r>
    </w:p>
    <w:p>
      <w:pPr>
        <w:pStyle w:val="Indenti"/>
        <w:rPr>
          <w:snapToGrid w:val="0"/>
        </w:rPr>
      </w:pPr>
      <w:r>
        <w:rPr>
          <w:snapToGrid w:val="0"/>
        </w:rPr>
        <w:tab/>
        <w:t>(ii)</w:t>
      </w:r>
      <w:r>
        <w:rPr>
          <w:snapToGrid w:val="0"/>
        </w:rPr>
        <w:tab/>
        <w:t>the amounts that would be due to the credit provider under each such contract if the default had not occurred, are paid; and</w:t>
      </w:r>
    </w:p>
    <w:p>
      <w:pPr>
        <w:pStyle w:val="Indenti"/>
        <w:rPr>
          <w:snapToGrid w:val="0"/>
        </w:rPr>
      </w:pPr>
      <w:r>
        <w:rPr>
          <w:snapToGrid w:val="0"/>
        </w:rPr>
        <w:tab/>
        <w:t>(iii)</w:t>
      </w:r>
      <w:r>
        <w:rPr>
          <w:snapToGrid w:val="0"/>
        </w:rPr>
        <w:tab/>
        <w:t xml:space="preserve">the enforcement expenses (if any) in relation to the exercise of the right to take possession of the goods are paid;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mortgage secures payment to a person of a debt or other pecuniary obligation arising otherwise than under a regulated contract, the amounts payable to that person in respect of that debt or obligation at the time of payment, are paid,</w:t>
      </w:r>
    </w:p>
    <w:p>
      <w:pPr>
        <w:pStyle w:val="Subsection"/>
        <w:spacing w:before="140"/>
        <w:rPr>
          <w:snapToGrid w:val="0"/>
        </w:rPr>
      </w:pPr>
      <w:r>
        <w:rPr>
          <w:snapToGrid w:val="0"/>
        </w:rPr>
        <w:tab/>
      </w:r>
      <w:r>
        <w:rPr>
          <w:snapToGrid w:val="0"/>
        </w:rPr>
        <w:tab/>
        <w:t>the mortgagee shall forthwith return the goods to the mortgagor.</w:t>
      </w:r>
    </w:p>
    <w:p>
      <w:pPr>
        <w:pStyle w:val="Subsection"/>
        <w:spacing w:before="140"/>
        <w:rPr>
          <w:snapToGrid w:val="0"/>
        </w:rPr>
      </w:pPr>
      <w:r>
        <w:rPr>
          <w:snapToGrid w:val="0"/>
        </w:rPr>
        <w:tab/>
        <w:t>(4)</w:t>
      </w:r>
      <w:r>
        <w:rPr>
          <w:snapToGrid w:val="0"/>
        </w:rPr>
        <w:tab/>
        <w:t>Where a mortgagee returns goods to a mortgagor by reason of his compliance with subsection (3) — </w:t>
      </w:r>
    </w:p>
    <w:p>
      <w:pPr>
        <w:pStyle w:val="Indenta"/>
        <w:rPr>
          <w:snapToGrid w:val="0"/>
        </w:rPr>
      </w:pPr>
      <w:r>
        <w:rPr>
          <w:snapToGrid w:val="0"/>
        </w:rPr>
        <w:tab/>
        <w:t>(a)</w:t>
      </w:r>
      <w:r>
        <w:rPr>
          <w:snapToGrid w:val="0"/>
        </w:rPr>
        <w:tab/>
        <w:t>the goods are received and held by the mortgagor subject to the mortgage; and</w:t>
      </w:r>
    </w:p>
    <w:p>
      <w:pPr>
        <w:pStyle w:val="Indenta"/>
        <w:rPr>
          <w:snapToGrid w:val="0"/>
        </w:rPr>
      </w:pPr>
      <w:r>
        <w:rPr>
          <w:snapToGrid w:val="0"/>
        </w:rPr>
        <w:tab/>
        <w:t>(b)</w:t>
      </w:r>
      <w:r>
        <w:rPr>
          <w:snapToGrid w:val="0"/>
        </w:rPr>
        <w:tab/>
        <w:t>the mortgage and any contracts to which it relates continue in force as if the mortgagee’s right to take possession of the goods had not arisen and had not been exercised.</w:t>
      </w:r>
    </w:p>
    <w:p>
      <w:pPr>
        <w:pStyle w:val="Subsection"/>
        <w:spacing w:before="140"/>
        <w:rPr>
          <w:snapToGrid w:val="0"/>
        </w:rPr>
      </w:pPr>
      <w:r>
        <w:rPr>
          <w:snapToGrid w:val="0"/>
        </w:rPr>
        <w:tab/>
        <w:t>(5)</w:t>
      </w:r>
      <w:r>
        <w:rPr>
          <w:snapToGrid w:val="0"/>
        </w:rPr>
        <w:tab/>
        <w:t xml:space="preserve">In subsection (3)(a), </w:t>
      </w:r>
      <w:r>
        <w:t xml:space="preserve">the </w:t>
      </w:r>
      <w:r>
        <w:rPr>
          <w:rStyle w:val="CharDefText"/>
        </w:rPr>
        <w:t>default</w:t>
      </w:r>
      <w:r>
        <w:rPr>
          <w:snapToGrid w:val="0"/>
        </w:rPr>
        <w:t xml:space="preserve"> does not include — </w:t>
      </w:r>
    </w:p>
    <w:p>
      <w:pPr>
        <w:pStyle w:val="Indenta"/>
        <w:rPr>
          <w:snapToGrid w:val="0"/>
        </w:rPr>
      </w:pPr>
      <w:r>
        <w:rPr>
          <w:snapToGrid w:val="0"/>
        </w:rPr>
        <w:tab/>
        <w:t>(a)</w:t>
      </w:r>
      <w:r>
        <w:rPr>
          <w:snapToGrid w:val="0"/>
        </w:rPr>
        <w:tab/>
        <w:t>a default in observance of the time at or within which a thing is required to be done; or</w:t>
      </w:r>
    </w:p>
    <w:p>
      <w:pPr>
        <w:pStyle w:val="Indenta"/>
        <w:rPr>
          <w:snapToGrid w:val="0"/>
        </w:rPr>
      </w:pPr>
      <w:r>
        <w:rPr>
          <w:snapToGrid w:val="0"/>
        </w:rPr>
        <w:tab/>
        <w:t>(b)</w:t>
      </w:r>
      <w:r>
        <w:rPr>
          <w:snapToGrid w:val="0"/>
        </w:rPr>
        <w:tab/>
        <w:t>a default in payment of an amount that became payable earlier than would have been the case if there had been no other default.</w:t>
      </w:r>
    </w:p>
    <w:p>
      <w:pPr>
        <w:pStyle w:val="Heading5"/>
        <w:rPr>
          <w:snapToGrid w:val="0"/>
        </w:rPr>
      </w:pPr>
      <w:bookmarkStart w:id="227" w:name="_Toc392496592"/>
      <w:r>
        <w:rPr>
          <w:rStyle w:val="CharSectno"/>
        </w:rPr>
        <w:t>114</w:t>
      </w:r>
      <w:r>
        <w:rPr>
          <w:snapToGrid w:val="0"/>
        </w:rPr>
        <w:t>.</w:t>
      </w:r>
      <w:r>
        <w:rPr>
          <w:snapToGrid w:val="0"/>
        </w:rPr>
        <w:tab/>
        <w:t>Sale of goods by mortgagee, application of proceeds etc.</w:t>
      </w:r>
      <w:bookmarkEnd w:id="227"/>
    </w:p>
    <w:p>
      <w:pPr>
        <w:pStyle w:val="Subsection"/>
        <w:spacing w:before="140"/>
        <w:rPr>
          <w:snapToGrid w:val="0"/>
        </w:rPr>
      </w:pPr>
      <w:r>
        <w:rPr>
          <w:snapToGrid w:val="0"/>
        </w:rPr>
        <w:tab/>
        <w:t>(1)</w:t>
      </w:r>
      <w:r>
        <w:rPr>
          <w:snapToGrid w:val="0"/>
        </w:rPr>
        <w:tab/>
        <w:t>A mortgagee exercises a power of sale in accordance with this subsection if he exercises it — </w:t>
      </w:r>
    </w:p>
    <w:p>
      <w:pPr>
        <w:pStyle w:val="Indenta"/>
        <w:rPr>
          <w:snapToGrid w:val="0"/>
        </w:rPr>
      </w:pPr>
      <w:r>
        <w:rPr>
          <w:snapToGrid w:val="0"/>
        </w:rPr>
        <w:tab/>
        <w:t>(a)</w:t>
      </w:r>
      <w:r>
        <w:rPr>
          <w:snapToGrid w:val="0"/>
        </w:rPr>
        <w:tab/>
        <w:t>as soon after he became entitled to exercise it as is reasonable and practicable in the circumstances; and</w:t>
      </w:r>
    </w:p>
    <w:p>
      <w:pPr>
        <w:pStyle w:val="Indenta"/>
        <w:rPr>
          <w:snapToGrid w:val="0"/>
        </w:rPr>
      </w:pPr>
      <w:r>
        <w:rPr>
          <w:snapToGrid w:val="0"/>
        </w:rPr>
        <w:tab/>
        <w:t>(b)</w:t>
      </w:r>
      <w:r>
        <w:rPr>
          <w:snapToGrid w:val="0"/>
        </w:rPr>
        <w:tab/>
        <w:t>so as to receive the best price reasonably obtainable.</w:t>
      </w:r>
    </w:p>
    <w:p>
      <w:pPr>
        <w:pStyle w:val="Subsection"/>
        <w:spacing w:before="140"/>
        <w:rPr>
          <w:snapToGrid w:val="0"/>
        </w:rPr>
      </w:pPr>
      <w:r>
        <w:rPr>
          <w:snapToGrid w:val="0"/>
        </w:rPr>
        <w:tab/>
        <w:t>(2)</w:t>
      </w:r>
      <w:r>
        <w:rPr>
          <w:snapToGrid w:val="0"/>
        </w:rPr>
        <w:tab/>
        <w:t>Where a mortgage relates to one or more regulated contracts and the mortgagee sells goods subject to the mortgage otherwise than by offering the goods for sale as provided by section 112(2), the mortgagee is liable to the mortgagor — </w:t>
      </w:r>
    </w:p>
    <w:p>
      <w:pPr>
        <w:pStyle w:val="Indenta"/>
        <w:rPr>
          <w:snapToGrid w:val="0"/>
        </w:rPr>
      </w:pPr>
      <w:r>
        <w:rPr>
          <w:snapToGrid w:val="0"/>
        </w:rPr>
        <w:tab/>
        <w:t>(a)</w:t>
      </w:r>
      <w:r>
        <w:rPr>
          <w:snapToGrid w:val="0"/>
        </w:rPr>
        <w:tab/>
        <w:t>where the goods are sold pursuant to section 106(4) or by the mortgagee exercising a power of sale in accordance with subsection (1) — for the amount received pursuant to the sale; or</w:t>
      </w:r>
    </w:p>
    <w:p>
      <w:pPr>
        <w:pStyle w:val="Indenta"/>
        <w:rPr>
          <w:snapToGrid w:val="0"/>
        </w:rPr>
      </w:pPr>
      <w:r>
        <w:rPr>
          <w:snapToGrid w:val="0"/>
        </w:rPr>
        <w:tab/>
        <w:t>(b)</w:t>
      </w:r>
      <w:r>
        <w:rPr>
          <w:snapToGrid w:val="0"/>
        </w:rPr>
        <w:tab/>
        <w:t>where the goods are not sold as referred to in paragraph (a) — for the amount that, in the opinion of the court, would have been received if the goods had been sold by the mortgagee exercising a power of sale in accordance with subsection (1),</w:t>
      </w:r>
    </w:p>
    <w:p>
      <w:pPr>
        <w:pStyle w:val="Subsection"/>
        <w:rPr>
          <w:snapToGrid w:val="0"/>
        </w:rPr>
      </w:pPr>
      <w:r>
        <w:rPr>
          <w:snapToGrid w:val="0"/>
        </w:rPr>
        <w:tab/>
      </w:r>
      <w:r>
        <w:rPr>
          <w:snapToGrid w:val="0"/>
        </w:rPr>
        <w:tab/>
        <w:t>reduced by the amounts referred to in subsection (4).</w:t>
      </w:r>
    </w:p>
    <w:p>
      <w:pPr>
        <w:pStyle w:val="Subsection"/>
        <w:rPr>
          <w:snapToGrid w:val="0"/>
        </w:rPr>
      </w:pPr>
      <w:r>
        <w:rPr>
          <w:snapToGrid w:val="0"/>
        </w:rPr>
        <w:tab/>
        <w:t>(3)</w:t>
      </w:r>
      <w:r>
        <w:rPr>
          <w:snapToGrid w:val="0"/>
        </w:rPr>
        <w:tab/>
        <w:t>Where a mortgagee offers goods for sale as provided by section 112(2), the mortgagee is liable to the mortgagor — </w:t>
      </w:r>
    </w:p>
    <w:p>
      <w:pPr>
        <w:pStyle w:val="Indenta"/>
        <w:rPr>
          <w:snapToGrid w:val="0"/>
        </w:rPr>
      </w:pPr>
      <w:r>
        <w:rPr>
          <w:snapToGrid w:val="0"/>
        </w:rPr>
        <w:tab/>
        <w:t>(a)</w:t>
      </w:r>
      <w:r>
        <w:rPr>
          <w:snapToGrid w:val="0"/>
        </w:rPr>
        <w:tab/>
        <w:t>where the offer is accepted — for the amount for which the goods are sold; or</w:t>
      </w:r>
    </w:p>
    <w:p>
      <w:pPr>
        <w:pStyle w:val="Indenta"/>
        <w:rPr>
          <w:snapToGrid w:val="0"/>
        </w:rPr>
      </w:pPr>
      <w:r>
        <w:rPr>
          <w:snapToGrid w:val="0"/>
        </w:rPr>
        <w:tab/>
        <w:t>(b)</w:t>
      </w:r>
      <w:r>
        <w:rPr>
          <w:snapToGrid w:val="0"/>
        </w:rPr>
        <w:tab/>
        <w:t>where the offer is not accepted and the goods are sold by the mortgagee exercising a power of sale in accordance with subsection (1) — </w:t>
      </w:r>
    </w:p>
    <w:p>
      <w:pPr>
        <w:pStyle w:val="Indenti"/>
        <w:rPr>
          <w:snapToGrid w:val="0"/>
        </w:rPr>
      </w:pPr>
      <w:r>
        <w:rPr>
          <w:snapToGrid w:val="0"/>
        </w:rPr>
        <w:tab/>
        <w:t>(i)</w:t>
      </w:r>
      <w:r>
        <w:rPr>
          <w:snapToGrid w:val="0"/>
        </w:rPr>
        <w:tab/>
        <w:t>for the amount for which the goods would have been sold if the offer had been accepted; or</w:t>
      </w:r>
    </w:p>
    <w:p>
      <w:pPr>
        <w:pStyle w:val="Indenti"/>
        <w:rPr>
          <w:snapToGrid w:val="0"/>
        </w:rPr>
      </w:pPr>
      <w:r>
        <w:rPr>
          <w:snapToGrid w:val="0"/>
        </w:rPr>
        <w:tab/>
        <w:t>(ii)</w:t>
      </w:r>
      <w:r>
        <w:rPr>
          <w:snapToGrid w:val="0"/>
        </w:rPr>
        <w:tab/>
        <w:t>for the amount received from the sale,</w:t>
      </w:r>
    </w:p>
    <w:p>
      <w:pPr>
        <w:pStyle w:val="Indenta"/>
        <w:rPr>
          <w:snapToGrid w:val="0"/>
        </w:rPr>
      </w:pPr>
      <w:r>
        <w:rPr>
          <w:snapToGrid w:val="0"/>
        </w:rPr>
        <w:tab/>
      </w:r>
      <w:r>
        <w:rPr>
          <w:snapToGrid w:val="0"/>
        </w:rPr>
        <w:tab/>
        <w:t>whichever is the greater; or</w:t>
      </w:r>
    </w:p>
    <w:p>
      <w:pPr>
        <w:pStyle w:val="Indenta"/>
        <w:rPr>
          <w:snapToGrid w:val="0"/>
        </w:rPr>
      </w:pPr>
      <w:r>
        <w:rPr>
          <w:snapToGrid w:val="0"/>
        </w:rPr>
        <w:tab/>
        <w:t>(c)</w:t>
      </w:r>
      <w:r>
        <w:rPr>
          <w:snapToGrid w:val="0"/>
        </w:rPr>
        <w:tab/>
        <w:t>where the offer is not accepted and the goods are sold by the mortgagee exercising a power of sale otherwise than in accordance with subsection (1) — </w:t>
      </w:r>
    </w:p>
    <w:p>
      <w:pPr>
        <w:pStyle w:val="Indenti"/>
        <w:rPr>
          <w:snapToGrid w:val="0"/>
        </w:rPr>
      </w:pPr>
      <w:r>
        <w:rPr>
          <w:snapToGrid w:val="0"/>
        </w:rPr>
        <w:tab/>
        <w:t>(i)</w:t>
      </w:r>
      <w:r>
        <w:rPr>
          <w:snapToGrid w:val="0"/>
        </w:rPr>
        <w:tab/>
        <w:t>for the amount for which the goods would have been sold if the offer had been accepted; or</w:t>
      </w:r>
    </w:p>
    <w:p>
      <w:pPr>
        <w:pStyle w:val="Indenti"/>
        <w:rPr>
          <w:snapToGrid w:val="0"/>
        </w:rPr>
      </w:pPr>
      <w:r>
        <w:rPr>
          <w:snapToGrid w:val="0"/>
        </w:rPr>
        <w:tab/>
        <w:t>(ii)</w:t>
      </w:r>
      <w:r>
        <w:rPr>
          <w:snapToGrid w:val="0"/>
        </w:rPr>
        <w:tab/>
        <w:t>for the amount for which, in the opinion of the court, the goods would have been sold if the power of sale had been exercised in accordance with subsection (1),</w:t>
      </w:r>
    </w:p>
    <w:p>
      <w:pPr>
        <w:pStyle w:val="Indenta"/>
        <w:rPr>
          <w:snapToGrid w:val="0"/>
        </w:rPr>
      </w:pPr>
      <w:r>
        <w:rPr>
          <w:snapToGrid w:val="0"/>
        </w:rPr>
        <w:tab/>
      </w:r>
      <w:r>
        <w:rPr>
          <w:snapToGrid w:val="0"/>
        </w:rPr>
        <w:tab/>
        <w:t>whichever is the greater,</w:t>
      </w:r>
    </w:p>
    <w:p>
      <w:pPr>
        <w:pStyle w:val="Subsection"/>
        <w:rPr>
          <w:snapToGrid w:val="0"/>
        </w:rPr>
      </w:pPr>
      <w:r>
        <w:rPr>
          <w:snapToGrid w:val="0"/>
        </w:rPr>
        <w:tab/>
      </w:r>
      <w:r>
        <w:rPr>
          <w:snapToGrid w:val="0"/>
        </w:rPr>
        <w:tab/>
        <w:t>reduced by the amounts referred to in subsection (4).</w:t>
      </w:r>
    </w:p>
    <w:p>
      <w:pPr>
        <w:pStyle w:val="Subsection"/>
        <w:keepNext/>
        <w:rPr>
          <w:snapToGrid w:val="0"/>
        </w:rPr>
      </w:pPr>
      <w:r>
        <w:rPr>
          <w:snapToGrid w:val="0"/>
        </w:rPr>
        <w:tab/>
        <w:t>(4)</w:t>
      </w:r>
      <w:r>
        <w:rPr>
          <w:snapToGrid w:val="0"/>
        </w:rPr>
        <w:tab/>
        <w:t>For the purposes of subsections (2) and (3), the amounts referred to in this subsection are — </w:t>
      </w:r>
    </w:p>
    <w:p>
      <w:pPr>
        <w:pStyle w:val="Indenta"/>
        <w:rPr>
          <w:snapToGrid w:val="0"/>
        </w:rPr>
      </w:pPr>
      <w:r>
        <w:rPr>
          <w:snapToGrid w:val="0"/>
        </w:rPr>
        <w:tab/>
        <w:t>(a)</w:t>
      </w:r>
      <w:r>
        <w:rPr>
          <w:snapToGrid w:val="0"/>
        </w:rPr>
        <w:tab/>
        <w:t>where the goods sold were subject to a prior mortgage — the amount payable in discharge of the prior mortgage; and</w:t>
      </w:r>
    </w:p>
    <w:p>
      <w:pPr>
        <w:pStyle w:val="Indenta"/>
        <w:rPr>
          <w:snapToGrid w:val="0"/>
        </w:rPr>
      </w:pPr>
      <w:r>
        <w:rPr>
          <w:snapToGrid w:val="0"/>
        </w:rPr>
        <w:tab/>
        <w:t>(b)</w:t>
      </w:r>
      <w:r>
        <w:rPr>
          <w:snapToGrid w:val="0"/>
        </w:rPr>
        <w:tab/>
        <w:t>where the mortgage secures the payment of a debt or other pecuniary obligation arising otherwise than under a regulated contract to which the mortgage relates — the amount payable in respect of that debt or obligation; and</w:t>
      </w:r>
    </w:p>
    <w:p>
      <w:pPr>
        <w:pStyle w:val="Indenta"/>
        <w:rPr>
          <w:snapToGrid w:val="0"/>
        </w:rPr>
      </w:pPr>
      <w:r>
        <w:rPr>
          <w:snapToGrid w:val="0"/>
        </w:rPr>
        <w:tab/>
        <w:t>(c)</w:t>
      </w:r>
      <w:r>
        <w:rPr>
          <w:snapToGrid w:val="0"/>
        </w:rPr>
        <w:tab/>
        <w:t>an amount equal to — </w:t>
      </w:r>
    </w:p>
    <w:p>
      <w:pPr>
        <w:pStyle w:val="Indenti"/>
        <w:rPr>
          <w:snapToGrid w:val="0"/>
        </w:rPr>
      </w:pPr>
      <w:r>
        <w:rPr>
          <w:snapToGrid w:val="0"/>
        </w:rPr>
        <w:tab/>
        <w:t>(i)</w:t>
      </w:r>
      <w:r>
        <w:rPr>
          <w:snapToGrid w:val="0"/>
        </w:rPr>
        <w:tab/>
        <w:t>where the power of sale was exercised in accordance with subsection (1) — the net balance, or the sum of the net balances, within the meaning of section 103 due to the credit provider in respect of the regulated contract or contracts to which the mortgage related at the time of receipt of the proceeds of the sale; or</w:t>
      </w:r>
    </w:p>
    <w:p>
      <w:pPr>
        <w:pStyle w:val="Indenti"/>
        <w:rPr>
          <w:snapToGrid w:val="0"/>
        </w:rPr>
      </w:pPr>
      <w:r>
        <w:rPr>
          <w:snapToGrid w:val="0"/>
        </w:rPr>
        <w:tab/>
        <w:t>(ii)</w:t>
      </w:r>
      <w:r>
        <w:rPr>
          <w:snapToGrid w:val="0"/>
        </w:rPr>
        <w:tab/>
        <w:t>where the power of sale was not exercised in accordance with subsection (1) — the net balance, or the sum of the net balances, within the meaning of section 103 as was or were due at the time the mortgagee would reasonably have expected to receive the proceeds of sale if the power had been exercised in accordance with subsection (1);</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reasonable expenses of the mortgagee incurred in selling the goods; and</w:t>
      </w:r>
    </w:p>
    <w:p>
      <w:pPr>
        <w:pStyle w:val="Indenta"/>
        <w:rPr>
          <w:snapToGrid w:val="0"/>
        </w:rPr>
      </w:pPr>
      <w:r>
        <w:rPr>
          <w:snapToGrid w:val="0"/>
        </w:rPr>
        <w:tab/>
        <w:t>(e)</w:t>
      </w:r>
      <w:r>
        <w:rPr>
          <w:snapToGrid w:val="0"/>
        </w:rPr>
        <w:tab/>
        <w:t>the amounts payable in successive discharge of any subsequent mortgages to which the goods were subject and of which the vendor mortgagee had notice.</w:t>
      </w:r>
    </w:p>
    <w:p>
      <w:pPr>
        <w:pStyle w:val="Subsection"/>
        <w:rPr>
          <w:snapToGrid w:val="0"/>
        </w:rPr>
      </w:pPr>
      <w:r>
        <w:rPr>
          <w:snapToGrid w:val="0"/>
        </w:rPr>
        <w:tab/>
        <w:t>(5)</w:t>
      </w:r>
      <w:r>
        <w:rPr>
          <w:snapToGrid w:val="0"/>
        </w:rPr>
        <w:tab/>
        <w:t>The onus of proving that a power of sale was exercised in accordance with subsection (1) is on the mortgagee who exercised it.</w:t>
      </w:r>
    </w:p>
    <w:p>
      <w:pPr>
        <w:pStyle w:val="Subsection"/>
        <w:rPr>
          <w:snapToGrid w:val="0"/>
        </w:rPr>
      </w:pPr>
      <w:r>
        <w:rPr>
          <w:snapToGrid w:val="0"/>
        </w:rPr>
        <w:tab/>
        <w:t>(6)</w:t>
      </w:r>
      <w:r>
        <w:rPr>
          <w:snapToGrid w:val="0"/>
        </w:rPr>
        <w:tab/>
        <w:t>Proceedings for the recovery of an amount due to a person in respect of the exercise of a power of sale by a mortgagee by reason of the operation</w:t>
      </w:r>
      <w:bookmarkStart w:id="228" w:name="RuleErr_65"/>
      <w:r>
        <w:rPr>
          <w:snapToGrid w:val="0"/>
        </w:rPr>
        <w:t xml:space="preserve"> of this section</w:t>
      </w:r>
      <w:bookmarkEnd w:id="228"/>
      <w:r>
        <w:rPr>
          <w:snapToGrid w:val="0"/>
        </w:rPr>
        <w:t xml:space="preserve"> shall not be instituted after the expiration of 3 years after the exercise of the power. </w:t>
      </w:r>
    </w:p>
    <w:p>
      <w:pPr>
        <w:pStyle w:val="Subsection"/>
        <w:rPr>
          <w:snapToGrid w:val="0"/>
        </w:rPr>
      </w:pPr>
      <w:r>
        <w:rPr>
          <w:snapToGrid w:val="0"/>
        </w:rPr>
        <w:tab/>
        <w:t>(7)</w:t>
      </w:r>
      <w:r>
        <w:rPr>
          <w:snapToGrid w:val="0"/>
        </w:rPr>
        <w:tab/>
        <w:t>Where the mortgagee exercises a power of sale over goods subject to a mortgage, a court may, on the application of — </w:t>
      </w:r>
    </w:p>
    <w:p>
      <w:pPr>
        <w:pStyle w:val="Indenta"/>
        <w:rPr>
          <w:snapToGrid w:val="0"/>
        </w:rPr>
      </w:pPr>
      <w:r>
        <w:rPr>
          <w:snapToGrid w:val="0"/>
        </w:rPr>
        <w:tab/>
        <w:t>(a)</w:t>
      </w:r>
      <w:r>
        <w:rPr>
          <w:snapToGrid w:val="0"/>
        </w:rPr>
        <w:tab/>
        <w:t>the mortgagor; or</w:t>
      </w:r>
    </w:p>
    <w:p>
      <w:pPr>
        <w:pStyle w:val="Indenta"/>
        <w:rPr>
          <w:snapToGrid w:val="0"/>
        </w:rPr>
      </w:pPr>
      <w:r>
        <w:rPr>
          <w:snapToGrid w:val="0"/>
        </w:rPr>
        <w:tab/>
        <w:t>(b)</w:t>
      </w:r>
      <w:r>
        <w:rPr>
          <w:snapToGrid w:val="0"/>
        </w:rPr>
        <w:tab/>
        <w:t>the mortgagee under any prior mortgage to which the goods are subject; or</w:t>
      </w:r>
    </w:p>
    <w:p>
      <w:pPr>
        <w:pStyle w:val="Indenta"/>
        <w:rPr>
          <w:snapToGrid w:val="0"/>
        </w:rPr>
      </w:pPr>
      <w:r>
        <w:rPr>
          <w:snapToGrid w:val="0"/>
        </w:rPr>
        <w:tab/>
        <w:t>(c)</w:t>
      </w:r>
      <w:r>
        <w:rPr>
          <w:snapToGrid w:val="0"/>
        </w:rPr>
        <w:tab/>
        <w:t>the mortgagee under any subsequent mortgage to which the goods are subject and of which the vendor mortgagee has notice,</w:t>
      </w:r>
    </w:p>
    <w:p>
      <w:pPr>
        <w:pStyle w:val="Subsection"/>
        <w:spacing w:before="120"/>
        <w:rPr>
          <w:snapToGrid w:val="0"/>
        </w:rPr>
      </w:pPr>
      <w:r>
        <w:rPr>
          <w:snapToGrid w:val="0"/>
        </w:rPr>
        <w:tab/>
      </w:r>
      <w:r>
        <w:rPr>
          <w:snapToGrid w:val="0"/>
        </w:rPr>
        <w:tab/>
        <w:t>determine whether the vendor mortgagee has exercised the power of sale in accordance with subsection (1) and, where it determines that the power of sale was not so exercised, make an order requiring the vendor mortgagee to compensate the persons referred to in paragraphs (a), (b) and (c), or any one or more of them, for any loss suffered as a consequence of the power of sale not being so exercised.</w:t>
      </w:r>
    </w:p>
    <w:p>
      <w:pPr>
        <w:pStyle w:val="Heading5"/>
        <w:rPr>
          <w:snapToGrid w:val="0"/>
        </w:rPr>
      </w:pPr>
      <w:bookmarkStart w:id="229" w:name="_Toc392496593"/>
      <w:r>
        <w:rPr>
          <w:rStyle w:val="CharSectno"/>
        </w:rPr>
        <w:t>115</w:t>
      </w:r>
      <w:r>
        <w:rPr>
          <w:snapToGrid w:val="0"/>
        </w:rPr>
        <w:t>.</w:t>
      </w:r>
      <w:r>
        <w:rPr>
          <w:snapToGrid w:val="0"/>
        </w:rPr>
        <w:tab/>
        <w:t>Farm machinery etc., court may suspend repossession or restore possession of</w:t>
      </w:r>
      <w:bookmarkEnd w:id="229"/>
    </w:p>
    <w:p>
      <w:pPr>
        <w:pStyle w:val="Subsection"/>
        <w:rPr>
          <w:snapToGrid w:val="0"/>
        </w:rPr>
      </w:pPr>
      <w:r>
        <w:rPr>
          <w:snapToGrid w:val="0"/>
        </w:rPr>
        <w:tab/>
        <w:t>(1)</w:t>
      </w:r>
      <w:r>
        <w:rPr>
          <w:snapToGrid w:val="0"/>
        </w:rPr>
        <w:tab/>
        <w:t>Where the mortgagor under a regulated mortgage is a person whose sole or principal business is a farming undertaking and the mortgagee gives to the mortgagor notice under section 107 of his intention to exercise a right under the mortgage to take possession of goods comprising farm machinery used in connection with the farming undertaking or a commercial vehicle so used, the mortgagor may, unless the mortgagee has sold or otherwise parted with possession of the goods, apply to a court for an order under subsection (3).</w:t>
      </w:r>
    </w:p>
    <w:p>
      <w:pPr>
        <w:pStyle w:val="Subsection"/>
        <w:rPr>
          <w:snapToGrid w:val="0"/>
        </w:rPr>
      </w:pPr>
      <w:r>
        <w:rPr>
          <w:snapToGrid w:val="0"/>
        </w:rPr>
        <w:tab/>
        <w:t>(2)</w:t>
      </w:r>
      <w:r>
        <w:rPr>
          <w:snapToGrid w:val="0"/>
        </w:rPr>
        <w:tab/>
        <w:t>Service on a mortgagee of notice of an application under subsection (1) operates — </w:t>
      </w:r>
    </w:p>
    <w:p>
      <w:pPr>
        <w:pStyle w:val="Indenta"/>
        <w:rPr>
          <w:snapToGrid w:val="0"/>
        </w:rPr>
      </w:pPr>
      <w:r>
        <w:rPr>
          <w:snapToGrid w:val="0"/>
        </w:rPr>
        <w:tab/>
        <w:t>(a)</w:t>
      </w:r>
      <w:r>
        <w:rPr>
          <w:snapToGrid w:val="0"/>
        </w:rPr>
        <w:tab/>
        <w:t>where the mortgagee has not taken possession of the goods to which the application relates — to suspend the power of the mortgagee to take possession of the goods; or</w:t>
      </w:r>
    </w:p>
    <w:p>
      <w:pPr>
        <w:pStyle w:val="Indenta"/>
        <w:rPr>
          <w:snapToGrid w:val="0"/>
        </w:rPr>
      </w:pPr>
      <w:r>
        <w:rPr>
          <w:snapToGrid w:val="0"/>
        </w:rPr>
        <w:tab/>
        <w:t>(b)</w:t>
      </w:r>
      <w:r>
        <w:rPr>
          <w:snapToGrid w:val="0"/>
        </w:rPr>
        <w:tab/>
        <w:t>where the mortgagee has taken possession of the goods to which the application relates but has not sold the goods or otherwise parted with possession of the goods — to suspend the power of the mortgagee to sell or otherwise part with possession of the goods,</w:t>
      </w:r>
    </w:p>
    <w:p>
      <w:pPr>
        <w:pStyle w:val="Subsection"/>
        <w:rPr>
          <w:snapToGrid w:val="0"/>
        </w:rPr>
      </w:pPr>
      <w:r>
        <w:rPr>
          <w:snapToGrid w:val="0"/>
        </w:rPr>
        <w:tab/>
      </w:r>
      <w:r>
        <w:rPr>
          <w:snapToGrid w:val="0"/>
        </w:rPr>
        <w:tab/>
        <w:t>until an order is made pursuant to the application or, as the case may be, the application is dismissed.</w:t>
      </w:r>
    </w:p>
    <w:p>
      <w:pPr>
        <w:pStyle w:val="Subsection"/>
        <w:rPr>
          <w:snapToGrid w:val="0"/>
        </w:rPr>
      </w:pPr>
      <w:r>
        <w:rPr>
          <w:snapToGrid w:val="0"/>
        </w:rPr>
        <w:tab/>
        <w:t>(3)</w:t>
      </w:r>
      <w:r>
        <w:rPr>
          <w:snapToGrid w:val="0"/>
        </w:rPr>
        <w:tab/>
        <w:t>Where application is made for an order under this subsection and the court is satisfied that the mortgagor will have a reasonable prospect of being able to remedy the default specified in the notice under section 107 within 12 months after service of notice of the application on the mortgagee, the court may — </w:t>
      </w:r>
    </w:p>
    <w:p>
      <w:pPr>
        <w:pStyle w:val="Indenta"/>
        <w:rPr>
          <w:snapToGrid w:val="0"/>
        </w:rPr>
      </w:pPr>
      <w:r>
        <w:rPr>
          <w:snapToGrid w:val="0"/>
        </w:rPr>
        <w:tab/>
        <w:t>(a)</w:t>
      </w:r>
      <w:r>
        <w:rPr>
          <w:snapToGrid w:val="0"/>
        </w:rPr>
        <w:tab/>
        <w:t>where, at the time the mortgagee was served with notice of the application, he had not taken possession of the goods to which the application relates — make an order suspending the power of the mortgagee to take possession of the goods (except under section 106) for such period, expiring not later than 12 months after service on the mortgagee of notice of the application, as is specified in the order; or</w:t>
      </w:r>
    </w:p>
    <w:p>
      <w:pPr>
        <w:pStyle w:val="Indenta"/>
        <w:rPr>
          <w:snapToGrid w:val="0"/>
        </w:rPr>
      </w:pPr>
      <w:r>
        <w:rPr>
          <w:snapToGrid w:val="0"/>
        </w:rPr>
        <w:tab/>
        <w:t>(b)</w:t>
      </w:r>
      <w:r>
        <w:rPr>
          <w:snapToGrid w:val="0"/>
        </w:rPr>
        <w:tab/>
        <w:t>where, at the time the mortgagee was served with notice of the application, he had taken possession of the goods but had not sold the goods or otherwise parted with possession of the goods — make an order that the mortgagee restore the goods to the applicant and also make an order referred to in paragraph (a).</w:t>
      </w:r>
    </w:p>
    <w:p>
      <w:pPr>
        <w:pStyle w:val="Subsection"/>
        <w:rPr>
          <w:snapToGrid w:val="0"/>
        </w:rPr>
      </w:pPr>
      <w:r>
        <w:rPr>
          <w:snapToGrid w:val="0"/>
        </w:rPr>
        <w:tab/>
        <w:t>(4)</w:t>
      </w:r>
      <w:r>
        <w:rPr>
          <w:snapToGrid w:val="0"/>
        </w:rPr>
        <w:tab/>
        <w:t>An order under subsection (3) may be made on such terms and conditions as the court thinks fit including a condition that the mortgagor pay to the mortgagee any enforcement expenses.</w:t>
      </w:r>
    </w:p>
    <w:p>
      <w:pPr>
        <w:pStyle w:val="Subsection"/>
        <w:rPr>
          <w:snapToGrid w:val="0"/>
        </w:rPr>
      </w:pPr>
      <w:r>
        <w:rPr>
          <w:snapToGrid w:val="0"/>
        </w:rPr>
        <w:tab/>
        <w:t>(5)</w:t>
      </w:r>
      <w:r>
        <w:rPr>
          <w:snapToGrid w:val="0"/>
        </w:rPr>
        <w:tab/>
        <w:t>Where an order is made under subsection (3) and the applicant mortgagor complies with any terms and conditions of the order that are applicable to him, the mortgagee the subject of the order shall not — </w:t>
      </w:r>
    </w:p>
    <w:p>
      <w:pPr>
        <w:pStyle w:val="Indenta"/>
        <w:rPr>
          <w:snapToGrid w:val="0"/>
        </w:rPr>
      </w:pPr>
      <w:r>
        <w:rPr>
          <w:snapToGrid w:val="0"/>
        </w:rPr>
        <w:tab/>
        <w:t>(a)</w:t>
      </w:r>
      <w:r>
        <w:rPr>
          <w:snapToGrid w:val="0"/>
        </w:rPr>
        <w:tab/>
        <w:t>where the order is made under subsection (3)(a) —exercise the power to which the order relates during any period for which the power is suspended by the order; or</w:t>
      </w:r>
    </w:p>
    <w:p>
      <w:pPr>
        <w:pStyle w:val="Indenta"/>
        <w:rPr>
          <w:snapToGrid w:val="0"/>
        </w:rPr>
      </w:pPr>
      <w:r>
        <w:rPr>
          <w:snapToGrid w:val="0"/>
        </w:rPr>
        <w:tab/>
        <w:t>(b)</w:t>
      </w:r>
      <w:r>
        <w:rPr>
          <w:snapToGrid w:val="0"/>
        </w:rPr>
        <w:tab/>
        <w:t>where the order is made under subsection (3)(b) — fail to comply with the order or the terms and conditions thereof that are applicable to him.</w:t>
      </w:r>
    </w:p>
    <w:p>
      <w:pPr>
        <w:pStyle w:val="Penstart"/>
        <w:rPr>
          <w:snapToGrid w:val="0"/>
        </w:rPr>
      </w:pPr>
      <w:r>
        <w:rPr>
          <w:snapToGrid w:val="0"/>
        </w:rPr>
        <w:tab/>
        <w:t>Penalty: $2 000.</w:t>
      </w:r>
    </w:p>
    <w:p>
      <w:pPr>
        <w:pStyle w:val="Subsection"/>
        <w:rPr>
          <w:snapToGrid w:val="0"/>
        </w:rPr>
      </w:pPr>
      <w:r>
        <w:rPr>
          <w:snapToGrid w:val="0"/>
        </w:rPr>
        <w:tab/>
        <w:t>(6)</w:t>
      </w:r>
      <w:r>
        <w:rPr>
          <w:snapToGrid w:val="0"/>
        </w:rPr>
        <w:tab/>
        <w:t>Where a mortgagee contravenes subsection (5), a court may, on the application of the mortgagor, make an order requiring the mortgagee — to compensate the mortgagor for any damage suffered by the mortgagor as a consequence of the contravention, whether or not he has been prosecuted for the contravention and without prejudice to his liability to be so prosecuted.</w:t>
      </w:r>
    </w:p>
    <w:p>
      <w:pPr>
        <w:pStyle w:val="Heading5"/>
        <w:rPr>
          <w:snapToGrid w:val="0"/>
        </w:rPr>
      </w:pPr>
      <w:bookmarkStart w:id="230" w:name="_Toc392496594"/>
      <w:r>
        <w:rPr>
          <w:rStyle w:val="CharSectno"/>
        </w:rPr>
        <w:t>116</w:t>
      </w:r>
      <w:r>
        <w:rPr>
          <w:snapToGrid w:val="0"/>
        </w:rPr>
        <w:t>.</w:t>
      </w:r>
      <w:r>
        <w:rPr>
          <w:snapToGrid w:val="0"/>
        </w:rPr>
        <w:tab/>
        <w:t>Negotiated postponement of exercise of rights of credit provider or mortgagee</w:t>
      </w:r>
      <w:bookmarkEnd w:id="230"/>
    </w:p>
    <w:p>
      <w:pPr>
        <w:pStyle w:val="Subsection"/>
        <w:rPr>
          <w:snapToGrid w:val="0"/>
        </w:rPr>
      </w:pPr>
      <w:r>
        <w:rPr>
          <w:snapToGrid w:val="0"/>
        </w:rPr>
        <w:tab/>
        <w:t>(1)</w:t>
      </w:r>
      <w:r>
        <w:rPr>
          <w:snapToGrid w:val="0"/>
        </w:rPr>
        <w:tab/>
        <w:t>Where a credit provider or mortgagee has given notice under section 107 to a debtor or mortgagor of his intention to institute proceedings in respect of, or to exercise a right under, a regulated contract or a regulated mortgage, the debtor or mortgagor may — </w:t>
      </w:r>
    </w:p>
    <w:p>
      <w:pPr>
        <w:pStyle w:val="Indenta"/>
        <w:rPr>
          <w:snapToGrid w:val="0"/>
        </w:rPr>
      </w:pPr>
      <w:r>
        <w:rPr>
          <w:snapToGrid w:val="0"/>
        </w:rPr>
        <w:tab/>
        <w:t>(a)</w:t>
      </w:r>
      <w:r>
        <w:rPr>
          <w:snapToGrid w:val="0"/>
        </w:rPr>
        <w:tab/>
        <w:t>in the case of a right to take possession of goods — at any time before the expiration of the period specified in the notice under section 107(4); or</w:t>
      </w:r>
    </w:p>
    <w:p>
      <w:pPr>
        <w:pStyle w:val="Indenta"/>
        <w:rPr>
          <w:snapToGrid w:val="0"/>
        </w:rPr>
      </w:pPr>
      <w:r>
        <w:rPr>
          <w:snapToGrid w:val="0"/>
        </w:rPr>
        <w:tab/>
        <w:t>(b)</w:t>
      </w:r>
      <w:r>
        <w:rPr>
          <w:snapToGrid w:val="0"/>
        </w:rPr>
        <w:tab/>
        <w:t>in any other case — at any time before institution of the proceedings or exercise of the right,</w:t>
      </w:r>
    </w:p>
    <w:p>
      <w:pPr>
        <w:pStyle w:val="Subsection"/>
        <w:rPr>
          <w:snapToGrid w:val="0"/>
        </w:rPr>
      </w:pPr>
      <w:r>
        <w:rPr>
          <w:snapToGrid w:val="0"/>
        </w:rPr>
        <w:tab/>
      </w:r>
      <w:r>
        <w:rPr>
          <w:snapToGrid w:val="0"/>
        </w:rPr>
        <w:tab/>
        <w:t>negotiate with the credit provider or mortgagee a postponement of institution of the proceedings or of action to exercise the right or, where a right to take possession of goods has been exercised, a postponement of the right to sell or otherwise dispose of or part with possession of the goods.</w:t>
      </w:r>
    </w:p>
    <w:p>
      <w:pPr>
        <w:pStyle w:val="Subsection"/>
        <w:rPr>
          <w:snapToGrid w:val="0"/>
        </w:rPr>
      </w:pPr>
      <w:r>
        <w:rPr>
          <w:snapToGrid w:val="0"/>
        </w:rPr>
        <w:tab/>
        <w:t>(2)</w:t>
      </w:r>
      <w:r>
        <w:rPr>
          <w:snapToGrid w:val="0"/>
        </w:rPr>
        <w:tab/>
        <w:t>Where a postponement is negotiated under subsection (1) and a written statement of the conditions of the postponement is given to the debtor or mortgagor, the notice under section 107 shall, if the conditions of the postponement are complied with by the debtor or mortgagor, be deemed not to have been given.</w:t>
      </w:r>
    </w:p>
    <w:p>
      <w:pPr>
        <w:pStyle w:val="Subsection"/>
        <w:rPr>
          <w:snapToGrid w:val="0"/>
        </w:rPr>
      </w:pPr>
      <w:r>
        <w:rPr>
          <w:snapToGrid w:val="0"/>
        </w:rPr>
        <w:tab/>
        <w:t>(3)</w:t>
      </w:r>
      <w:r>
        <w:rPr>
          <w:snapToGrid w:val="0"/>
        </w:rPr>
        <w:tab/>
        <w:t>Where a debtor or mortgagor is unable to negotiate a postponement under subsection (1), he may apply to the Commissioner for negotiation of such a postponement.</w:t>
      </w:r>
    </w:p>
    <w:p>
      <w:pPr>
        <w:pStyle w:val="Subsection"/>
        <w:rPr>
          <w:snapToGrid w:val="0"/>
        </w:rPr>
      </w:pPr>
      <w:r>
        <w:rPr>
          <w:snapToGrid w:val="0"/>
        </w:rPr>
        <w:tab/>
        <w:t>(4)</w:t>
      </w:r>
      <w:r>
        <w:rPr>
          <w:snapToGrid w:val="0"/>
        </w:rPr>
        <w:tab/>
        <w:t>Where an application is made under subsection (3), the Commissioner shall seek the views of the credit provider or mortgagee and, after giving him a reasonable opportunity to be heard and making such other inquiries as the Commissioner thinks fit, determine whether or not to seek to negotiate the postponement to which the application relates and, where he seeks, but is unable to obtain, such a postponement, the Commissioner shall refer the application to the Tribunal.</w:t>
      </w:r>
    </w:p>
    <w:p>
      <w:pPr>
        <w:pStyle w:val="Subsection"/>
        <w:rPr>
          <w:snapToGrid w:val="0"/>
        </w:rPr>
      </w:pPr>
      <w:r>
        <w:rPr>
          <w:snapToGrid w:val="0"/>
        </w:rPr>
        <w:tab/>
        <w:t>(5)</w:t>
      </w:r>
      <w:r>
        <w:rPr>
          <w:snapToGrid w:val="0"/>
        </w:rPr>
        <w:tab/>
        <w:t>Subsection (2) applies to and in respect of a postponement negotiated under subsection (4) in the same way as it applies to and in respect of a postponement negotiated under subsection (1).</w:t>
      </w:r>
    </w:p>
    <w:p>
      <w:pPr>
        <w:pStyle w:val="Subsection"/>
        <w:rPr>
          <w:snapToGrid w:val="0"/>
        </w:rPr>
      </w:pPr>
      <w:r>
        <w:rPr>
          <w:snapToGrid w:val="0"/>
        </w:rPr>
        <w:tab/>
        <w:t>(6)</w:t>
      </w:r>
      <w:r>
        <w:rPr>
          <w:snapToGrid w:val="0"/>
        </w:rPr>
        <w:tab/>
        <w:t>The Tribunal may, where it receives an application referred to it under subsection (4), dismiss the application if it has determined similar issues under section 74 or may order or refuse to order the postponement to which the application relates and, where it orders a postponement, may make such other orders as it thinks fit.</w:t>
      </w:r>
    </w:p>
    <w:p>
      <w:pPr>
        <w:pStyle w:val="Subsection"/>
        <w:rPr>
          <w:snapToGrid w:val="0"/>
        </w:rPr>
      </w:pPr>
      <w:r>
        <w:rPr>
          <w:snapToGrid w:val="0"/>
        </w:rPr>
        <w:tab/>
        <w:t>(7)</w:t>
      </w:r>
      <w:r>
        <w:rPr>
          <w:snapToGrid w:val="0"/>
        </w:rPr>
        <w:tab/>
        <w:t>Where an order under subsection (6) is in force, the credit provider or mortgagee under the contract or mortgage to which the application relates may apply to the Tribunal for a variation of the order.</w:t>
      </w:r>
    </w:p>
    <w:p>
      <w:pPr>
        <w:pStyle w:val="Subsection"/>
        <w:rPr>
          <w:snapToGrid w:val="0"/>
        </w:rPr>
      </w:pPr>
      <w:r>
        <w:rPr>
          <w:snapToGrid w:val="0"/>
        </w:rPr>
        <w:tab/>
        <w:t>(8)</w:t>
      </w:r>
      <w:r>
        <w:rPr>
          <w:snapToGrid w:val="0"/>
        </w:rPr>
        <w:tab/>
        <w:t>The Tribunal may, where it receives an application under subsection (7), make such variation of the order to which the application relates as it thinks fit or may refuse to make such an order.</w:t>
      </w:r>
    </w:p>
    <w:p>
      <w:pPr>
        <w:pStyle w:val="Subsection"/>
        <w:rPr>
          <w:snapToGrid w:val="0"/>
        </w:rPr>
      </w:pPr>
      <w:r>
        <w:rPr>
          <w:snapToGrid w:val="0"/>
        </w:rPr>
        <w:tab/>
        <w:t>(9)</w:t>
      </w:r>
      <w:r>
        <w:rPr>
          <w:snapToGrid w:val="0"/>
        </w:rPr>
        <w:tab/>
        <w:t>An order in force under this section, and such an order as varied from time to time, has effect according to its tenor.</w:t>
      </w:r>
    </w:p>
    <w:p>
      <w:pPr>
        <w:pStyle w:val="Subsection"/>
        <w:rPr>
          <w:snapToGrid w:val="0"/>
        </w:rPr>
      </w:pPr>
      <w:r>
        <w:rPr>
          <w:snapToGrid w:val="0"/>
        </w:rPr>
        <w:tab/>
        <w:t>(10)</w:t>
      </w:r>
      <w:r>
        <w:rPr>
          <w:snapToGrid w:val="0"/>
        </w:rPr>
        <w:tab/>
        <w:t>Where a mortgagor commences negotiations under subsection (1) with a mortgagee after the mortgagee has taken possession of property subject to the mortgage, it is a condition of any postponement negotiated under that subsection or subsection (4) that the mortgagor pay the reasonable costs of the mortgagee incurred in taking possession of the property.</w:t>
      </w:r>
    </w:p>
    <w:p>
      <w:pPr>
        <w:pStyle w:val="Subsection"/>
        <w:rPr>
          <w:snapToGrid w:val="0"/>
        </w:rPr>
      </w:pPr>
      <w:r>
        <w:rPr>
          <w:snapToGrid w:val="0"/>
        </w:rPr>
        <w:tab/>
        <w:t>(11)</w:t>
      </w:r>
      <w:r>
        <w:rPr>
          <w:snapToGrid w:val="0"/>
        </w:rPr>
        <w:tab/>
        <w:t>Where the Commissioner is unable to obtain a postponement under subsection (4) in relation to a regulated contract or a regulated mortgage, the credit provider or mortgagee shall not institute proceedings, or exercise a right, under the contract or mortgage before the Tribunal has under subsection (6), dismissed the application for postponement or has ordered, or refused to order, a postponement.</w:t>
      </w:r>
    </w:p>
    <w:p>
      <w:pPr>
        <w:pStyle w:val="Penstart"/>
        <w:rPr>
          <w:snapToGrid w:val="0"/>
        </w:rPr>
      </w:pPr>
      <w:r>
        <w:rPr>
          <w:snapToGrid w:val="0"/>
        </w:rPr>
        <w:tab/>
        <w:t>Penalty: $2 000.</w:t>
      </w:r>
    </w:p>
    <w:p>
      <w:pPr>
        <w:pStyle w:val="Heading2"/>
      </w:pPr>
      <w:bookmarkStart w:id="231" w:name="_Toc378152671"/>
      <w:bookmarkStart w:id="232" w:name="_Toc392496595"/>
      <w:r>
        <w:rPr>
          <w:rStyle w:val="CharPartNo"/>
        </w:rPr>
        <w:t>Part VI</w:t>
      </w:r>
      <w:r>
        <w:rPr>
          <w:rStyle w:val="CharDivNo"/>
        </w:rPr>
        <w:t> </w:t>
      </w:r>
      <w:r>
        <w:t>—</w:t>
      </w:r>
      <w:r>
        <w:rPr>
          <w:rStyle w:val="CharDivText"/>
        </w:rPr>
        <w:t> </w:t>
      </w:r>
      <w:r>
        <w:rPr>
          <w:rStyle w:val="CharPartText"/>
        </w:rPr>
        <w:t>Regulated contracts and regulated mortgages — general</w:t>
      </w:r>
      <w:bookmarkEnd w:id="231"/>
      <w:bookmarkEnd w:id="232"/>
    </w:p>
    <w:p>
      <w:pPr>
        <w:pStyle w:val="Heading5"/>
        <w:spacing w:before="240"/>
        <w:rPr>
          <w:snapToGrid w:val="0"/>
        </w:rPr>
      </w:pPr>
      <w:bookmarkStart w:id="233" w:name="_Toc392496596"/>
      <w:r>
        <w:rPr>
          <w:rStyle w:val="CharSectno"/>
        </w:rPr>
        <w:t>117</w:t>
      </w:r>
      <w:r>
        <w:rPr>
          <w:snapToGrid w:val="0"/>
        </w:rPr>
        <w:t>.</w:t>
      </w:r>
      <w:r>
        <w:rPr>
          <w:snapToGrid w:val="0"/>
        </w:rPr>
        <w:tab/>
        <w:t>False etc. representations, offences as to etc.</w:t>
      </w:r>
      <w:bookmarkEnd w:id="233"/>
    </w:p>
    <w:p>
      <w:pPr>
        <w:pStyle w:val="Subsection"/>
        <w:spacing w:before="180"/>
        <w:rPr>
          <w:snapToGrid w:val="0"/>
        </w:rPr>
      </w:pPr>
      <w:r>
        <w:rPr>
          <w:snapToGrid w:val="0"/>
        </w:rPr>
        <w:tab/>
        <w:t>(1)</w:t>
      </w:r>
      <w:r>
        <w:rPr>
          <w:snapToGrid w:val="0"/>
        </w:rPr>
        <w:tab/>
        <w:t>A person shall not in, or in relation to, an offer to enter into a regulated contract or a regulated mortgage, make a representation that is false or misleading.</w:t>
      </w:r>
    </w:p>
    <w:p>
      <w:pPr>
        <w:pStyle w:val="Penstart"/>
        <w:spacing w:before="120"/>
        <w:rPr>
          <w:snapToGrid w:val="0"/>
        </w:rPr>
      </w:pPr>
      <w:r>
        <w:rPr>
          <w:snapToGrid w:val="0"/>
        </w:rPr>
        <w:tab/>
        <w:t>Penalty: $1 000.</w:t>
      </w:r>
    </w:p>
    <w:p>
      <w:pPr>
        <w:pStyle w:val="Subsection"/>
        <w:spacing w:before="180"/>
        <w:rPr>
          <w:snapToGrid w:val="0"/>
        </w:rPr>
      </w:pPr>
      <w:r>
        <w:rPr>
          <w:snapToGrid w:val="0"/>
        </w:rPr>
        <w:tab/>
        <w:t>(2)</w:t>
      </w:r>
      <w:r>
        <w:rPr>
          <w:snapToGrid w:val="0"/>
        </w:rPr>
        <w:tab/>
        <w:t>It is a defence to a prosecution of a person for an offence under subsection (1) if the person proves that when the offer was made he — </w:t>
      </w:r>
    </w:p>
    <w:p>
      <w:pPr>
        <w:pStyle w:val="Indenta"/>
        <w:spacing w:before="120"/>
        <w:rPr>
          <w:snapToGrid w:val="0"/>
        </w:rPr>
      </w:pPr>
      <w:r>
        <w:rPr>
          <w:snapToGrid w:val="0"/>
        </w:rPr>
        <w:tab/>
        <w:t>(a)</w:t>
      </w:r>
      <w:r>
        <w:rPr>
          <w:snapToGrid w:val="0"/>
        </w:rPr>
        <w:tab/>
        <w:t>believed on reasonable grounds that the false matter was true; or</w:t>
      </w:r>
    </w:p>
    <w:p>
      <w:pPr>
        <w:pStyle w:val="Indenta"/>
        <w:spacing w:before="120"/>
        <w:rPr>
          <w:snapToGrid w:val="0"/>
        </w:rPr>
      </w:pPr>
      <w:r>
        <w:rPr>
          <w:snapToGrid w:val="0"/>
        </w:rPr>
        <w:tab/>
        <w:t>(b)</w:t>
      </w:r>
      <w:r>
        <w:rPr>
          <w:snapToGrid w:val="0"/>
        </w:rPr>
        <w:tab/>
        <w:t>believed on reasonable grounds that the misleading matter was not misleading.</w:t>
      </w:r>
    </w:p>
    <w:p>
      <w:pPr>
        <w:pStyle w:val="Subsection"/>
        <w:spacing w:before="180"/>
        <w:rPr>
          <w:snapToGrid w:val="0"/>
        </w:rPr>
      </w:pPr>
      <w:r>
        <w:rPr>
          <w:snapToGrid w:val="0"/>
        </w:rPr>
        <w:tab/>
        <w:t>(3)</w:t>
      </w:r>
      <w:r>
        <w:rPr>
          <w:snapToGrid w:val="0"/>
        </w:rPr>
        <w:tab/>
        <w:t>A supplier shall not, in or in relation to an offer by a person to a credit provider (not being the supplier) to enter into a regulated contract or a regulated mortgage, make a representation that is false or misleading by reason of the inclusion in the representation of false or misleading matter or of the omission from the representation of any material matter of which he had been informed by that person.</w:t>
      </w:r>
    </w:p>
    <w:p>
      <w:pPr>
        <w:pStyle w:val="Penstart"/>
        <w:spacing w:before="120"/>
        <w:rPr>
          <w:snapToGrid w:val="0"/>
        </w:rPr>
      </w:pPr>
      <w:r>
        <w:rPr>
          <w:snapToGrid w:val="0"/>
        </w:rPr>
        <w:tab/>
        <w:t>Penalty: $5 000.</w:t>
      </w:r>
    </w:p>
    <w:p>
      <w:pPr>
        <w:pStyle w:val="Subsection"/>
        <w:spacing w:before="180"/>
        <w:rPr>
          <w:snapToGrid w:val="0"/>
        </w:rPr>
      </w:pPr>
      <w:r>
        <w:rPr>
          <w:snapToGrid w:val="0"/>
        </w:rPr>
        <w:tab/>
        <w:t>(4)</w:t>
      </w:r>
      <w:r>
        <w:rPr>
          <w:snapToGrid w:val="0"/>
        </w:rPr>
        <w:tab/>
        <w:t>A supplier shall not induce, or attempt to induce, a person to make, in or in relation to an offer by that person to a credit provider (not being the supplier) to enter into a regulated contract, a representation that is false or misleading.</w:t>
      </w:r>
    </w:p>
    <w:p>
      <w:pPr>
        <w:pStyle w:val="Penstart"/>
        <w:spacing w:before="120"/>
        <w:rPr>
          <w:snapToGrid w:val="0"/>
        </w:rPr>
      </w:pPr>
      <w:r>
        <w:rPr>
          <w:snapToGrid w:val="0"/>
        </w:rPr>
        <w:tab/>
        <w:t>Penalty: $5 000.</w:t>
      </w:r>
    </w:p>
    <w:p>
      <w:pPr>
        <w:pStyle w:val="Subsection"/>
        <w:spacing w:before="180"/>
        <w:rPr>
          <w:snapToGrid w:val="0"/>
        </w:rPr>
      </w:pPr>
      <w:r>
        <w:rPr>
          <w:snapToGrid w:val="0"/>
        </w:rPr>
        <w:tab/>
        <w:t>(5)</w:t>
      </w:r>
      <w:r>
        <w:rPr>
          <w:snapToGrid w:val="0"/>
        </w:rPr>
        <w:tab/>
        <w:t>It is a defence to a prosecution of a supplier for an offence under subsection (3) or (4) or to a claim by a credit provider under subsection (6) if the supplier proves that when the offer was made he — </w:t>
      </w:r>
    </w:p>
    <w:p>
      <w:pPr>
        <w:pStyle w:val="Indenta"/>
        <w:rPr>
          <w:snapToGrid w:val="0"/>
        </w:rPr>
      </w:pPr>
      <w:r>
        <w:rPr>
          <w:snapToGrid w:val="0"/>
        </w:rPr>
        <w:tab/>
        <w:t>(a)</w:t>
      </w:r>
      <w:r>
        <w:rPr>
          <w:snapToGrid w:val="0"/>
        </w:rPr>
        <w:tab/>
        <w:t>believed on reasonable grounds that the false matter was true; or</w:t>
      </w:r>
    </w:p>
    <w:p>
      <w:pPr>
        <w:pStyle w:val="Indenta"/>
        <w:rPr>
          <w:snapToGrid w:val="0"/>
        </w:rPr>
      </w:pPr>
      <w:r>
        <w:rPr>
          <w:snapToGrid w:val="0"/>
        </w:rPr>
        <w:tab/>
        <w:t>(b)</w:t>
      </w:r>
      <w:r>
        <w:rPr>
          <w:snapToGrid w:val="0"/>
        </w:rPr>
        <w:tab/>
        <w:t>believed on reasonable grounds that the misleading matter was not misleading; or</w:t>
      </w:r>
    </w:p>
    <w:p>
      <w:pPr>
        <w:pStyle w:val="Indenta"/>
        <w:rPr>
          <w:snapToGrid w:val="0"/>
        </w:rPr>
      </w:pPr>
      <w:r>
        <w:rPr>
          <w:snapToGrid w:val="0"/>
        </w:rPr>
        <w:tab/>
        <w:t>(c)</w:t>
      </w:r>
      <w:r>
        <w:rPr>
          <w:snapToGrid w:val="0"/>
        </w:rPr>
        <w:tab/>
        <w:t>in the case of an omission, believed on reasonable grounds that no material matter of which he had been informed by the person by whom the offer was made had been omitted, being material matter the omission of which would make the representation false or misleading; or</w:t>
      </w:r>
    </w:p>
    <w:p>
      <w:pPr>
        <w:pStyle w:val="Indenta"/>
        <w:rPr>
          <w:snapToGrid w:val="0"/>
        </w:rPr>
      </w:pPr>
      <w:r>
        <w:rPr>
          <w:snapToGrid w:val="0"/>
        </w:rPr>
        <w:tab/>
        <w:t>(d)</w:t>
      </w:r>
      <w:r>
        <w:rPr>
          <w:snapToGrid w:val="0"/>
        </w:rPr>
        <w:tab/>
        <w:t>in the case of an omission, did not know that the omitted matter was material.</w:t>
      </w:r>
    </w:p>
    <w:p>
      <w:pPr>
        <w:pStyle w:val="Subsection"/>
        <w:rPr>
          <w:snapToGrid w:val="0"/>
        </w:rPr>
      </w:pPr>
      <w:r>
        <w:rPr>
          <w:snapToGrid w:val="0"/>
        </w:rPr>
        <w:tab/>
        <w:t>(6)</w:t>
      </w:r>
      <w:r>
        <w:rPr>
          <w:snapToGrid w:val="0"/>
        </w:rPr>
        <w:tab/>
        <w:t>Where in or in relation to an offer by a person to a credit provider to enter into a regulated contract or a regulated mortgage — </w:t>
      </w:r>
    </w:p>
    <w:p>
      <w:pPr>
        <w:pStyle w:val="Indenta"/>
        <w:rPr>
          <w:snapToGrid w:val="0"/>
        </w:rPr>
      </w:pPr>
      <w:r>
        <w:rPr>
          <w:snapToGrid w:val="0"/>
        </w:rPr>
        <w:tab/>
        <w:t>(a)</w:t>
      </w:r>
      <w:r>
        <w:rPr>
          <w:snapToGrid w:val="0"/>
        </w:rPr>
        <w:tab/>
        <w:t>a supplier makes a representation in contravention of subsection (3); and</w:t>
      </w:r>
    </w:p>
    <w:p>
      <w:pPr>
        <w:pStyle w:val="Indenta"/>
        <w:rPr>
          <w:snapToGrid w:val="0"/>
        </w:rPr>
      </w:pPr>
      <w:r>
        <w:rPr>
          <w:snapToGrid w:val="0"/>
        </w:rPr>
        <w:tab/>
        <w:t>(b)</w:t>
      </w:r>
      <w:r>
        <w:rPr>
          <w:snapToGrid w:val="0"/>
        </w:rPr>
        <w:tab/>
        <w:t>the credit provider suffers loss by reason of the representation,</w:t>
      </w:r>
    </w:p>
    <w:p>
      <w:pPr>
        <w:pStyle w:val="Subsection"/>
        <w:rPr>
          <w:snapToGrid w:val="0"/>
        </w:rPr>
      </w:pPr>
      <w:r>
        <w:rPr>
          <w:snapToGrid w:val="0"/>
        </w:rPr>
        <w:tab/>
      </w:r>
      <w:r>
        <w:rPr>
          <w:snapToGrid w:val="0"/>
        </w:rPr>
        <w:tab/>
        <w:t>the supplier is liable to the credit provider for the amount of the lo</w:t>
      </w:r>
      <w:bookmarkStart w:id="234" w:name="RuleErr_159"/>
      <w:r>
        <w:rPr>
          <w:snapToGrid w:val="0"/>
        </w:rPr>
        <w:t>ss.</w:t>
      </w:r>
      <w:bookmarkEnd w:id="234"/>
    </w:p>
    <w:p>
      <w:pPr>
        <w:pStyle w:val="Subsection"/>
        <w:rPr>
          <w:snapToGrid w:val="0"/>
        </w:rPr>
      </w:pPr>
      <w:r>
        <w:rPr>
          <w:snapToGrid w:val="0"/>
        </w:rPr>
        <w:tab/>
        <w:t>(7)</w:t>
      </w:r>
      <w:r>
        <w:rPr>
          <w:snapToGrid w:val="0"/>
        </w:rPr>
        <w:tab/>
        <w:t>Subsection (6) — </w:t>
      </w:r>
    </w:p>
    <w:p>
      <w:pPr>
        <w:pStyle w:val="Indenta"/>
        <w:rPr>
          <w:snapToGrid w:val="0"/>
        </w:rPr>
      </w:pPr>
      <w:r>
        <w:rPr>
          <w:snapToGrid w:val="0"/>
        </w:rPr>
        <w:tab/>
        <w:t>(a)</w:t>
      </w:r>
      <w:r>
        <w:rPr>
          <w:snapToGrid w:val="0"/>
        </w:rPr>
        <w:tab/>
        <w:t>does not affect the liability of a person to be convicted of an offence under subsection (3); and</w:t>
      </w:r>
    </w:p>
    <w:p>
      <w:pPr>
        <w:pStyle w:val="Indenta"/>
        <w:rPr>
          <w:snapToGrid w:val="0"/>
        </w:rPr>
      </w:pPr>
      <w:r>
        <w:rPr>
          <w:snapToGrid w:val="0"/>
        </w:rPr>
        <w:tab/>
        <w:t>(b)</w:t>
      </w:r>
      <w:r>
        <w:rPr>
          <w:snapToGrid w:val="0"/>
        </w:rPr>
        <w:tab/>
        <w:t>is in addition to all other rights of a credit provider exercisable against the supplier who made the representation in contravention of subsection (3</w:t>
      </w:r>
      <w:bookmarkStart w:id="235" w:name="RuleErr_30"/>
      <w:r>
        <w:rPr>
          <w:snapToGrid w:val="0"/>
        </w:rPr>
        <w:t>) (</w:t>
      </w:r>
      <w:bookmarkEnd w:id="235"/>
      <w:r>
        <w:rPr>
          <w:snapToGrid w:val="0"/>
        </w:rPr>
        <w:t>whether under this Act or any other Act or law).</w:t>
      </w:r>
    </w:p>
    <w:p>
      <w:pPr>
        <w:pStyle w:val="Heading5"/>
        <w:rPr>
          <w:snapToGrid w:val="0"/>
        </w:rPr>
      </w:pPr>
      <w:bookmarkStart w:id="236" w:name="_Toc392496597"/>
      <w:r>
        <w:rPr>
          <w:rStyle w:val="CharSectno"/>
        </w:rPr>
        <w:t>118</w:t>
      </w:r>
      <w:r>
        <w:rPr>
          <w:snapToGrid w:val="0"/>
        </w:rPr>
        <w:t>.</w:t>
      </w:r>
      <w:r>
        <w:rPr>
          <w:snapToGrid w:val="0"/>
        </w:rPr>
        <w:tab/>
        <w:t>Court may approve removal of mortgaged goods</w:t>
      </w:r>
      <w:bookmarkEnd w:id="236"/>
    </w:p>
    <w:p>
      <w:pPr>
        <w:pStyle w:val="Subsection"/>
        <w:spacing w:before="140"/>
        <w:rPr>
          <w:snapToGrid w:val="0"/>
        </w:rPr>
      </w:pPr>
      <w:r>
        <w:rPr>
          <w:snapToGrid w:val="0"/>
        </w:rPr>
        <w:tab/>
      </w:r>
      <w:r>
        <w:rPr>
          <w:snapToGrid w:val="0"/>
        </w:rPr>
        <w:tab/>
        <w:t>Where under a regulated mortgage it is the duty of a mortgagor to keep goods subject to the mortgage in his possession or control at a particular place, or not to remove the goods from a particular place, a court may, on the application of the mortgagor, make an order approving the removal of the goods to some other place and that other place shall, for the purposes of the mortgage, be deemed to have been substituted for the first</w:t>
      </w:r>
      <w:r>
        <w:rPr>
          <w:snapToGrid w:val="0"/>
        </w:rPr>
        <w:noBreakHyphen/>
      </w:r>
      <w:bookmarkStart w:id="237" w:name="RuleErr_150"/>
      <w:r>
        <w:rPr>
          <w:snapToGrid w:val="0"/>
        </w:rPr>
        <w:t>mentioned</w:t>
      </w:r>
      <w:bookmarkEnd w:id="237"/>
      <w:r>
        <w:rPr>
          <w:snapToGrid w:val="0"/>
        </w:rPr>
        <w:t xml:space="preserve"> place.</w:t>
      </w:r>
    </w:p>
    <w:p>
      <w:pPr>
        <w:pStyle w:val="Heading5"/>
        <w:spacing w:before="200"/>
        <w:rPr>
          <w:snapToGrid w:val="0"/>
        </w:rPr>
      </w:pPr>
      <w:bookmarkStart w:id="238" w:name="_Toc392496598"/>
      <w:r>
        <w:rPr>
          <w:rStyle w:val="CharSectno"/>
        </w:rPr>
        <w:t>119</w:t>
      </w:r>
      <w:r>
        <w:rPr>
          <w:snapToGrid w:val="0"/>
        </w:rPr>
        <w:t>.</w:t>
      </w:r>
      <w:r>
        <w:rPr>
          <w:snapToGrid w:val="0"/>
        </w:rPr>
        <w:tab/>
        <w:t>Assignment of wages etc., provisions as to in contracts etc.</w:t>
      </w:r>
      <w:bookmarkEnd w:id="238"/>
    </w:p>
    <w:p>
      <w:pPr>
        <w:pStyle w:val="Subsection"/>
        <w:spacing w:before="140"/>
        <w:rPr>
          <w:snapToGrid w:val="0"/>
        </w:rPr>
      </w:pPr>
      <w:r>
        <w:rPr>
          <w:snapToGrid w:val="0"/>
        </w:rPr>
        <w:tab/>
        <w:t>(1)</w:t>
      </w:r>
      <w:r>
        <w:rPr>
          <w:snapToGrid w:val="0"/>
        </w:rPr>
        <w:tab/>
        <w:t>A provision in a regulated contract or in a regulated mortgage to the effect that the debtor or mortgagor assigns or agrees to assign an amount of wages or salary or benefits under a superannuation scheme in payment of, or as security for the payment of, a debt or other pecuniary obligation or any other obligation under the contract or mortgage is void.</w:t>
      </w:r>
    </w:p>
    <w:p>
      <w:pPr>
        <w:pStyle w:val="Subsection"/>
        <w:spacing w:before="140"/>
        <w:rPr>
          <w:snapToGrid w:val="0"/>
        </w:rPr>
      </w:pPr>
      <w:r>
        <w:rPr>
          <w:snapToGrid w:val="0"/>
        </w:rPr>
        <w:tab/>
        <w:t>(2)</w:t>
      </w:r>
      <w:r>
        <w:rPr>
          <w:snapToGrid w:val="0"/>
        </w:rPr>
        <w:tab/>
        <w:t>A credit provider or mortgagee shall not enter into a contract or mortgage that includes a provision that, by reason of subsection (1), is void.</w:t>
      </w:r>
    </w:p>
    <w:p>
      <w:pPr>
        <w:pStyle w:val="Penstart"/>
        <w:spacing w:before="60"/>
        <w:rPr>
          <w:snapToGrid w:val="0"/>
        </w:rPr>
      </w:pPr>
      <w:r>
        <w:rPr>
          <w:snapToGrid w:val="0"/>
        </w:rPr>
        <w:tab/>
        <w:t>Penalty: $2 000.</w:t>
      </w:r>
    </w:p>
    <w:p>
      <w:pPr>
        <w:pStyle w:val="Heading5"/>
        <w:spacing w:before="200"/>
        <w:rPr>
          <w:snapToGrid w:val="0"/>
        </w:rPr>
      </w:pPr>
      <w:bookmarkStart w:id="239" w:name="_Toc392496599"/>
      <w:r>
        <w:rPr>
          <w:rStyle w:val="CharSectno"/>
        </w:rPr>
        <w:t>120</w:t>
      </w:r>
      <w:r>
        <w:rPr>
          <w:snapToGrid w:val="0"/>
        </w:rPr>
        <w:t>.</w:t>
      </w:r>
      <w:r>
        <w:rPr>
          <w:snapToGrid w:val="0"/>
        </w:rPr>
        <w:tab/>
        <w:t>Bills of exchange etc. as security for credit provider</w:t>
      </w:r>
      <w:bookmarkEnd w:id="239"/>
    </w:p>
    <w:p>
      <w:pPr>
        <w:pStyle w:val="Subsection"/>
        <w:spacing w:before="140"/>
        <w:rPr>
          <w:snapToGrid w:val="0"/>
        </w:rPr>
      </w:pPr>
      <w:r>
        <w:rPr>
          <w:snapToGrid w:val="0"/>
        </w:rPr>
        <w:tab/>
        <w:t>(1)</w:t>
      </w:r>
      <w:r>
        <w:rPr>
          <w:snapToGrid w:val="0"/>
        </w:rPr>
        <w:tab/>
        <w:t>Subject to subsection (2), a credit provider shall not take a bill of exchange, or a promissory note, as security for an amount payable by a debtor, mortgagor or guarantor under, or in relation to, a regulated contract or a regulated mortgage unless the face of the bill or note bears the prescribed notice and the notice complies with section 151.</w:t>
      </w:r>
    </w:p>
    <w:p>
      <w:pPr>
        <w:pStyle w:val="Penstart"/>
        <w:spacing w:before="60"/>
        <w:rPr>
          <w:snapToGrid w:val="0"/>
        </w:rPr>
      </w:pPr>
      <w:r>
        <w:rPr>
          <w:snapToGrid w:val="0"/>
        </w:rPr>
        <w:tab/>
        <w:t>Penalty: $1 000.</w:t>
      </w:r>
    </w:p>
    <w:p>
      <w:pPr>
        <w:pStyle w:val="Subsection"/>
        <w:spacing w:before="140"/>
        <w:rPr>
          <w:snapToGrid w:val="0"/>
        </w:rPr>
      </w:pPr>
      <w:r>
        <w:rPr>
          <w:snapToGrid w:val="0"/>
        </w:rPr>
        <w:tab/>
        <w:t>(2)</w:t>
      </w:r>
      <w:r>
        <w:rPr>
          <w:snapToGrid w:val="0"/>
        </w:rPr>
        <w:tab/>
        <w:t>A reference in subsection (1) to the taking of a bill of exchange or promissory note does not include a reference to the taking of a cheque dated on or before the date on which it is taken or an order addressed to a financial institution requesting payment of specified amounts at specified times to a credit provider.</w:t>
      </w:r>
    </w:p>
    <w:p>
      <w:pPr>
        <w:pStyle w:val="Subsection"/>
        <w:rPr>
          <w:snapToGrid w:val="0"/>
        </w:rPr>
      </w:pPr>
      <w:r>
        <w:rPr>
          <w:snapToGrid w:val="0"/>
        </w:rPr>
        <w:tab/>
        <w:t>(3)</w:t>
      </w:r>
      <w:r>
        <w:rPr>
          <w:snapToGrid w:val="0"/>
        </w:rPr>
        <w:tab/>
        <w:t>Where a credit provider takes a bill of exchange or promissory note from a debtor, mortgagor or guarantor in discharge of or as security for an amount payable under, or in relation to, a regulated contract or a regulated mortgage and the payment in due course of the bill or note would result in the payment of an amount in excess of the amount for which the debtor, mortgagor or guarantor would have been liable if the bill or note had not been taken, the credit provider is liable, if the bill or note is paid, to pay to the debtor, mortgagor or guarantor the amount of the exce</w:t>
      </w:r>
      <w:bookmarkStart w:id="240" w:name="RuleErr_160"/>
      <w:r>
        <w:rPr>
          <w:snapToGrid w:val="0"/>
        </w:rPr>
        <w:t>ss.</w:t>
      </w:r>
      <w:bookmarkEnd w:id="240"/>
    </w:p>
    <w:p>
      <w:pPr>
        <w:pStyle w:val="Footnotesection"/>
      </w:pPr>
      <w:r>
        <w:tab/>
        <w:t>[Section 120 amended by No. 24 of 2000 s. 49.]</w:t>
      </w:r>
    </w:p>
    <w:p>
      <w:pPr>
        <w:pStyle w:val="Heading5"/>
        <w:rPr>
          <w:snapToGrid w:val="0"/>
        </w:rPr>
      </w:pPr>
      <w:bookmarkStart w:id="241" w:name="_Toc392496600"/>
      <w:r>
        <w:rPr>
          <w:rStyle w:val="CharSectno"/>
        </w:rPr>
        <w:t>121</w:t>
      </w:r>
      <w:r>
        <w:rPr>
          <w:snapToGrid w:val="0"/>
        </w:rPr>
        <w:t>.</w:t>
      </w:r>
      <w:r>
        <w:rPr>
          <w:snapToGrid w:val="0"/>
        </w:rPr>
        <w:tab/>
        <w:t>Advertisements offering credit</w:t>
      </w:r>
      <w:bookmarkEnd w:id="241"/>
    </w:p>
    <w:p>
      <w:pPr>
        <w:pStyle w:val="Subsection"/>
        <w:rPr>
          <w:snapToGrid w:val="0"/>
        </w:rPr>
      </w:pPr>
      <w:r>
        <w:rPr>
          <w:snapToGrid w:val="0"/>
        </w:rPr>
        <w:tab/>
        <w:t>(1)</w:t>
      </w:r>
      <w:r>
        <w:rPr>
          <w:snapToGrid w:val="0"/>
        </w:rPr>
        <w:tab/>
        <w:t>A person shall not publish, or cause to be published, an advertisement stating or implying that credit is available in respect of the payment for goods or services sold or supplied by him under a contract of sale to which Part II applies or that he provides credit under regulated contracts if — </w:t>
      </w:r>
    </w:p>
    <w:p>
      <w:pPr>
        <w:pStyle w:val="Indenta"/>
        <w:rPr>
          <w:snapToGrid w:val="0"/>
        </w:rPr>
      </w:pPr>
      <w:r>
        <w:rPr>
          <w:snapToGrid w:val="0"/>
        </w:rPr>
        <w:tab/>
        <w:t>(a)</w:t>
      </w:r>
      <w:r>
        <w:rPr>
          <w:snapToGrid w:val="0"/>
        </w:rPr>
        <w:tab/>
        <w:t>the advertisement includes — </w:t>
      </w:r>
    </w:p>
    <w:p>
      <w:pPr>
        <w:pStyle w:val="Indenti"/>
        <w:rPr>
          <w:snapToGrid w:val="0"/>
        </w:rPr>
      </w:pPr>
      <w:r>
        <w:rPr>
          <w:snapToGrid w:val="0"/>
        </w:rPr>
        <w:tab/>
        <w:t>(i)</w:t>
      </w:r>
      <w:r>
        <w:rPr>
          <w:snapToGrid w:val="0"/>
        </w:rPr>
        <w:tab/>
        <w:t>a representation that is false, misleading or deceptive; or</w:t>
      </w:r>
    </w:p>
    <w:p>
      <w:pPr>
        <w:pStyle w:val="Indenti"/>
        <w:rPr>
          <w:snapToGrid w:val="0"/>
        </w:rPr>
      </w:pPr>
      <w:r>
        <w:rPr>
          <w:snapToGrid w:val="0"/>
        </w:rPr>
        <w:tab/>
        <w:t>(ii)</w:t>
      </w:r>
      <w:r>
        <w:rPr>
          <w:snapToGrid w:val="0"/>
        </w:rPr>
        <w:tab/>
        <w:t>a statement that is, or is to the effect of, a statement prescribed for the purposes</w:t>
      </w:r>
      <w:bookmarkStart w:id="242" w:name="RuleErr_66"/>
      <w:r>
        <w:rPr>
          <w:snapToGrid w:val="0"/>
        </w:rPr>
        <w:t xml:space="preserve"> of this section</w:t>
      </w:r>
      <w:bookmarkEnd w:id="242"/>
      <w:r>
        <w:rPr>
          <w:snapToGrid w:val="0"/>
        </w:rPr>
        <w:t> as a prohibited statement;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advertisement does not include a statement prescribed for the purposes</w:t>
      </w:r>
      <w:bookmarkStart w:id="243" w:name="RuleErr_67"/>
      <w:r>
        <w:rPr>
          <w:snapToGrid w:val="0"/>
        </w:rPr>
        <w:t xml:space="preserve"> of this section</w:t>
      </w:r>
      <w:bookmarkEnd w:id="243"/>
      <w:r>
        <w:rPr>
          <w:snapToGrid w:val="0"/>
        </w:rPr>
        <w:t> as a statement required to be included in the advertisement; or</w:t>
      </w:r>
    </w:p>
    <w:p>
      <w:pPr>
        <w:pStyle w:val="Indenta"/>
        <w:rPr>
          <w:snapToGrid w:val="0"/>
        </w:rPr>
      </w:pPr>
      <w:r>
        <w:rPr>
          <w:snapToGrid w:val="0"/>
        </w:rPr>
        <w:tab/>
        <w:t>(c)</w:t>
      </w:r>
      <w:r>
        <w:rPr>
          <w:snapToGrid w:val="0"/>
        </w:rPr>
        <w:tab/>
        <w:t>the advertisement includes a statement of the amount of a periodic payment in respect of the credit and does not also, in the advertisement — </w:t>
      </w:r>
    </w:p>
    <w:p>
      <w:pPr>
        <w:pStyle w:val="Indenti"/>
        <w:rPr>
          <w:snapToGrid w:val="0"/>
        </w:rPr>
      </w:pPr>
      <w:r>
        <w:rPr>
          <w:snapToGrid w:val="0"/>
        </w:rPr>
        <w:tab/>
        <w:t>(i)</w:t>
      </w:r>
      <w:r>
        <w:rPr>
          <w:snapToGrid w:val="0"/>
        </w:rPr>
        <w:tab/>
        <w:t>specify the amount that is the total of the amount financed and the credit charge to which that periodic payment relates; and</w:t>
      </w:r>
    </w:p>
    <w:p>
      <w:pPr>
        <w:pStyle w:val="Indenti"/>
        <w:rPr>
          <w:snapToGrid w:val="0"/>
        </w:rPr>
      </w:pPr>
      <w:r>
        <w:rPr>
          <w:snapToGrid w:val="0"/>
        </w:rPr>
        <w:tab/>
        <w:t>(ii)</w:t>
      </w:r>
      <w:r>
        <w:rPr>
          <w:snapToGrid w:val="0"/>
        </w:rPr>
        <w:tab/>
        <w:t>describe that total as the amount repayable by those periodic payments and specify the period over which that total is payable; and</w:t>
      </w:r>
    </w:p>
    <w:p>
      <w:pPr>
        <w:pStyle w:val="Indenti"/>
        <w:spacing w:before="70"/>
        <w:rPr>
          <w:snapToGrid w:val="0"/>
        </w:rPr>
      </w:pPr>
      <w:r>
        <w:rPr>
          <w:snapToGrid w:val="0"/>
        </w:rPr>
        <w:tab/>
        <w:t>(iii)</w:t>
      </w:r>
      <w:r>
        <w:rPr>
          <w:snapToGrid w:val="0"/>
        </w:rPr>
        <w:tab/>
        <w:t>specify the cash price of any such goods or services.</w:t>
      </w:r>
    </w:p>
    <w:p>
      <w:pPr>
        <w:pStyle w:val="Penstart"/>
        <w:spacing w:before="70"/>
        <w:rPr>
          <w:snapToGrid w:val="0"/>
        </w:rPr>
      </w:pPr>
      <w:r>
        <w:rPr>
          <w:snapToGrid w:val="0"/>
        </w:rPr>
        <w:tab/>
        <w:t>Penalty: $5 000.</w:t>
      </w:r>
    </w:p>
    <w:p>
      <w:pPr>
        <w:pStyle w:val="Subsection"/>
        <w:rPr>
          <w:snapToGrid w:val="0"/>
        </w:rPr>
      </w:pPr>
      <w:r>
        <w:rPr>
          <w:snapToGrid w:val="0"/>
        </w:rPr>
        <w:tab/>
        <w:t>(2)</w:t>
      </w:r>
      <w:r>
        <w:rPr>
          <w:snapToGrid w:val="0"/>
        </w:rPr>
        <w:tab/>
        <w:t>A reference in subsection (1) to a false representation includes a reference to a representation that states or implies that the rate of interest or charges payable under a credit contract is a rate other than the annual percentage rate that would be applicable to contracts of that kind.</w:t>
      </w:r>
    </w:p>
    <w:p>
      <w:pPr>
        <w:pStyle w:val="Subsection"/>
        <w:rPr>
          <w:snapToGrid w:val="0"/>
        </w:rPr>
      </w:pPr>
      <w:r>
        <w:rPr>
          <w:snapToGrid w:val="0"/>
        </w:rPr>
        <w:tab/>
        <w:t>(3)</w:t>
      </w:r>
      <w:r>
        <w:rPr>
          <w:snapToGrid w:val="0"/>
        </w:rPr>
        <w:tab/>
        <w:t>In any proceedings for a contravention of subsection (1)(a)(i), if it is proved that the representation to which the proceedings relate was false, misleading or deceptive in a material particular, the person who published the representation, or caused it to be published, shall be deemed to have published it, or to have caused it to be published, with knowledge of its falsity, or misleading or deceptive character, as the case may be, unless he proves that, having taken all reasonable precautions against such a contravention, he had reasonable grounds to believe, and did believe, that the representation was true, and had no reason to suspect that the representation was false, misleading or deceptive.</w:t>
      </w:r>
    </w:p>
    <w:p>
      <w:pPr>
        <w:pStyle w:val="Subsection"/>
        <w:rPr>
          <w:snapToGrid w:val="0"/>
        </w:rPr>
      </w:pPr>
      <w:r>
        <w:rPr>
          <w:snapToGrid w:val="0"/>
        </w:rPr>
        <w:tab/>
        <w:t>(4)</w:t>
      </w:r>
      <w:r>
        <w:rPr>
          <w:snapToGrid w:val="0"/>
        </w:rPr>
        <w:tab/>
        <w:t>Where — </w:t>
      </w:r>
    </w:p>
    <w:p>
      <w:pPr>
        <w:pStyle w:val="Indenta"/>
        <w:spacing w:before="70"/>
        <w:rPr>
          <w:snapToGrid w:val="0"/>
        </w:rPr>
      </w:pPr>
      <w:r>
        <w:rPr>
          <w:snapToGrid w:val="0"/>
        </w:rPr>
        <w:tab/>
        <w:t>(a)</w:t>
      </w:r>
      <w:r>
        <w:rPr>
          <w:snapToGrid w:val="0"/>
        </w:rPr>
        <w:tab/>
        <w:t>an advertisement is published in contravention of subsection (1); and</w:t>
      </w:r>
    </w:p>
    <w:p>
      <w:pPr>
        <w:pStyle w:val="Indenta"/>
        <w:spacing w:before="70"/>
        <w:rPr>
          <w:snapToGrid w:val="0"/>
        </w:rPr>
      </w:pPr>
      <w:r>
        <w:rPr>
          <w:snapToGrid w:val="0"/>
        </w:rPr>
        <w:tab/>
        <w:t>(b)</w:t>
      </w:r>
      <w:r>
        <w:rPr>
          <w:snapToGrid w:val="0"/>
        </w:rPr>
        <w:tab/>
        <w:t>within 3 months after that publication, a debtor enters into a regulated contract to which, or into a regulated contract of a kind to which, the advertisement relates; and</w:t>
      </w:r>
    </w:p>
    <w:p>
      <w:pPr>
        <w:pStyle w:val="Indenta"/>
        <w:spacing w:before="70"/>
        <w:rPr>
          <w:snapToGrid w:val="0"/>
        </w:rPr>
      </w:pPr>
      <w:r>
        <w:rPr>
          <w:snapToGrid w:val="0"/>
        </w:rPr>
        <w:tab/>
        <w:t>(c)</w:t>
      </w:r>
      <w:r>
        <w:rPr>
          <w:snapToGrid w:val="0"/>
        </w:rPr>
        <w:tab/>
        <w:t>the debtor suffers loss by reason of entering into the contract as a result of the advertisement,</w:t>
      </w:r>
    </w:p>
    <w:p>
      <w:pPr>
        <w:pStyle w:val="Subsection"/>
        <w:spacing w:before="80"/>
        <w:rPr>
          <w:snapToGrid w:val="0"/>
        </w:rPr>
      </w:pPr>
      <w:r>
        <w:rPr>
          <w:snapToGrid w:val="0"/>
        </w:rPr>
        <w:tab/>
      </w:r>
      <w:r>
        <w:rPr>
          <w:snapToGrid w:val="0"/>
        </w:rPr>
        <w:tab/>
        <w:t>the person who so published the advertisement or caused it to be published is liable to the debtor for the amount of the lo</w:t>
      </w:r>
      <w:bookmarkStart w:id="244" w:name="RuleErr_161"/>
      <w:r>
        <w:rPr>
          <w:snapToGrid w:val="0"/>
        </w:rPr>
        <w:t>ss.</w:t>
      </w:r>
      <w:bookmarkEnd w:id="244"/>
    </w:p>
    <w:p>
      <w:pPr>
        <w:pStyle w:val="Subsection"/>
        <w:rPr>
          <w:snapToGrid w:val="0"/>
        </w:rPr>
      </w:pPr>
      <w:r>
        <w:rPr>
          <w:snapToGrid w:val="0"/>
        </w:rPr>
        <w:tab/>
        <w:t>(5)</w:t>
      </w:r>
      <w:r>
        <w:rPr>
          <w:snapToGrid w:val="0"/>
        </w:rPr>
        <w:tab/>
        <w:t>Subsection (4) — </w:t>
      </w:r>
    </w:p>
    <w:p>
      <w:pPr>
        <w:pStyle w:val="Indenta"/>
        <w:rPr>
          <w:snapToGrid w:val="0"/>
        </w:rPr>
      </w:pPr>
      <w:r>
        <w:rPr>
          <w:snapToGrid w:val="0"/>
        </w:rPr>
        <w:tab/>
        <w:t>(a)</w:t>
      </w:r>
      <w:r>
        <w:rPr>
          <w:snapToGrid w:val="0"/>
        </w:rPr>
        <w:tab/>
        <w:t>does not affect the liability of a person to be convicted of an offence against this Act by reason of a contravention of subsection (1); and</w:t>
      </w:r>
    </w:p>
    <w:p>
      <w:pPr>
        <w:pStyle w:val="Indenta"/>
        <w:rPr>
          <w:snapToGrid w:val="0"/>
        </w:rPr>
      </w:pPr>
      <w:r>
        <w:rPr>
          <w:snapToGrid w:val="0"/>
        </w:rPr>
        <w:tab/>
        <w:t>(b)</w:t>
      </w:r>
      <w:r>
        <w:rPr>
          <w:snapToGrid w:val="0"/>
        </w:rPr>
        <w:tab/>
        <w:t>is in addition to all other rights (whether under this Act or any other Act or law) of a debtor against the person who published the advertisement or caused it to be published.</w:t>
      </w:r>
    </w:p>
    <w:p>
      <w:pPr>
        <w:pStyle w:val="Subsection"/>
        <w:rPr>
          <w:snapToGrid w:val="0"/>
        </w:rPr>
      </w:pPr>
      <w:r>
        <w:rPr>
          <w:snapToGrid w:val="0"/>
        </w:rPr>
        <w:tab/>
        <w:t>(6)</w:t>
      </w:r>
      <w:r>
        <w:rPr>
          <w:snapToGrid w:val="0"/>
        </w:rPr>
        <w:tab/>
        <w:t>In any proceedings arising under this section — </w:t>
      </w:r>
    </w:p>
    <w:p>
      <w:pPr>
        <w:pStyle w:val="Indenta"/>
        <w:rPr>
          <w:snapToGrid w:val="0"/>
        </w:rPr>
      </w:pPr>
      <w:r>
        <w:rPr>
          <w:snapToGrid w:val="0"/>
        </w:rPr>
        <w:tab/>
        <w:t>(a)</w:t>
      </w:r>
      <w:r>
        <w:rPr>
          <w:snapToGrid w:val="0"/>
        </w:rPr>
        <w:tab/>
        <w:t>where a name, business name, address, telephone number or post office box number specified in an advertisement is that of a person, or of the agent of a person, who — </w:t>
      </w:r>
    </w:p>
    <w:p>
      <w:pPr>
        <w:pStyle w:val="Indenti"/>
        <w:rPr>
          <w:snapToGrid w:val="0"/>
        </w:rPr>
      </w:pPr>
      <w:r>
        <w:rPr>
          <w:snapToGrid w:val="0"/>
        </w:rPr>
        <w:tab/>
        <w:t>(i)</w:t>
      </w:r>
      <w:r>
        <w:rPr>
          <w:snapToGrid w:val="0"/>
        </w:rPr>
        <w:tab/>
        <w:t>is the owner, whether alone or jointly with one or more other persons, of any goods; or</w:t>
      </w:r>
    </w:p>
    <w:p>
      <w:pPr>
        <w:pStyle w:val="Indenti"/>
        <w:rPr>
          <w:snapToGrid w:val="0"/>
        </w:rPr>
      </w:pPr>
      <w:r>
        <w:rPr>
          <w:snapToGrid w:val="0"/>
        </w:rPr>
        <w:tab/>
        <w:t>(ii)</w:t>
      </w:r>
      <w:r>
        <w:rPr>
          <w:snapToGrid w:val="0"/>
        </w:rPr>
        <w:tab/>
        <w:t>is the supplier of any goods or services; or</w:t>
      </w:r>
    </w:p>
    <w:p>
      <w:pPr>
        <w:pStyle w:val="Indenti"/>
        <w:rPr>
          <w:snapToGrid w:val="0"/>
        </w:rPr>
      </w:pPr>
      <w:r>
        <w:rPr>
          <w:snapToGrid w:val="0"/>
        </w:rPr>
        <w:tab/>
        <w:t>(iii)</w:t>
      </w:r>
      <w:r>
        <w:rPr>
          <w:snapToGrid w:val="0"/>
        </w:rPr>
        <w:tab/>
        <w:t>has an interest in goods otherwise than as an owner or has an interest in the supply of any services; or</w:t>
      </w:r>
    </w:p>
    <w:p>
      <w:pPr>
        <w:pStyle w:val="Indenti"/>
        <w:rPr>
          <w:snapToGrid w:val="0"/>
        </w:rPr>
      </w:pPr>
      <w:r>
        <w:rPr>
          <w:snapToGrid w:val="0"/>
        </w:rPr>
        <w:tab/>
        <w:t>(iv)</w:t>
      </w:r>
      <w:r>
        <w:rPr>
          <w:snapToGrid w:val="0"/>
        </w:rPr>
        <w:tab/>
        <w:t>provides credit under regulated contracts,</w:t>
      </w:r>
    </w:p>
    <w:p>
      <w:pPr>
        <w:pStyle w:val="Indenta"/>
        <w:rPr>
          <w:snapToGrid w:val="0"/>
        </w:rPr>
      </w:pPr>
      <w:r>
        <w:rPr>
          <w:snapToGrid w:val="0"/>
        </w:rPr>
        <w:tab/>
      </w:r>
      <w:r>
        <w:rPr>
          <w:snapToGrid w:val="0"/>
        </w:rPr>
        <w:tab/>
        <w:t>being goods or services the supply of which, or credit the provision of which, the advertisement is intended or apparently intended to promote, that person or agent, as the case may be, shall be deemed, in the absence of proof to the contrary, to have caused the advertisement to be published; and</w:t>
      </w:r>
    </w:p>
    <w:p>
      <w:pPr>
        <w:pStyle w:val="Indenta"/>
        <w:rPr>
          <w:snapToGrid w:val="0"/>
        </w:rPr>
      </w:pPr>
      <w:r>
        <w:rPr>
          <w:snapToGrid w:val="0"/>
        </w:rPr>
        <w:tab/>
        <w:t>(b)</w:t>
      </w:r>
      <w:r>
        <w:rPr>
          <w:snapToGrid w:val="0"/>
        </w:rPr>
        <w:tab/>
        <w:t>a person who causes an advertisement to be published shall be deemed to have done so on any day on which the advertisement is published.</w:t>
      </w:r>
    </w:p>
    <w:p>
      <w:pPr>
        <w:pStyle w:val="Subsection"/>
        <w:rPr>
          <w:snapToGrid w:val="0"/>
        </w:rPr>
      </w:pPr>
      <w:r>
        <w:rPr>
          <w:snapToGrid w:val="0"/>
        </w:rPr>
        <w:tab/>
        <w:t>(7)</w:t>
      </w:r>
      <w:r>
        <w:rPr>
          <w:snapToGrid w:val="0"/>
        </w:rPr>
        <w:tab/>
        <w:t>Proceedings for a contravention of a provision</w:t>
      </w:r>
      <w:bookmarkStart w:id="245" w:name="RuleErr_68"/>
      <w:r>
        <w:rPr>
          <w:snapToGrid w:val="0"/>
        </w:rPr>
        <w:t xml:space="preserve"> of this section</w:t>
      </w:r>
      <w:bookmarkEnd w:id="245"/>
      <w:r>
        <w:rPr>
          <w:snapToGrid w:val="0"/>
        </w:rPr>
        <w:t> or under subsection (4) do not lie against the printer, publisher or proprietor of a newspaper, or the licensee of a commercial broadcasting station or commercial television station, or the exhibitor of a film, or against any person acting under the authority of such a printer, publisher, proprietor, licensee or exhibitor, for the publication of a representation or statement in, or omission of a statement from, an advertisement unless — </w:t>
      </w:r>
    </w:p>
    <w:p>
      <w:pPr>
        <w:pStyle w:val="Indenta"/>
        <w:rPr>
          <w:snapToGrid w:val="0"/>
        </w:rPr>
      </w:pPr>
      <w:r>
        <w:rPr>
          <w:snapToGrid w:val="0"/>
        </w:rPr>
        <w:tab/>
        <w:t>(a)</w:t>
      </w:r>
      <w:r>
        <w:rPr>
          <w:snapToGrid w:val="0"/>
        </w:rPr>
        <w:tab/>
        <w:t>the printer, publisher, proprietor, licensee or exhibitor was warned by the Commissioner — </w:t>
      </w:r>
    </w:p>
    <w:p>
      <w:pPr>
        <w:pStyle w:val="Indenti"/>
        <w:rPr>
          <w:snapToGrid w:val="0"/>
        </w:rPr>
      </w:pPr>
      <w:r>
        <w:rPr>
          <w:snapToGrid w:val="0"/>
        </w:rPr>
        <w:tab/>
        <w:t>(i)</w:t>
      </w:r>
      <w:r>
        <w:rPr>
          <w:snapToGrid w:val="0"/>
        </w:rPr>
        <w:tab/>
        <w:t>in the case of a representation referred to in subsection (1)(a)(i) — that publication of the representation, or of a representation substantially the same as that representation; or</w:t>
      </w:r>
    </w:p>
    <w:p>
      <w:pPr>
        <w:pStyle w:val="Indenti"/>
        <w:rPr>
          <w:snapToGrid w:val="0"/>
        </w:rPr>
      </w:pPr>
      <w:r>
        <w:rPr>
          <w:snapToGrid w:val="0"/>
        </w:rPr>
        <w:tab/>
        <w:t>(ii)</w:t>
      </w:r>
      <w:r>
        <w:rPr>
          <w:snapToGrid w:val="0"/>
        </w:rPr>
        <w:tab/>
        <w:t>in any other case — that publication or, as the case may require, omission of the statement,</w:t>
      </w:r>
    </w:p>
    <w:p>
      <w:pPr>
        <w:pStyle w:val="Indenta"/>
        <w:rPr>
          <w:snapToGrid w:val="0"/>
        </w:rPr>
      </w:pPr>
      <w:r>
        <w:rPr>
          <w:snapToGrid w:val="0"/>
        </w:rPr>
        <w:tab/>
      </w:r>
      <w:r>
        <w:rPr>
          <w:snapToGrid w:val="0"/>
        </w:rPr>
        <w:tab/>
        <w:t>would be such a contravention; and</w:t>
      </w:r>
    </w:p>
    <w:p>
      <w:pPr>
        <w:pStyle w:val="Indenta"/>
        <w:rPr>
          <w:snapToGrid w:val="0"/>
        </w:rPr>
      </w:pPr>
      <w:r>
        <w:rPr>
          <w:snapToGrid w:val="0"/>
        </w:rPr>
        <w:tab/>
        <w:t>(b)</w:t>
      </w:r>
      <w:r>
        <w:rPr>
          <w:snapToGrid w:val="0"/>
        </w:rPr>
        <w:tab/>
        <w:t>the printer, publisher, proprietor, licensee or exhibitor, after receipt of the warning, published, or caused to be published or, as the case may be, omitted to publish, the representation or statement in an advertisement.</w:t>
      </w:r>
    </w:p>
    <w:p>
      <w:pPr>
        <w:pStyle w:val="Subsection"/>
        <w:rPr>
          <w:snapToGrid w:val="0"/>
        </w:rPr>
      </w:pPr>
      <w:r>
        <w:rPr>
          <w:snapToGrid w:val="0"/>
        </w:rPr>
        <w:tab/>
        <w:t>(8)</w:t>
      </w:r>
      <w:r>
        <w:rPr>
          <w:snapToGrid w:val="0"/>
        </w:rPr>
        <w:tab/>
        <w:t>In this section — </w:t>
      </w:r>
    </w:p>
    <w:p>
      <w:pPr>
        <w:pStyle w:val="Indenta"/>
        <w:rPr>
          <w:snapToGrid w:val="0"/>
        </w:rPr>
      </w:pPr>
      <w:r>
        <w:rPr>
          <w:snapToGrid w:val="0"/>
        </w:rPr>
        <w:tab/>
        <w:t>(a)</w:t>
      </w:r>
      <w:r>
        <w:rPr>
          <w:snapToGrid w:val="0"/>
        </w:rPr>
        <w:tab/>
      </w:r>
      <w:r>
        <w:rPr>
          <w:rStyle w:val="CharDefText"/>
        </w:rPr>
        <w:t>advertisement</w:t>
      </w:r>
      <w:r>
        <w:rPr>
          <w:snapToGrid w:val="0"/>
        </w:rPr>
        <w:t xml:space="preserve"> includes, without affecting the generality of the expression, a notice, sign, label, circular and matter that is not writing but, by reason of the form or context in which it appears, conveys a message; and</w:t>
      </w:r>
    </w:p>
    <w:p>
      <w:pPr>
        <w:pStyle w:val="Indenta"/>
        <w:rPr>
          <w:snapToGrid w:val="0"/>
        </w:rPr>
      </w:pPr>
      <w:r>
        <w:rPr>
          <w:snapToGrid w:val="0"/>
        </w:rPr>
        <w:tab/>
        <w:t>(b)</w:t>
      </w:r>
      <w:r>
        <w:rPr>
          <w:snapToGrid w:val="0"/>
        </w:rPr>
        <w:tab/>
        <w:t>a reference to the publishing of an advertisement is a reference to its publishing by any means, including publication in a newspaper or periodical, by radio, by television or in a film; and</w:t>
      </w:r>
    </w:p>
    <w:p>
      <w:pPr>
        <w:pStyle w:val="Indenta"/>
        <w:rPr>
          <w:snapToGrid w:val="0"/>
        </w:rPr>
      </w:pPr>
      <w:r>
        <w:rPr>
          <w:snapToGrid w:val="0"/>
        </w:rPr>
        <w:tab/>
        <w:t>(c)</w:t>
      </w:r>
      <w:r>
        <w:rPr>
          <w:snapToGrid w:val="0"/>
        </w:rPr>
        <w:tab/>
      </w:r>
      <w:r>
        <w:rPr>
          <w:rStyle w:val="CharDefText"/>
        </w:rPr>
        <w:t>licensee</w:t>
      </w:r>
      <w:r>
        <w:rPr>
          <w:snapToGrid w:val="0"/>
        </w:rPr>
        <w:t xml:space="preserve">, </w:t>
      </w:r>
      <w:r>
        <w:rPr>
          <w:rStyle w:val="CharDefText"/>
        </w:rPr>
        <w:t>commercial broadcasting station</w:t>
      </w:r>
      <w:r>
        <w:rPr>
          <w:snapToGrid w:val="0"/>
        </w:rPr>
        <w:t xml:space="preserve"> and </w:t>
      </w:r>
      <w:r>
        <w:rPr>
          <w:rStyle w:val="CharDefText"/>
        </w:rPr>
        <w:t>commercial television station</w:t>
      </w:r>
      <w:r>
        <w:rPr>
          <w:snapToGrid w:val="0"/>
        </w:rPr>
        <w:t xml:space="preserve"> have the same meanings as they have in the </w:t>
      </w:r>
      <w:r>
        <w:rPr>
          <w:i/>
          <w:snapToGrid w:val="0"/>
        </w:rPr>
        <w:t>Broadcasting and Television Act 1942</w:t>
      </w:r>
      <w:r>
        <w:rPr>
          <w:iCs/>
          <w:snapToGrid w:val="0"/>
          <w:vertAlign w:val="superscript"/>
        </w:rPr>
        <w:t> 5</w:t>
      </w:r>
      <w:r>
        <w:rPr>
          <w:snapToGrid w:val="0"/>
        </w:rPr>
        <w:t xml:space="preserve"> of the Commonwealth, as amended and in force for the time being.</w:t>
      </w:r>
    </w:p>
    <w:p>
      <w:pPr>
        <w:pStyle w:val="Heading5"/>
        <w:rPr>
          <w:snapToGrid w:val="0"/>
        </w:rPr>
      </w:pPr>
      <w:bookmarkStart w:id="246" w:name="_Toc392496601"/>
      <w:r>
        <w:rPr>
          <w:rStyle w:val="CharSectno"/>
        </w:rPr>
        <w:t>122</w:t>
      </w:r>
      <w:r>
        <w:rPr>
          <w:snapToGrid w:val="0"/>
        </w:rPr>
        <w:t>.</w:t>
      </w:r>
      <w:r>
        <w:rPr>
          <w:snapToGrid w:val="0"/>
        </w:rPr>
        <w:tab/>
        <w:t>Canvassing offers to provide credit</w:t>
      </w:r>
      <w:bookmarkEnd w:id="246"/>
    </w:p>
    <w:p>
      <w:pPr>
        <w:pStyle w:val="Subsection"/>
        <w:rPr>
          <w:snapToGrid w:val="0"/>
        </w:rPr>
      </w:pPr>
      <w:r>
        <w:rPr>
          <w:snapToGrid w:val="0"/>
        </w:rPr>
        <w:tab/>
        <w:t>(1)</w:t>
      </w:r>
      <w:r>
        <w:rPr>
          <w:snapToGrid w:val="0"/>
        </w:rPr>
        <w:tab/>
        <w:t>Subject to subsection (2), a credit provider shall not canvass, or employ a person for the purpose of canvassing, at the place of residence or business of another person with a view to inducing that other person to apply for or obtain credit under a regulated contract.</w:t>
      </w:r>
    </w:p>
    <w:p>
      <w:pPr>
        <w:pStyle w:val="Penstart"/>
        <w:rPr>
          <w:snapToGrid w:val="0"/>
        </w:rPr>
      </w:pPr>
      <w:r>
        <w:rPr>
          <w:snapToGrid w:val="0"/>
        </w:rPr>
        <w:tab/>
        <w:t>Penalty: $5 000.</w:t>
      </w:r>
    </w:p>
    <w:p>
      <w:pPr>
        <w:pStyle w:val="Subsection"/>
        <w:rPr>
          <w:snapToGrid w:val="0"/>
        </w:rPr>
      </w:pPr>
      <w:r>
        <w:rPr>
          <w:snapToGrid w:val="0"/>
        </w:rPr>
        <w:tab/>
        <w:t>(2)</w:t>
      </w:r>
      <w:r>
        <w:rPr>
          <w:snapToGrid w:val="0"/>
        </w:rPr>
        <w:tab/>
        <w:t>Subsection (1) does not apply to or in relation to an invitation by or on behalf of a credit provider in respect of the provision of credit for or in connection with — </w:t>
      </w:r>
    </w:p>
    <w:p>
      <w:pPr>
        <w:pStyle w:val="Indenta"/>
        <w:rPr>
          <w:snapToGrid w:val="0"/>
        </w:rPr>
      </w:pPr>
      <w:r>
        <w:rPr>
          <w:snapToGrid w:val="0"/>
        </w:rPr>
        <w:tab/>
        <w:t>(a)</w:t>
      </w:r>
      <w:r>
        <w:rPr>
          <w:snapToGrid w:val="0"/>
        </w:rPr>
        <w:tab/>
        <w:t>the purchase of goods of a particular kind by a supplier who deals in goods of that kind; or</w:t>
      </w:r>
    </w:p>
    <w:p>
      <w:pPr>
        <w:pStyle w:val="Indenta"/>
        <w:rPr>
          <w:snapToGrid w:val="0"/>
        </w:rPr>
      </w:pPr>
      <w:r>
        <w:rPr>
          <w:snapToGrid w:val="0"/>
        </w:rPr>
        <w:tab/>
        <w:t>(b)</w:t>
      </w:r>
      <w:r>
        <w:rPr>
          <w:snapToGrid w:val="0"/>
        </w:rPr>
        <w:tab/>
        <w:t>the purchase of goods or services from a supplier where the invitation and supply are made by the same person.</w:t>
      </w:r>
    </w:p>
    <w:p>
      <w:pPr>
        <w:pStyle w:val="Subsection"/>
        <w:rPr>
          <w:snapToGrid w:val="0"/>
        </w:rPr>
      </w:pPr>
      <w:r>
        <w:rPr>
          <w:snapToGrid w:val="0"/>
        </w:rPr>
        <w:tab/>
        <w:t>(3)</w:t>
      </w:r>
      <w:r>
        <w:rPr>
          <w:snapToGrid w:val="0"/>
        </w:rPr>
        <w:tab/>
        <w:t>Where a debtor suffers loss by reason of entering into a regulated contract initiated by a person in contravention of subsection (1), the credit provider is liable to the debtor for the amount of that lo</w:t>
      </w:r>
      <w:bookmarkStart w:id="247" w:name="RuleErr_162"/>
      <w:r>
        <w:rPr>
          <w:snapToGrid w:val="0"/>
        </w:rPr>
        <w:t>ss.</w:t>
      </w:r>
      <w:bookmarkEnd w:id="247"/>
    </w:p>
    <w:p>
      <w:pPr>
        <w:pStyle w:val="Subsection"/>
        <w:rPr>
          <w:snapToGrid w:val="0"/>
        </w:rPr>
      </w:pPr>
      <w:r>
        <w:rPr>
          <w:snapToGrid w:val="0"/>
        </w:rPr>
        <w:tab/>
        <w:t>(4)</w:t>
      </w:r>
      <w:r>
        <w:rPr>
          <w:snapToGrid w:val="0"/>
        </w:rPr>
        <w:tab/>
        <w:t>Subsection (3) — </w:t>
      </w:r>
    </w:p>
    <w:p>
      <w:pPr>
        <w:pStyle w:val="Indenta"/>
        <w:rPr>
          <w:snapToGrid w:val="0"/>
        </w:rPr>
      </w:pPr>
      <w:r>
        <w:rPr>
          <w:snapToGrid w:val="0"/>
        </w:rPr>
        <w:tab/>
        <w:t>(a)</w:t>
      </w:r>
      <w:r>
        <w:rPr>
          <w:snapToGrid w:val="0"/>
        </w:rPr>
        <w:tab/>
        <w:t>does not affect the liability of a person to be convicted of an offence against this section; and</w:t>
      </w:r>
    </w:p>
    <w:p>
      <w:pPr>
        <w:pStyle w:val="Indenta"/>
        <w:rPr>
          <w:snapToGrid w:val="0"/>
        </w:rPr>
      </w:pPr>
      <w:r>
        <w:rPr>
          <w:snapToGrid w:val="0"/>
        </w:rPr>
        <w:tab/>
        <w:t>(b)</w:t>
      </w:r>
      <w:r>
        <w:rPr>
          <w:snapToGrid w:val="0"/>
        </w:rPr>
        <w:tab/>
        <w:t>is in addition to all other rights of a debtor exercisable against the credit provider in relation to the contract (whether under this Act or any other Act or law).</w:t>
      </w:r>
    </w:p>
    <w:p>
      <w:pPr>
        <w:pStyle w:val="Heading5"/>
        <w:rPr>
          <w:snapToGrid w:val="0"/>
        </w:rPr>
      </w:pPr>
      <w:bookmarkStart w:id="248" w:name="_Toc392496602"/>
      <w:r>
        <w:rPr>
          <w:rStyle w:val="CharSectno"/>
        </w:rPr>
        <w:t>123</w:t>
      </w:r>
      <w:r>
        <w:rPr>
          <w:snapToGrid w:val="0"/>
        </w:rPr>
        <w:t>.</w:t>
      </w:r>
      <w:r>
        <w:rPr>
          <w:snapToGrid w:val="0"/>
        </w:rPr>
        <w:tab/>
        <w:t>Terms of contracts etc., regulations may prescribe</w:t>
      </w:r>
      <w:bookmarkEnd w:id="248"/>
    </w:p>
    <w:p>
      <w:pPr>
        <w:pStyle w:val="Subsection"/>
        <w:rPr>
          <w:snapToGrid w:val="0"/>
        </w:rPr>
      </w:pPr>
      <w:r>
        <w:rPr>
          <w:snapToGrid w:val="0"/>
        </w:rPr>
        <w:tab/>
      </w:r>
      <w:r>
        <w:rPr>
          <w:snapToGrid w:val="0"/>
        </w:rPr>
        <w:tab/>
        <w:t>The regulations may require the use of specified descriptive terms in a regulated contract, a notice under section 59, a statement of account referred to in section 61 or any other document, or in an advertisement relating to the provision of credit or to the business of a credit provider.</w:t>
      </w:r>
    </w:p>
    <w:p>
      <w:pPr>
        <w:pStyle w:val="Heading5"/>
        <w:rPr>
          <w:snapToGrid w:val="0"/>
        </w:rPr>
      </w:pPr>
      <w:bookmarkStart w:id="249" w:name="_Toc392496603"/>
      <w:r>
        <w:rPr>
          <w:rStyle w:val="CharSectno"/>
        </w:rPr>
        <w:t>124</w:t>
      </w:r>
      <w:r>
        <w:rPr>
          <w:snapToGrid w:val="0"/>
        </w:rPr>
        <w:t>.</w:t>
      </w:r>
      <w:r>
        <w:rPr>
          <w:snapToGrid w:val="0"/>
        </w:rPr>
        <w:tab/>
        <w:t>Agents of debtors etc., agreements etc. as to</w:t>
      </w:r>
      <w:bookmarkEnd w:id="249"/>
    </w:p>
    <w:p>
      <w:pPr>
        <w:pStyle w:val="Subsection"/>
        <w:rPr>
          <w:snapToGrid w:val="0"/>
        </w:rPr>
      </w:pPr>
      <w:r>
        <w:rPr>
          <w:snapToGrid w:val="0"/>
        </w:rPr>
        <w:tab/>
        <w:t>(1)</w:t>
      </w:r>
      <w:r>
        <w:rPr>
          <w:snapToGrid w:val="0"/>
        </w:rPr>
        <w:tab/>
        <w:t>An agreement or arrangement to the effect that a credit provider or a mortgagee, or a person acting on behalf of, or who is associated with, a credit provider or a mortgagee — </w:t>
      </w:r>
    </w:p>
    <w:p>
      <w:pPr>
        <w:pStyle w:val="Indenta"/>
        <w:rPr>
          <w:snapToGrid w:val="0"/>
        </w:rPr>
      </w:pPr>
      <w:r>
        <w:rPr>
          <w:snapToGrid w:val="0"/>
        </w:rPr>
        <w:tab/>
        <w:t>(a)</w:t>
      </w:r>
      <w:r>
        <w:rPr>
          <w:snapToGrid w:val="0"/>
        </w:rPr>
        <w:tab/>
        <w:t>is authorised to enter into or to offer to enter into a regulated contract or a regulated mortgage on behalf of the debtor or mortgagor; or</w:t>
      </w:r>
    </w:p>
    <w:p>
      <w:pPr>
        <w:pStyle w:val="Indenta"/>
        <w:rPr>
          <w:snapToGrid w:val="0"/>
        </w:rPr>
      </w:pPr>
      <w:r>
        <w:rPr>
          <w:snapToGrid w:val="0"/>
        </w:rPr>
        <w:tab/>
        <w:t>(b)</w:t>
      </w:r>
      <w:r>
        <w:rPr>
          <w:snapToGrid w:val="0"/>
        </w:rPr>
        <w:tab/>
        <w:t>is to be treated as, or declared to be the agent of, the debtor or mortgagor in relation to entering into, or offering to enter into, a regulated contract or regulated mortgage,</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credit provider, a mortgagee or a person acting on behalf of, or associated with, a credit provider or mortgagee shall not enter into an agreement or arrangement that, by reason of subsection (1), is void.</w:t>
      </w:r>
    </w:p>
    <w:p>
      <w:pPr>
        <w:pStyle w:val="Penstart"/>
        <w:rPr>
          <w:snapToGrid w:val="0"/>
        </w:rPr>
      </w:pPr>
      <w:r>
        <w:rPr>
          <w:snapToGrid w:val="0"/>
        </w:rPr>
        <w:tab/>
        <w:t>Penalty: $2 000.</w:t>
      </w:r>
    </w:p>
    <w:p>
      <w:pPr>
        <w:pStyle w:val="Heading5"/>
        <w:rPr>
          <w:snapToGrid w:val="0"/>
        </w:rPr>
      </w:pPr>
      <w:bookmarkStart w:id="250" w:name="_Toc392496604"/>
      <w:r>
        <w:rPr>
          <w:rStyle w:val="CharSectno"/>
        </w:rPr>
        <w:t>125</w:t>
      </w:r>
      <w:r>
        <w:rPr>
          <w:snapToGrid w:val="0"/>
        </w:rPr>
        <w:t>.</w:t>
      </w:r>
      <w:r>
        <w:rPr>
          <w:snapToGrid w:val="0"/>
        </w:rPr>
        <w:tab/>
        <w:t>Contract or mortgage not illegal etc. by reason of offence</w:t>
      </w:r>
      <w:bookmarkEnd w:id="250"/>
    </w:p>
    <w:p>
      <w:pPr>
        <w:pStyle w:val="Subsection"/>
        <w:rPr>
          <w:snapToGrid w:val="0"/>
        </w:rPr>
      </w:pPr>
      <w:r>
        <w:rPr>
          <w:snapToGrid w:val="0"/>
        </w:rPr>
        <w:tab/>
        <w:t>(1)</w:t>
      </w:r>
      <w:r>
        <w:rPr>
          <w:snapToGrid w:val="0"/>
        </w:rPr>
        <w:tab/>
        <w:t>A regulated contract or a regulated mortgage is not illegal, void or unenforceable by reason only that the credit provider or mortgagee is guilty of an offence against this Act.</w:t>
      </w:r>
    </w:p>
    <w:p>
      <w:pPr>
        <w:pStyle w:val="Subsection"/>
        <w:rPr>
          <w:snapToGrid w:val="0"/>
        </w:rPr>
      </w:pPr>
      <w:r>
        <w:rPr>
          <w:snapToGrid w:val="0"/>
        </w:rPr>
        <w:tab/>
        <w:t>(2)</w:t>
      </w:r>
      <w:r>
        <w:rPr>
          <w:snapToGrid w:val="0"/>
        </w:rPr>
        <w:tab/>
        <w:t>Where a credit provider or mortgagee commits an offence against this Act in relation to a regulated contract or a regulated mortgage, the debtor or mortgagor does not, by reason only of being or having been a party to the regulated contract or regulated mortgage, aid, abet, counsel or procure the commission of the offence.</w:t>
      </w:r>
    </w:p>
    <w:p>
      <w:pPr>
        <w:pStyle w:val="Heading5"/>
        <w:rPr>
          <w:snapToGrid w:val="0"/>
        </w:rPr>
      </w:pPr>
      <w:bookmarkStart w:id="251" w:name="_Toc392496605"/>
      <w:r>
        <w:rPr>
          <w:rStyle w:val="CharSectno"/>
        </w:rPr>
        <w:t>126</w:t>
      </w:r>
      <w:r>
        <w:rPr>
          <w:snapToGrid w:val="0"/>
        </w:rPr>
        <w:t>.</w:t>
      </w:r>
      <w:r>
        <w:rPr>
          <w:snapToGrid w:val="0"/>
        </w:rPr>
        <w:tab/>
        <w:t>Notices to be given to each of 2 or more debtors etc.</w:t>
      </w:r>
      <w:bookmarkEnd w:id="251"/>
    </w:p>
    <w:p>
      <w:pPr>
        <w:pStyle w:val="Subsection"/>
        <w:rPr>
          <w:snapToGrid w:val="0"/>
        </w:rPr>
      </w:pPr>
      <w:r>
        <w:rPr>
          <w:snapToGrid w:val="0"/>
        </w:rPr>
        <w:tab/>
      </w:r>
      <w:r>
        <w:rPr>
          <w:snapToGrid w:val="0"/>
        </w:rPr>
        <w:tab/>
        <w:t>Where, under this Act, a credit provider or a mortgagee gives a notice or other document to, or serves a notice or other document on, a debtor, mortgagor or guarantor, being a debtor, mortgagor or guarantor constituted by 2 or more persons, the credit provider or mortgagee shall be deemed not to have given the notice or other document to, or served the notice or other document on, the debtor, mortgagor or guarantor, as the case may be, unless he gives it to, or serves it on, each of the persons constituting the debtor, mortgagor or guarantor.</w:t>
      </w:r>
    </w:p>
    <w:p>
      <w:pPr>
        <w:pStyle w:val="Heading2"/>
      </w:pPr>
      <w:bookmarkStart w:id="252" w:name="_Toc378152682"/>
      <w:bookmarkStart w:id="253" w:name="_Toc392496606"/>
      <w:r>
        <w:rPr>
          <w:rStyle w:val="CharPartNo"/>
        </w:rPr>
        <w:t>Part VII</w:t>
      </w:r>
      <w:r>
        <w:rPr>
          <w:rStyle w:val="CharDivNo"/>
        </w:rPr>
        <w:t> </w:t>
      </w:r>
      <w:r>
        <w:t>—</w:t>
      </w:r>
      <w:r>
        <w:rPr>
          <w:rStyle w:val="CharDivText"/>
        </w:rPr>
        <w:t> </w:t>
      </w:r>
      <w:r>
        <w:rPr>
          <w:rStyle w:val="CharPartText"/>
        </w:rPr>
        <w:t>Contracts of insurance</w:t>
      </w:r>
      <w:bookmarkEnd w:id="252"/>
      <w:bookmarkEnd w:id="253"/>
    </w:p>
    <w:p>
      <w:pPr>
        <w:pStyle w:val="Heading5"/>
        <w:rPr>
          <w:snapToGrid w:val="0"/>
        </w:rPr>
      </w:pPr>
      <w:bookmarkStart w:id="254" w:name="_Toc392496607"/>
      <w:r>
        <w:rPr>
          <w:rStyle w:val="CharSectno"/>
        </w:rPr>
        <w:t>127</w:t>
      </w:r>
      <w:r>
        <w:rPr>
          <w:snapToGrid w:val="0"/>
        </w:rPr>
        <w:t>.</w:t>
      </w:r>
      <w:r>
        <w:rPr>
          <w:snapToGrid w:val="0"/>
        </w:rPr>
        <w:tab/>
        <w:t>Insurance for regulated contracts</w:t>
      </w:r>
      <w:bookmarkEnd w:id="254"/>
    </w:p>
    <w:p>
      <w:pPr>
        <w:pStyle w:val="Subsection"/>
        <w:rPr>
          <w:snapToGrid w:val="0"/>
        </w:rPr>
      </w:pPr>
      <w:r>
        <w:rPr>
          <w:snapToGrid w:val="0"/>
        </w:rPr>
        <w:tab/>
        <w:t>(1)</w:t>
      </w:r>
      <w:r>
        <w:rPr>
          <w:snapToGrid w:val="0"/>
        </w:rPr>
        <w:tab/>
        <w:t xml:space="preserve">In this section, </w:t>
      </w:r>
      <w:r>
        <w:rPr>
          <w:rStyle w:val="CharDefText"/>
        </w:rPr>
        <w:t>condition</w:t>
      </w:r>
      <w:r>
        <w:rPr>
          <w:snapToGrid w:val="0"/>
        </w:rPr>
        <w:t xml:space="preserve"> includes — </w:t>
      </w:r>
    </w:p>
    <w:p>
      <w:pPr>
        <w:pStyle w:val="Indenta"/>
        <w:rPr>
          <w:snapToGrid w:val="0"/>
        </w:rPr>
      </w:pPr>
      <w:r>
        <w:rPr>
          <w:snapToGrid w:val="0"/>
        </w:rPr>
        <w:tab/>
        <w:t>(a)</w:t>
      </w:r>
      <w:r>
        <w:rPr>
          <w:snapToGrid w:val="0"/>
        </w:rPr>
        <w:tab/>
        <w:t>a condition that is express or implied, or oral or written; and</w:t>
      </w:r>
    </w:p>
    <w:p>
      <w:pPr>
        <w:pStyle w:val="Indenta"/>
        <w:rPr>
          <w:snapToGrid w:val="0"/>
        </w:rPr>
      </w:pPr>
      <w:r>
        <w:rPr>
          <w:snapToGrid w:val="0"/>
        </w:rPr>
        <w:tab/>
        <w:t>(b)</w:t>
      </w:r>
      <w:r>
        <w:rPr>
          <w:snapToGrid w:val="0"/>
        </w:rPr>
        <w:tab/>
        <w:t>a condition that is direct or indirect or the existence of which is ascertainable only by inference from the conduct of persons or from other relevant circumstances,</w:t>
      </w:r>
    </w:p>
    <w:p>
      <w:pPr>
        <w:pStyle w:val="Subsection"/>
        <w:rPr>
          <w:snapToGrid w:val="0"/>
        </w:rPr>
      </w:pPr>
      <w:r>
        <w:rPr>
          <w:snapToGrid w:val="0"/>
        </w:rPr>
        <w:tab/>
      </w:r>
      <w:r>
        <w:rPr>
          <w:snapToGrid w:val="0"/>
        </w:rPr>
        <w:tab/>
        <w:t>whether or not the condition has legal or equitable force.</w:t>
      </w:r>
    </w:p>
    <w:p>
      <w:pPr>
        <w:pStyle w:val="Subsection"/>
        <w:rPr>
          <w:snapToGrid w:val="0"/>
        </w:rPr>
      </w:pPr>
      <w:r>
        <w:rPr>
          <w:snapToGrid w:val="0"/>
        </w:rPr>
        <w:tab/>
        <w:t>(2)</w:t>
      </w:r>
      <w:r>
        <w:rPr>
          <w:snapToGrid w:val="0"/>
        </w:rPr>
        <w:tab/>
        <w:t>A credit provider shall not, as a condition of his providing credit under a regulated contract (whether or not the condition is a term of the regulated contract) require the debtor to enter into a contract of insurance other than a contract of insurance or compulsory insurance in respect of a mortgage relating to the contract in accordance with section 128.</w:t>
      </w:r>
    </w:p>
    <w:p>
      <w:pPr>
        <w:pStyle w:val="Penstart"/>
        <w:rPr>
          <w:snapToGrid w:val="0"/>
        </w:rPr>
      </w:pPr>
      <w:r>
        <w:rPr>
          <w:snapToGrid w:val="0"/>
        </w:rPr>
        <w:tab/>
        <w:t>Penalty: $5 000.</w:t>
      </w:r>
    </w:p>
    <w:p>
      <w:pPr>
        <w:pStyle w:val="Subsection"/>
        <w:rPr>
          <w:snapToGrid w:val="0"/>
        </w:rPr>
      </w:pPr>
      <w:r>
        <w:rPr>
          <w:snapToGrid w:val="0"/>
        </w:rPr>
        <w:tab/>
        <w:t>(3)</w:t>
      </w:r>
      <w:r>
        <w:rPr>
          <w:snapToGrid w:val="0"/>
        </w:rPr>
        <w:tab/>
        <w:t>A supplier shall not represent that it is a condition of the provision of credit under a regulated contract that the debtor enter into a contract of insurance other than a contract of insurance, or compulsory insurance, in respect of a mortgage relating to the contract in accordance with section 128.</w:t>
      </w:r>
    </w:p>
    <w:p>
      <w:pPr>
        <w:pStyle w:val="Penstart"/>
        <w:rPr>
          <w:snapToGrid w:val="0"/>
        </w:rPr>
      </w:pPr>
      <w:r>
        <w:rPr>
          <w:snapToGrid w:val="0"/>
        </w:rPr>
        <w:tab/>
        <w:t>Penalty: $5 000.</w:t>
      </w:r>
    </w:p>
    <w:p>
      <w:pPr>
        <w:pStyle w:val="Subsection"/>
        <w:rPr>
          <w:snapToGrid w:val="0"/>
        </w:rPr>
      </w:pPr>
      <w:r>
        <w:rPr>
          <w:snapToGrid w:val="0"/>
        </w:rPr>
        <w:tab/>
        <w:t>(4)</w:t>
      </w:r>
      <w:r>
        <w:rPr>
          <w:snapToGrid w:val="0"/>
        </w:rPr>
        <w:tab/>
        <w:t>A court by which a credit provider is convicted of an offence under subsection (2) may, on the application of the debtor under the regulated contract concerned, order the credit provider to pay to the debtor an amount equal to the whole or part of any premium paid by the debtor under a contract of insurance entered into by the debtor in compliance with a condition imposed in breach of subsection (2).</w:t>
      </w:r>
    </w:p>
    <w:p>
      <w:pPr>
        <w:pStyle w:val="Subsection"/>
        <w:rPr>
          <w:snapToGrid w:val="0"/>
        </w:rPr>
      </w:pPr>
      <w:r>
        <w:rPr>
          <w:snapToGrid w:val="0"/>
        </w:rPr>
        <w:tab/>
        <w:t>(5)</w:t>
      </w:r>
      <w:r>
        <w:rPr>
          <w:snapToGrid w:val="0"/>
        </w:rPr>
        <w:tab/>
        <w:t>A court by which a supplier is convicted of an offence under subsection (3) may, on the application of the debtor under the regulated contract concerned, order the supplier to pay to the debtor an amount equal to the whole or part of any premium paid by the debtor under a contract of insurance entered into by the debtor pursuant to a representation referred to in subsection (3).</w:t>
      </w:r>
    </w:p>
    <w:p>
      <w:pPr>
        <w:pStyle w:val="Heading5"/>
        <w:rPr>
          <w:snapToGrid w:val="0"/>
        </w:rPr>
      </w:pPr>
      <w:bookmarkStart w:id="255" w:name="_Toc392496608"/>
      <w:r>
        <w:rPr>
          <w:rStyle w:val="CharSectno"/>
        </w:rPr>
        <w:t>128</w:t>
      </w:r>
      <w:r>
        <w:rPr>
          <w:snapToGrid w:val="0"/>
        </w:rPr>
        <w:t>.</w:t>
      </w:r>
      <w:r>
        <w:rPr>
          <w:snapToGrid w:val="0"/>
        </w:rPr>
        <w:tab/>
        <w:t>Insurance for regulated mortgages</w:t>
      </w:r>
      <w:bookmarkEnd w:id="255"/>
    </w:p>
    <w:p>
      <w:pPr>
        <w:pStyle w:val="Subsection"/>
        <w:rPr>
          <w:snapToGrid w:val="0"/>
        </w:rPr>
      </w:pPr>
      <w:r>
        <w:rPr>
          <w:snapToGrid w:val="0"/>
        </w:rPr>
        <w:tab/>
        <w:t>(1)</w:t>
      </w:r>
      <w:r>
        <w:rPr>
          <w:snapToGrid w:val="0"/>
        </w:rPr>
        <w:tab/>
        <w:t>Subject to this section, a mortgagee under a regulated mortgage — </w:t>
      </w:r>
    </w:p>
    <w:p>
      <w:pPr>
        <w:pStyle w:val="Indenta"/>
        <w:rPr>
          <w:snapToGrid w:val="0"/>
        </w:rPr>
      </w:pPr>
      <w:r>
        <w:rPr>
          <w:snapToGrid w:val="0"/>
        </w:rPr>
        <w:tab/>
        <w:t>(a)</w:t>
      </w:r>
      <w:r>
        <w:rPr>
          <w:snapToGrid w:val="0"/>
        </w:rPr>
        <w:tab/>
        <w:t>may require the mortgagor to enter into a contract of compulsory insurance in respect of goods subject to the mortgage; and</w:t>
      </w:r>
    </w:p>
    <w:p>
      <w:pPr>
        <w:pStyle w:val="Indenta"/>
        <w:rPr>
          <w:snapToGrid w:val="0"/>
        </w:rPr>
      </w:pPr>
      <w:r>
        <w:rPr>
          <w:snapToGrid w:val="0"/>
        </w:rPr>
        <w:tab/>
        <w:t>(b)</w:t>
      </w:r>
      <w:r>
        <w:rPr>
          <w:snapToGrid w:val="0"/>
        </w:rPr>
        <w:tab/>
        <w:t>may require the mortgagor to enter into a contract of insurance (other than compulsory insurance) in respect of property subject to the mortgage in the names of, and for the respective rights and interests of, the mortgagee and the mortgagor against such risks as the mortgagee thinks fit,</w:t>
      </w:r>
    </w:p>
    <w:p>
      <w:pPr>
        <w:pStyle w:val="Subsection"/>
        <w:rPr>
          <w:snapToGrid w:val="0"/>
        </w:rPr>
      </w:pPr>
      <w:r>
        <w:rPr>
          <w:snapToGrid w:val="0"/>
        </w:rPr>
        <w:tab/>
      </w:r>
      <w:r>
        <w:rPr>
          <w:snapToGrid w:val="0"/>
        </w:rPr>
        <w:tab/>
        <w:t>at the expense of the mortgagor, subject to the amount financed under the regulated contract to which the mortgage relates not including any amount payable in respect of that insurance exceeding the amount payable to keep the insurance in force for a period of 12 months or the duration of the regulated contract, whichever is the lesser amount so payable.</w:t>
      </w:r>
    </w:p>
    <w:p>
      <w:pPr>
        <w:pStyle w:val="Subsection"/>
        <w:rPr>
          <w:snapToGrid w:val="0"/>
        </w:rPr>
      </w:pPr>
      <w:r>
        <w:rPr>
          <w:snapToGrid w:val="0"/>
        </w:rPr>
        <w:tab/>
        <w:t>(2)</w:t>
      </w:r>
      <w:r>
        <w:rPr>
          <w:snapToGrid w:val="0"/>
        </w:rPr>
        <w:tab/>
        <w:t>Subsection (1) does not authorise or permit a mortgagee — </w:t>
      </w:r>
    </w:p>
    <w:p>
      <w:pPr>
        <w:pStyle w:val="Indenta"/>
        <w:rPr>
          <w:snapToGrid w:val="0"/>
        </w:rPr>
      </w:pPr>
      <w:r>
        <w:rPr>
          <w:snapToGrid w:val="0"/>
        </w:rPr>
        <w:tab/>
        <w:t>(a)</w:t>
      </w:r>
      <w:r>
        <w:rPr>
          <w:snapToGrid w:val="0"/>
        </w:rPr>
        <w:tab/>
        <w:t>to require insurance by a particular insurer; or</w:t>
      </w:r>
    </w:p>
    <w:p>
      <w:pPr>
        <w:pStyle w:val="Indenta"/>
        <w:rPr>
          <w:snapToGrid w:val="0"/>
        </w:rPr>
      </w:pPr>
      <w:r>
        <w:rPr>
          <w:snapToGrid w:val="0"/>
        </w:rPr>
        <w:tab/>
        <w:t>(b)</w:t>
      </w:r>
      <w:r>
        <w:rPr>
          <w:snapToGrid w:val="0"/>
        </w:rPr>
        <w:tab/>
        <w:t>to require insurance for a period, against risks or subject to terms, conditions or exceptions which the mortgagee would not reasonably require if he were to arrange the insurance at his own expense; or</w:t>
      </w:r>
    </w:p>
    <w:p>
      <w:pPr>
        <w:pStyle w:val="Indenta"/>
        <w:rPr>
          <w:snapToGrid w:val="0"/>
        </w:rPr>
      </w:pPr>
      <w:r>
        <w:rPr>
          <w:snapToGrid w:val="0"/>
        </w:rPr>
        <w:tab/>
        <w:t>(c)</w:t>
      </w:r>
      <w:r>
        <w:rPr>
          <w:snapToGrid w:val="0"/>
        </w:rPr>
        <w:tab/>
        <w:t>to require insurance for a period subsequent to that for which insurance is in force as referred to in subsection (1) against risks or subject to terms, conditions or exceptions which the mortgagee did not require in respect of the immediately preceding period.</w:t>
      </w:r>
    </w:p>
    <w:p>
      <w:pPr>
        <w:pStyle w:val="Subsection"/>
        <w:rPr>
          <w:snapToGrid w:val="0"/>
        </w:rPr>
      </w:pPr>
      <w:r>
        <w:rPr>
          <w:snapToGrid w:val="0"/>
        </w:rPr>
        <w:tab/>
        <w:t>(3)</w:t>
      </w:r>
      <w:r>
        <w:rPr>
          <w:snapToGrid w:val="0"/>
        </w:rPr>
        <w:tab/>
        <w:t>A mortgagee shall not enter into a regulated mortgage that includes — </w:t>
      </w:r>
    </w:p>
    <w:p>
      <w:pPr>
        <w:pStyle w:val="Indenta"/>
        <w:rPr>
          <w:snapToGrid w:val="0"/>
        </w:rPr>
      </w:pPr>
      <w:r>
        <w:rPr>
          <w:snapToGrid w:val="0"/>
        </w:rPr>
        <w:tab/>
        <w:t>(a)</w:t>
      </w:r>
      <w:r>
        <w:rPr>
          <w:snapToGrid w:val="0"/>
        </w:rPr>
        <w:tab/>
        <w:t>a condition that the mortgagor enter into a contract of insurance in respect of the mortgage, not being a contract of insurance or compulsory insurance authorised by subsection (1); or</w:t>
      </w:r>
    </w:p>
    <w:p>
      <w:pPr>
        <w:pStyle w:val="Indenta"/>
        <w:rPr>
          <w:snapToGrid w:val="0"/>
        </w:rPr>
      </w:pPr>
      <w:r>
        <w:rPr>
          <w:snapToGrid w:val="0"/>
        </w:rPr>
        <w:tab/>
        <w:t>(b)</w:t>
      </w:r>
      <w:r>
        <w:rPr>
          <w:snapToGrid w:val="0"/>
        </w:rPr>
        <w:tab/>
        <w:t>a condition that the mortgagor maintain in force a contract of insurance in respect of the mortgage, not being a contract of insurance or compulsory insurance authorised by subsection (1).</w:t>
      </w:r>
    </w:p>
    <w:p>
      <w:pPr>
        <w:pStyle w:val="Penstart"/>
        <w:rPr>
          <w:snapToGrid w:val="0"/>
        </w:rPr>
      </w:pPr>
      <w:r>
        <w:rPr>
          <w:snapToGrid w:val="0"/>
        </w:rPr>
        <w:tab/>
        <w:t>Penalty: $2 000.</w:t>
      </w:r>
    </w:p>
    <w:p>
      <w:pPr>
        <w:pStyle w:val="Subsection"/>
        <w:rPr>
          <w:snapToGrid w:val="0"/>
        </w:rPr>
      </w:pPr>
      <w:r>
        <w:rPr>
          <w:snapToGrid w:val="0"/>
        </w:rPr>
        <w:tab/>
        <w:t>(4)</w:t>
      </w:r>
      <w:r>
        <w:rPr>
          <w:snapToGrid w:val="0"/>
        </w:rPr>
        <w:tab/>
        <w:t>Where a mortgagor enters into a regulated mortgage, the mortgagor shall be deemed to have entered into the mortgage on the basis that it does not include — </w:t>
      </w:r>
    </w:p>
    <w:p>
      <w:pPr>
        <w:pStyle w:val="Indenta"/>
        <w:rPr>
          <w:snapToGrid w:val="0"/>
        </w:rPr>
      </w:pPr>
      <w:r>
        <w:rPr>
          <w:snapToGrid w:val="0"/>
        </w:rPr>
        <w:tab/>
        <w:t>(a)</w:t>
      </w:r>
      <w:r>
        <w:rPr>
          <w:snapToGrid w:val="0"/>
        </w:rPr>
        <w:tab/>
        <w:t>a condition that he enter into a contract of insurance in respect of the mortgage, not being a contract of insurance or compulsory insurance authorised by subsection (1); or</w:t>
      </w:r>
    </w:p>
    <w:p>
      <w:pPr>
        <w:pStyle w:val="Indenta"/>
        <w:rPr>
          <w:snapToGrid w:val="0"/>
        </w:rPr>
      </w:pPr>
      <w:r>
        <w:rPr>
          <w:snapToGrid w:val="0"/>
        </w:rPr>
        <w:tab/>
        <w:t>(b)</w:t>
      </w:r>
      <w:r>
        <w:rPr>
          <w:snapToGrid w:val="0"/>
        </w:rPr>
        <w:tab/>
        <w:t>a condition that he maintain in force a contract of insurance in respect of the mortgage, not being a contract of insurance or compulsory insurance authorised by subsection (1).</w:t>
      </w:r>
    </w:p>
    <w:p>
      <w:pPr>
        <w:pStyle w:val="Subsection"/>
        <w:rPr>
          <w:snapToGrid w:val="0"/>
        </w:rPr>
      </w:pPr>
      <w:r>
        <w:rPr>
          <w:snapToGrid w:val="0"/>
        </w:rPr>
        <w:tab/>
        <w:t>(5)</w:t>
      </w:r>
      <w:r>
        <w:rPr>
          <w:snapToGrid w:val="0"/>
        </w:rPr>
        <w:tab/>
        <w:t>Where a mortgagor enters into a regulated mortgage that includes a condition referred to in subsection (3), the condition is void.</w:t>
      </w:r>
    </w:p>
    <w:p>
      <w:pPr>
        <w:pStyle w:val="Heading5"/>
        <w:rPr>
          <w:snapToGrid w:val="0"/>
        </w:rPr>
      </w:pPr>
      <w:bookmarkStart w:id="256" w:name="_Toc392496609"/>
      <w:r>
        <w:rPr>
          <w:rStyle w:val="CharSectno"/>
        </w:rPr>
        <w:t>129</w:t>
      </w:r>
      <w:r>
        <w:rPr>
          <w:snapToGrid w:val="0"/>
        </w:rPr>
        <w:t>.</w:t>
      </w:r>
      <w:r>
        <w:rPr>
          <w:snapToGrid w:val="0"/>
        </w:rPr>
        <w:tab/>
        <w:t>Unrequired insurance, provisions as to maintenance of in contracts etc.</w:t>
      </w:r>
      <w:bookmarkEnd w:id="256"/>
    </w:p>
    <w:p>
      <w:pPr>
        <w:pStyle w:val="Subsection"/>
        <w:rPr>
          <w:snapToGrid w:val="0"/>
        </w:rPr>
      </w:pPr>
      <w:r>
        <w:rPr>
          <w:snapToGrid w:val="0"/>
        </w:rPr>
        <w:tab/>
        <w:t>(1)</w:t>
      </w:r>
      <w:r>
        <w:rPr>
          <w:snapToGrid w:val="0"/>
        </w:rPr>
        <w:tab/>
        <w:t>Where a debtor or a mortgagor has, in relation to a regulated contract or a regulated mortgage, entered into a contract of insurance that is not a contract of insurance in accordance with the provisions of section 128, the credit provider or mortgagee shall not require, as a condition of the contract or mortgage, that the debtor or mortgagor maintain the contract of insurance in force.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Where a regulated contract or a regulated mortgage includes a condition referred to in subsection (1), the condition is void.</w:t>
      </w:r>
    </w:p>
    <w:p>
      <w:pPr>
        <w:pStyle w:val="Heading5"/>
        <w:rPr>
          <w:snapToGrid w:val="0"/>
        </w:rPr>
      </w:pPr>
      <w:bookmarkStart w:id="257" w:name="_Toc392496610"/>
      <w:r>
        <w:rPr>
          <w:rStyle w:val="CharSectno"/>
        </w:rPr>
        <w:t>130</w:t>
      </w:r>
      <w:r>
        <w:rPr>
          <w:snapToGrid w:val="0"/>
        </w:rPr>
        <w:t>.</w:t>
      </w:r>
      <w:r>
        <w:rPr>
          <w:snapToGrid w:val="0"/>
        </w:rPr>
        <w:tab/>
        <w:t>Contracts of insurance, content of etc.</w:t>
      </w:r>
      <w:bookmarkEnd w:id="257"/>
    </w:p>
    <w:p>
      <w:pPr>
        <w:pStyle w:val="Subsection"/>
        <w:rPr>
          <w:snapToGrid w:val="0"/>
        </w:rPr>
      </w:pPr>
      <w:r>
        <w:rPr>
          <w:snapToGrid w:val="0"/>
        </w:rPr>
        <w:tab/>
        <w:t>(1)</w:t>
      </w:r>
      <w:r>
        <w:rPr>
          <w:snapToGrid w:val="0"/>
        </w:rPr>
        <w:tab/>
        <w:t>A contract of insurance (other than compulsory insurance) that is entered into in relation to a regulated contract and to which the debtor is a party shall be in writing and shall — </w:t>
      </w:r>
    </w:p>
    <w:p>
      <w:pPr>
        <w:pStyle w:val="Indenta"/>
        <w:rPr>
          <w:snapToGrid w:val="0"/>
        </w:rPr>
      </w:pPr>
      <w:r>
        <w:rPr>
          <w:snapToGrid w:val="0"/>
        </w:rPr>
        <w:tab/>
        <w:t>(a)</w:t>
      </w:r>
      <w:r>
        <w:rPr>
          <w:snapToGrid w:val="0"/>
        </w:rPr>
        <w:tab/>
        <w:t>identify the subject</w:t>
      </w:r>
      <w:r>
        <w:rPr>
          <w:snapToGrid w:val="0"/>
        </w:rPr>
        <w:noBreakHyphen/>
        <w:t>matter of the insurance; and</w:t>
      </w:r>
    </w:p>
    <w:p>
      <w:pPr>
        <w:pStyle w:val="Indenta"/>
        <w:rPr>
          <w:snapToGrid w:val="0"/>
        </w:rPr>
      </w:pPr>
      <w:r>
        <w:rPr>
          <w:snapToGrid w:val="0"/>
        </w:rPr>
        <w:tab/>
        <w:t>(b)</w:t>
      </w:r>
      <w:r>
        <w:rPr>
          <w:snapToGrid w:val="0"/>
        </w:rPr>
        <w:tab/>
        <w:t>state the name and address of the insured person; and</w:t>
      </w:r>
    </w:p>
    <w:p>
      <w:pPr>
        <w:pStyle w:val="Indenta"/>
        <w:rPr>
          <w:snapToGrid w:val="0"/>
        </w:rPr>
      </w:pPr>
      <w:r>
        <w:rPr>
          <w:snapToGrid w:val="0"/>
        </w:rPr>
        <w:tab/>
        <w:t>(c)</w:t>
      </w:r>
      <w:r>
        <w:rPr>
          <w:snapToGrid w:val="0"/>
        </w:rPr>
        <w:tab/>
        <w:t>include a statement of — </w:t>
      </w:r>
    </w:p>
    <w:p>
      <w:pPr>
        <w:pStyle w:val="Indenti"/>
        <w:rPr>
          <w:snapToGrid w:val="0"/>
        </w:rPr>
      </w:pPr>
      <w:r>
        <w:rPr>
          <w:snapToGrid w:val="0"/>
        </w:rPr>
        <w:tab/>
        <w:t>(i)</w:t>
      </w:r>
      <w:r>
        <w:rPr>
          <w:snapToGrid w:val="0"/>
        </w:rPr>
        <w:tab/>
        <w:t>each amount for which insurance is or is to be provided or the manner in which each such amount may be determined; and</w:t>
      </w:r>
    </w:p>
    <w:p>
      <w:pPr>
        <w:pStyle w:val="Indenti"/>
        <w:rPr>
          <w:snapToGrid w:val="0"/>
        </w:rPr>
      </w:pPr>
      <w:r>
        <w:rPr>
          <w:snapToGrid w:val="0"/>
        </w:rPr>
        <w:tab/>
        <w:t>(ii)</w:t>
      </w:r>
      <w:r>
        <w:rPr>
          <w:snapToGrid w:val="0"/>
        </w:rPr>
        <w:tab/>
        <w:t>the period for which insurance is or is to be provided; and</w:t>
      </w:r>
    </w:p>
    <w:p>
      <w:pPr>
        <w:pStyle w:val="Indenti"/>
        <w:rPr>
          <w:snapToGrid w:val="0"/>
        </w:rPr>
      </w:pPr>
      <w:r>
        <w:rPr>
          <w:snapToGrid w:val="0"/>
        </w:rPr>
        <w:tab/>
        <w:t>(iii)</w:t>
      </w:r>
      <w:r>
        <w:rPr>
          <w:snapToGrid w:val="0"/>
        </w:rPr>
        <w:tab/>
        <w:t>the risks to which the insurance relates; and</w:t>
      </w:r>
    </w:p>
    <w:p>
      <w:pPr>
        <w:pStyle w:val="Indenti"/>
        <w:rPr>
          <w:snapToGrid w:val="0"/>
        </w:rPr>
      </w:pPr>
      <w:r>
        <w:rPr>
          <w:snapToGrid w:val="0"/>
        </w:rPr>
        <w:tab/>
        <w:t>(iv)</w:t>
      </w:r>
      <w:r>
        <w:rPr>
          <w:snapToGrid w:val="0"/>
        </w:rPr>
        <w:tab/>
        <w:t>each amount payable under the contract of insurance in respect of the insurance of property to which the regulated contract relates; and</w:t>
      </w:r>
    </w:p>
    <w:p>
      <w:pPr>
        <w:pStyle w:val="Indenti"/>
        <w:rPr>
          <w:snapToGrid w:val="0"/>
        </w:rPr>
      </w:pPr>
      <w:r>
        <w:rPr>
          <w:snapToGrid w:val="0"/>
        </w:rPr>
        <w:tab/>
        <w:t>(v)</w:t>
      </w:r>
      <w:r>
        <w:rPr>
          <w:snapToGrid w:val="0"/>
        </w:rPr>
        <w:tab/>
        <w:t>each amount payable under the contract of insurance in respect of insurance against a risk referred to in clause 1(e) of Schedule 2, clause 1(b) of Schedule 4 or clause 1(k) of Schedule 7; and</w:t>
      </w:r>
    </w:p>
    <w:p>
      <w:pPr>
        <w:pStyle w:val="Indenti"/>
        <w:rPr>
          <w:snapToGrid w:val="0"/>
        </w:rPr>
      </w:pPr>
      <w:r>
        <w:rPr>
          <w:snapToGrid w:val="0"/>
        </w:rPr>
        <w:tab/>
        <w:t>(vi)</w:t>
      </w:r>
      <w:r>
        <w:rPr>
          <w:snapToGrid w:val="0"/>
        </w:rPr>
        <w:tab/>
        <w:t>each other amount (if any) payable under the contract of insurance in respect of insurance of property subject to a mortgage relating to the regulated contract.</w:t>
      </w:r>
    </w:p>
    <w:p>
      <w:pPr>
        <w:pStyle w:val="Subsection"/>
        <w:keepNext/>
        <w:rPr>
          <w:snapToGrid w:val="0"/>
        </w:rPr>
      </w:pPr>
      <w:r>
        <w:rPr>
          <w:snapToGrid w:val="0"/>
        </w:rPr>
        <w:tab/>
        <w:t>(2)</w:t>
      </w:r>
      <w:r>
        <w:rPr>
          <w:snapToGrid w:val="0"/>
        </w:rPr>
        <w:tab/>
        <w:t>Where a contract of insurance — </w:t>
      </w:r>
    </w:p>
    <w:p>
      <w:pPr>
        <w:pStyle w:val="Indenta"/>
        <w:rPr>
          <w:snapToGrid w:val="0"/>
        </w:rPr>
      </w:pPr>
      <w:r>
        <w:rPr>
          <w:snapToGrid w:val="0"/>
        </w:rPr>
        <w:tab/>
        <w:t>(a)</w:t>
      </w:r>
      <w:r>
        <w:rPr>
          <w:snapToGrid w:val="0"/>
        </w:rPr>
        <w:tab/>
        <w:t>is entered into between the debtor and an insurer in relation to a regulated contract — the insurer shall, within 14 days after the contract of insurance is entered into, give to the debtor a copy of the contract of insurance; or</w:t>
      </w:r>
    </w:p>
    <w:p>
      <w:pPr>
        <w:pStyle w:val="Indenta"/>
        <w:rPr>
          <w:snapToGrid w:val="0"/>
        </w:rPr>
      </w:pPr>
      <w:r>
        <w:rPr>
          <w:snapToGrid w:val="0"/>
        </w:rPr>
        <w:tab/>
        <w:t>(b)</w:t>
      </w:r>
      <w:r>
        <w:rPr>
          <w:snapToGrid w:val="0"/>
        </w:rPr>
        <w:tab/>
        <w:t>has been or is entered into between the credit provider and an insurer in relation to a regulated contract and the debtor has a beneficial interest thereunder — the credit provider shall, within 14 days after the beneficial interest is acquired by the debtor, give to the debtor a written notice containing the prescribed particulars relating to the contract of insurance.</w:t>
      </w:r>
    </w:p>
    <w:p>
      <w:pPr>
        <w:pStyle w:val="Subsection"/>
        <w:rPr>
          <w:snapToGrid w:val="0"/>
        </w:rPr>
      </w:pPr>
      <w:r>
        <w:rPr>
          <w:snapToGrid w:val="0"/>
        </w:rPr>
        <w:tab/>
        <w:t>(3)</w:t>
      </w:r>
      <w:r>
        <w:rPr>
          <w:snapToGrid w:val="0"/>
        </w:rPr>
        <w:tab/>
        <w:t>A provision with respect to the submission to arbitration of any matter arising out of a contract of insurance referred to in subsection (1) does not bind the insured except where the provision is contained in a contract or agreement entered into after a difference or dispute has arisen between the insurer and the insured, providing for the submission to arbitration of that difference or dispute.</w:t>
      </w:r>
    </w:p>
    <w:p>
      <w:pPr>
        <w:pStyle w:val="Subsection"/>
        <w:rPr>
          <w:snapToGrid w:val="0"/>
        </w:rPr>
      </w:pPr>
      <w:r>
        <w:rPr>
          <w:snapToGrid w:val="0"/>
        </w:rPr>
        <w:tab/>
        <w:t>(4)</w:t>
      </w:r>
      <w:r>
        <w:rPr>
          <w:snapToGrid w:val="0"/>
        </w:rPr>
        <w:tab/>
        <w:t>A person, not being the insured, shall not enter into a contract of insurance that does not comply with subsection (1).</w:t>
      </w:r>
    </w:p>
    <w:p>
      <w:pPr>
        <w:pStyle w:val="Penstart"/>
        <w:rPr>
          <w:snapToGrid w:val="0"/>
        </w:rPr>
      </w:pPr>
      <w:r>
        <w:rPr>
          <w:snapToGrid w:val="0"/>
        </w:rPr>
        <w:tab/>
        <w:t>Penalty: $1 000.</w:t>
      </w:r>
    </w:p>
    <w:p>
      <w:pPr>
        <w:pStyle w:val="Heading5"/>
        <w:rPr>
          <w:snapToGrid w:val="0"/>
        </w:rPr>
      </w:pPr>
      <w:bookmarkStart w:id="258" w:name="_Toc392496611"/>
      <w:r>
        <w:rPr>
          <w:rStyle w:val="CharSectno"/>
        </w:rPr>
        <w:t>131</w:t>
      </w:r>
      <w:r>
        <w:rPr>
          <w:snapToGrid w:val="0"/>
        </w:rPr>
        <w:t>.</w:t>
      </w:r>
      <w:r>
        <w:rPr>
          <w:snapToGrid w:val="0"/>
        </w:rPr>
        <w:tab/>
        <w:t>Premiums to be paid to insurer</w:t>
      </w:r>
      <w:bookmarkEnd w:id="258"/>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under a regulated credit sale contract or a regulated loan contract an amount payable to an insurer is included in the amount financed under the contract; or</w:t>
      </w:r>
    </w:p>
    <w:p>
      <w:pPr>
        <w:pStyle w:val="Indenta"/>
        <w:rPr>
          <w:snapToGrid w:val="0"/>
        </w:rPr>
      </w:pPr>
      <w:r>
        <w:rPr>
          <w:snapToGrid w:val="0"/>
        </w:rPr>
        <w:tab/>
        <w:t>(b)</w:t>
      </w:r>
      <w:r>
        <w:rPr>
          <w:snapToGrid w:val="0"/>
        </w:rPr>
        <w:tab/>
        <w:t>under a regulated continuing credit contract an amount payable to an insurer is included in the amount owed under the contract by the debtor to the credit provider,</w:t>
      </w:r>
    </w:p>
    <w:p>
      <w:pPr>
        <w:pStyle w:val="Subsection"/>
        <w:rPr>
          <w:snapToGrid w:val="0"/>
        </w:rPr>
      </w:pPr>
      <w:r>
        <w:rPr>
          <w:snapToGrid w:val="0"/>
        </w:rPr>
        <w:tab/>
      </w:r>
      <w:r>
        <w:rPr>
          <w:snapToGrid w:val="0"/>
        </w:rPr>
        <w:tab/>
        <w:t>the credit provider shall hold the amount in trust for the insurer and shall not later than one month after the contract or entry in the account of the debtor is made, pay to the insurer the whole of the amount payable to him.</w:t>
      </w:r>
    </w:p>
    <w:p>
      <w:pPr>
        <w:pStyle w:val="Penstart"/>
        <w:rPr>
          <w:snapToGrid w:val="0"/>
        </w:rPr>
      </w:pPr>
      <w:r>
        <w:rPr>
          <w:snapToGrid w:val="0"/>
        </w:rPr>
        <w:tab/>
        <w:t>Penalty: $1 000.</w:t>
      </w:r>
    </w:p>
    <w:p>
      <w:pPr>
        <w:pStyle w:val="Heading5"/>
        <w:rPr>
          <w:snapToGrid w:val="0"/>
        </w:rPr>
      </w:pPr>
      <w:bookmarkStart w:id="259" w:name="_Toc392496612"/>
      <w:r>
        <w:rPr>
          <w:rStyle w:val="CharSectno"/>
        </w:rPr>
        <w:t>132</w:t>
      </w:r>
      <w:r>
        <w:rPr>
          <w:snapToGrid w:val="0"/>
        </w:rPr>
        <w:t>.</w:t>
      </w:r>
      <w:r>
        <w:rPr>
          <w:snapToGrid w:val="0"/>
        </w:rPr>
        <w:tab/>
        <w:t>Rejection of insurance proposals, insurers’ duties on</w:t>
      </w:r>
      <w:bookmarkEnd w:id="259"/>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under a regulated credit sale contract or a regulated loan contract an amount payable to an insurer is included in the amount financed under the contract; and</w:t>
      </w:r>
    </w:p>
    <w:p>
      <w:pPr>
        <w:pStyle w:val="Indenta"/>
        <w:rPr>
          <w:snapToGrid w:val="0"/>
        </w:rPr>
      </w:pPr>
      <w:r>
        <w:rPr>
          <w:snapToGrid w:val="0"/>
        </w:rPr>
        <w:tab/>
        <w:t>(b)</w:t>
      </w:r>
      <w:r>
        <w:rPr>
          <w:snapToGrid w:val="0"/>
        </w:rPr>
        <w:tab/>
        <w:t>the insurer rejects the proposal to which the amount so payable to the insurer relates,</w:t>
      </w:r>
    </w:p>
    <w:p>
      <w:pPr>
        <w:pStyle w:val="Subsection"/>
        <w:rPr>
          <w:snapToGrid w:val="0"/>
        </w:rPr>
      </w:pPr>
      <w:r>
        <w:rPr>
          <w:snapToGrid w:val="0"/>
        </w:rPr>
        <w:tab/>
      </w:r>
      <w:r>
        <w:rPr>
          <w:snapToGrid w:val="0"/>
        </w:rPr>
        <w:tab/>
        <w:t>the insurer shall, forthwith after rejecting the proposal, notify the debtor in writing of the rejection.</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under a regulated credit sale contract or a regulated loan contract an amount payable to an insurer is included in the amount financed under the contract; and</w:t>
      </w:r>
    </w:p>
    <w:p>
      <w:pPr>
        <w:pStyle w:val="Indenta"/>
        <w:rPr>
          <w:snapToGrid w:val="0"/>
        </w:rPr>
      </w:pPr>
      <w:r>
        <w:rPr>
          <w:snapToGrid w:val="0"/>
        </w:rPr>
        <w:tab/>
        <w:t>(b)</w:t>
      </w:r>
      <w:r>
        <w:rPr>
          <w:snapToGrid w:val="0"/>
        </w:rPr>
        <w:tab/>
        <w:t>the insurer rejects the proposal to which the amount so payable to the insurer relates; and</w:t>
      </w:r>
    </w:p>
    <w:p>
      <w:pPr>
        <w:pStyle w:val="Indenta"/>
        <w:rPr>
          <w:snapToGrid w:val="0"/>
        </w:rPr>
      </w:pPr>
      <w:r>
        <w:rPr>
          <w:snapToGrid w:val="0"/>
        </w:rPr>
        <w:tab/>
        <w:t>(c)</w:t>
      </w:r>
      <w:r>
        <w:rPr>
          <w:snapToGrid w:val="0"/>
        </w:rPr>
        <w:tab/>
        <w:t>the amount so payable has not been paid to the insurer before or at the time the proposal is rejected,</w:t>
      </w:r>
    </w:p>
    <w:p>
      <w:pPr>
        <w:pStyle w:val="Subsection"/>
        <w:rPr>
          <w:snapToGrid w:val="0"/>
        </w:rPr>
      </w:pPr>
      <w:r>
        <w:rPr>
          <w:snapToGrid w:val="0"/>
        </w:rPr>
        <w:tab/>
      </w:r>
      <w:r>
        <w:rPr>
          <w:snapToGrid w:val="0"/>
        </w:rPr>
        <w:tab/>
        <w:t>the insurer shall, forthwith after rejecting the proposal, notify the debtor in writing that the amount has not been paid to the insurer.</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under a regulated credit sale contract or a regulated loan contract an amount payable to an insurer is included in the amount financed under the contract; and</w:t>
      </w:r>
    </w:p>
    <w:p>
      <w:pPr>
        <w:pStyle w:val="Indenta"/>
        <w:rPr>
          <w:snapToGrid w:val="0"/>
        </w:rPr>
      </w:pPr>
      <w:r>
        <w:rPr>
          <w:snapToGrid w:val="0"/>
        </w:rPr>
        <w:tab/>
        <w:t>(b)</w:t>
      </w:r>
      <w:r>
        <w:rPr>
          <w:snapToGrid w:val="0"/>
        </w:rPr>
        <w:tab/>
        <w:t>the insurer rejects the proposal to which the amount so payable to the insurer relates; and</w:t>
      </w:r>
    </w:p>
    <w:p>
      <w:pPr>
        <w:pStyle w:val="Indenta"/>
        <w:keepNext/>
        <w:rPr>
          <w:snapToGrid w:val="0"/>
        </w:rPr>
      </w:pPr>
      <w:r>
        <w:rPr>
          <w:snapToGrid w:val="0"/>
        </w:rPr>
        <w:tab/>
        <w:t>(c)</w:t>
      </w:r>
      <w:r>
        <w:rPr>
          <w:snapToGrid w:val="0"/>
        </w:rPr>
        <w:tab/>
        <w:t>the amount so payable is paid to the insurer (whether before, at or after the time the proposal is rejected),</w:t>
      </w:r>
    </w:p>
    <w:p>
      <w:pPr>
        <w:pStyle w:val="Subsection"/>
        <w:spacing w:before="180"/>
        <w:rPr>
          <w:snapToGrid w:val="0"/>
        </w:rPr>
      </w:pPr>
      <w:r>
        <w:rPr>
          <w:snapToGrid w:val="0"/>
        </w:rPr>
        <w:tab/>
      </w:r>
      <w:r>
        <w:rPr>
          <w:snapToGrid w:val="0"/>
        </w:rPr>
        <w:tab/>
        <w:t>the insurer, forthwith after rejecting the proposal or receiving the amount (whichever is the later), pay an amount equal to that amount to the debtor.</w:t>
      </w:r>
    </w:p>
    <w:p>
      <w:pPr>
        <w:pStyle w:val="Subsection"/>
        <w:spacing w:before="180"/>
        <w:rPr>
          <w:snapToGrid w:val="0"/>
        </w:rPr>
      </w:pPr>
      <w:r>
        <w:rPr>
          <w:snapToGrid w:val="0"/>
        </w:rPr>
        <w:tab/>
        <w:t>(4)</w:t>
      </w:r>
      <w:r>
        <w:rPr>
          <w:snapToGrid w:val="0"/>
        </w:rPr>
        <w:tab/>
        <w:t>It is a defence to a prosecution for an offence under subsection (1) or (2) if the accused proves that, at the time the proposal was rejected, he did not know, and would not reasonably have been expected to know, that the amount payable to the insurer was included in the amount financed under the relevant contract.</w:t>
      </w:r>
    </w:p>
    <w:p>
      <w:pPr>
        <w:pStyle w:val="Penstart"/>
        <w:spacing w:before="160"/>
        <w:rPr>
          <w:snapToGrid w:val="0"/>
        </w:rPr>
      </w:pPr>
      <w:r>
        <w:rPr>
          <w:snapToGrid w:val="0"/>
        </w:rPr>
        <w:tab/>
        <w:t>Penalty: $2 000.</w:t>
      </w:r>
    </w:p>
    <w:p>
      <w:pPr>
        <w:pStyle w:val="Footnotesection"/>
        <w:spacing w:before="160"/>
        <w:ind w:left="890" w:hanging="890"/>
      </w:pPr>
      <w:r>
        <w:tab/>
        <w:t>[Section 132 amended by No. 84 of 2004 s. 82.]</w:t>
      </w:r>
    </w:p>
    <w:p>
      <w:pPr>
        <w:pStyle w:val="Heading5"/>
        <w:rPr>
          <w:snapToGrid w:val="0"/>
        </w:rPr>
      </w:pPr>
      <w:bookmarkStart w:id="260" w:name="_Toc392496613"/>
      <w:r>
        <w:rPr>
          <w:rStyle w:val="CharSectno"/>
        </w:rPr>
        <w:t>133</w:t>
      </w:r>
      <w:r>
        <w:rPr>
          <w:snapToGrid w:val="0"/>
        </w:rPr>
        <w:t>.</w:t>
      </w:r>
      <w:r>
        <w:rPr>
          <w:snapToGrid w:val="0"/>
        </w:rPr>
        <w:tab/>
        <w:t>No</w:t>
      </w:r>
      <w:r>
        <w:rPr>
          <w:snapToGrid w:val="0"/>
        </w:rPr>
        <w:noBreakHyphen/>
        <w:t>claim bonus, debtor etc. entitled to</w:t>
      </w:r>
      <w:bookmarkEnd w:id="260"/>
    </w:p>
    <w:p>
      <w:pPr>
        <w:pStyle w:val="Subsection"/>
        <w:spacing w:before="180"/>
        <w:rPr>
          <w:snapToGrid w:val="0"/>
        </w:rPr>
      </w:pPr>
      <w:r>
        <w:rPr>
          <w:snapToGrid w:val="0"/>
        </w:rPr>
        <w:tab/>
        <w:t>(1)</w:t>
      </w:r>
      <w:r>
        <w:rPr>
          <w:snapToGrid w:val="0"/>
        </w:rPr>
        <w:tab/>
        <w:t>Where in respect of the insurance of property to which a regulated contract relates or of property subject to a regulated mortgage the insurer allows a no</w:t>
      </w:r>
      <w:r>
        <w:rPr>
          <w:snapToGrid w:val="0"/>
        </w:rPr>
        <w:noBreakHyphen/>
        <w:t>claim rebate or a rebate of a similar nature, the debtor or mortgagor is entitled to the benefit of the rebate.</w:t>
      </w:r>
    </w:p>
    <w:p>
      <w:pPr>
        <w:pStyle w:val="Subsection"/>
        <w:spacing w:before="180"/>
        <w:rPr>
          <w:snapToGrid w:val="0"/>
        </w:rPr>
      </w:pPr>
      <w:r>
        <w:rPr>
          <w:snapToGrid w:val="0"/>
        </w:rPr>
        <w:tab/>
        <w:t>(2)</w:t>
      </w:r>
      <w:r>
        <w:rPr>
          <w:snapToGrid w:val="0"/>
        </w:rPr>
        <w:tab/>
        <w:t>A credit provider or mortgagee who receives the benefit of a rebate referred to in subsection (1) to which a debtor or mortgagor is entitled shall give the benefit of the rebate to the debtor or mortgagor.</w:t>
      </w:r>
    </w:p>
    <w:p>
      <w:pPr>
        <w:pStyle w:val="Penstart"/>
        <w:spacing w:before="160"/>
        <w:rPr>
          <w:snapToGrid w:val="0"/>
        </w:rPr>
      </w:pPr>
      <w:r>
        <w:rPr>
          <w:snapToGrid w:val="0"/>
        </w:rPr>
        <w:tab/>
        <w:t>Penalty: $1 000.</w:t>
      </w:r>
    </w:p>
    <w:p>
      <w:pPr>
        <w:pStyle w:val="Heading5"/>
        <w:spacing w:before="240"/>
        <w:rPr>
          <w:snapToGrid w:val="0"/>
        </w:rPr>
      </w:pPr>
      <w:bookmarkStart w:id="261" w:name="_Toc392496614"/>
      <w:r>
        <w:rPr>
          <w:rStyle w:val="CharSectno"/>
        </w:rPr>
        <w:t>134</w:t>
      </w:r>
      <w:r>
        <w:rPr>
          <w:snapToGrid w:val="0"/>
        </w:rPr>
        <w:t>.</w:t>
      </w:r>
      <w:r>
        <w:rPr>
          <w:snapToGrid w:val="0"/>
        </w:rPr>
        <w:tab/>
        <w:t>Insurance contracts not void etc. in some cases</w:t>
      </w:r>
      <w:bookmarkEnd w:id="261"/>
    </w:p>
    <w:p>
      <w:pPr>
        <w:pStyle w:val="Subsection"/>
        <w:spacing w:before="180"/>
        <w:rPr>
          <w:snapToGrid w:val="0"/>
        </w:rPr>
      </w:pPr>
      <w:r>
        <w:rPr>
          <w:snapToGrid w:val="0"/>
        </w:rPr>
        <w:tab/>
      </w:r>
      <w:r>
        <w:rPr>
          <w:snapToGrid w:val="0"/>
        </w:rPr>
        <w:tab/>
        <w:t>A contract of insurance relating to a regulated contract or a regulated mortgage that is entered into, reinstated or renewed by the debtor or mortgagor under the regulated contract or regulated mortgage with an insurer who knew or ought reasonably to have known that the contract of insurance was such a contract, is not void, voidable or otherwise rendered unenforceable — </w:t>
      </w:r>
    </w:p>
    <w:p>
      <w:pPr>
        <w:pStyle w:val="Indenta"/>
        <w:spacing w:before="120"/>
        <w:rPr>
          <w:snapToGrid w:val="0"/>
        </w:rPr>
      </w:pPr>
      <w:r>
        <w:rPr>
          <w:snapToGrid w:val="0"/>
        </w:rPr>
        <w:tab/>
        <w:t>(a)</w:t>
      </w:r>
      <w:r>
        <w:rPr>
          <w:snapToGrid w:val="0"/>
        </w:rPr>
        <w:tab/>
        <w:t>by reason only of a false or misleading statement made in or in connection with the contract or a proposal, offer or document that led to the entering into, reinstating or renewing of the contract unless the statement was material to the insurer in relation to the contract of insurance and — </w:t>
      </w:r>
    </w:p>
    <w:p>
      <w:pPr>
        <w:pStyle w:val="Indenti"/>
        <w:spacing w:before="120"/>
        <w:rPr>
          <w:snapToGrid w:val="0"/>
        </w:rPr>
      </w:pPr>
      <w:r>
        <w:rPr>
          <w:snapToGrid w:val="0"/>
        </w:rPr>
        <w:tab/>
        <w:t>(i)</w:t>
      </w:r>
      <w:r>
        <w:rPr>
          <w:snapToGrid w:val="0"/>
        </w:rPr>
        <w:tab/>
        <w:t>the statement was fraudulent; or</w:t>
      </w:r>
    </w:p>
    <w:p>
      <w:pPr>
        <w:pStyle w:val="Indenti"/>
        <w:spacing w:before="120"/>
        <w:rPr>
          <w:snapToGrid w:val="0"/>
        </w:rPr>
      </w:pPr>
      <w:r>
        <w:rPr>
          <w:snapToGrid w:val="0"/>
        </w:rPr>
        <w:tab/>
        <w:t>(ii)</w:t>
      </w:r>
      <w:r>
        <w:rPr>
          <w:snapToGrid w:val="0"/>
        </w:rPr>
        <w:tab/>
        <w:t xml:space="preserve">the debtor or mortgagor knew or a reasonable person in the circumstances of the debtor or mortgagor ought to have known that the statement was material to the insurer in relation to the contract of insurance; </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by reason only of an omission of matter from the contract or a proposal, offer or document that led to the entering into, reinstating or renewing of the contract unless the matter omitted was material to the insurer in relation to the contract of insurance and — </w:t>
      </w:r>
    </w:p>
    <w:p>
      <w:pPr>
        <w:pStyle w:val="Indenti"/>
        <w:spacing w:before="120"/>
        <w:rPr>
          <w:snapToGrid w:val="0"/>
        </w:rPr>
      </w:pPr>
      <w:r>
        <w:rPr>
          <w:snapToGrid w:val="0"/>
        </w:rPr>
        <w:tab/>
        <w:t>(i)</w:t>
      </w:r>
      <w:r>
        <w:rPr>
          <w:snapToGrid w:val="0"/>
        </w:rPr>
        <w:tab/>
        <w:t>the omission was deliberate; or</w:t>
      </w:r>
    </w:p>
    <w:p>
      <w:pPr>
        <w:pStyle w:val="Indenti"/>
        <w:spacing w:before="120"/>
        <w:rPr>
          <w:snapToGrid w:val="0"/>
        </w:rPr>
      </w:pPr>
      <w:r>
        <w:rPr>
          <w:snapToGrid w:val="0"/>
        </w:rPr>
        <w:tab/>
        <w:t>(ii)</w:t>
      </w:r>
      <w:r>
        <w:rPr>
          <w:snapToGrid w:val="0"/>
        </w:rPr>
        <w:tab/>
        <w:t>the debtor or mortgagor knew or a reasonable person in the circumstances of the debtor or mortgagor ought to have known that matter material to the insurer in relation to the contract of insurance had been omitted.</w:t>
      </w:r>
    </w:p>
    <w:p>
      <w:pPr>
        <w:pStyle w:val="Heading5"/>
        <w:spacing w:before="280"/>
        <w:rPr>
          <w:snapToGrid w:val="0"/>
        </w:rPr>
      </w:pPr>
      <w:bookmarkStart w:id="262" w:name="_Toc392496615"/>
      <w:r>
        <w:rPr>
          <w:rStyle w:val="CharSectno"/>
        </w:rPr>
        <w:t>135</w:t>
      </w:r>
      <w:r>
        <w:rPr>
          <w:snapToGrid w:val="0"/>
        </w:rPr>
        <w:t>.</w:t>
      </w:r>
      <w:r>
        <w:rPr>
          <w:snapToGrid w:val="0"/>
        </w:rPr>
        <w:tab/>
        <w:t>Exclusion clauses, effect of in some cases</w:t>
      </w:r>
      <w:bookmarkEnd w:id="262"/>
    </w:p>
    <w:p>
      <w:pPr>
        <w:pStyle w:val="Subsection"/>
        <w:spacing w:before="180"/>
        <w:rPr>
          <w:snapToGrid w:val="0"/>
        </w:rPr>
      </w:pPr>
      <w:r>
        <w:rPr>
          <w:snapToGrid w:val="0"/>
        </w:rPr>
        <w:tab/>
        <w:t>(1)</w:t>
      </w:r>
      <w:r>
        <w:rPr>
          <w:snapToGrid w:val="0"/>
        </w:rPr>
        <w:tab/>
        <w:t>Where by or under the provisions of a contract of insurance relating to a regulated contract or a regulated mortgage that is entered into, reinstated or renewed by the debtor or mortgagor under the regulated contract or regulated mortgage with an insurer who knew or ought reasonably to have known that the contract of insurance was such a contract — </w:t>
      </w:r>
    </w:p>
    <w:p>
      <w:pPr>
        <w:pStyle w:val="Indenta"/>
        <w:rPr>
          <w:snapToGrid w:val="0"/>
        </w:rPr>
      </w:pPr>
      <w:r>
        <w:rPr>
          <w:snapToGrid w:val="0"/>
        </w:rPr>
        <w:tab/>
        <w:t>(a)</w:t>
      </w:r>
      <w:r>
        <w:rPr>
          <w:snapToGrid w:val="0"/>
        </w:rPr>
        <w:tab/>
        <w:t>the circumstances in which the insurer is bound to indemnify the debtor under the regulated contract or the mortgagor under the regulated mortgage are so defined as to exclude or limit the liability of the insurer to indemnify the debtor or mortgagor on the happening of particular events or on the existence of particular circumstances; and</w:t>
      </w:r>
    </w:p>
    <w:p>
      <w:pPr>
        <w:pStyle w:val="Indenta"/>
        <w:rPr>
          <w:snapToGrid w:val="0"/>
        </w:rPr>
      </w:pPr>
      <w:r>
        <w:rPr>
          <w:snapToGrid w:val="0"/>
        </w:rPr>
        <w:tab/>
        <w:t>(b)</w:t>
      </w:r>
      <w:r>
        <w:rPr>
          <w:snapToGrid w:val="0"/>
        </w:rPr>
        <w:tab/>
        <w:t xml:space="preserve">the liability of the insurer has been so defined because the happening of those events or the existence of those circumstances was in the view of the insurer likely to increase the risk of loss occurring, </w:t>
      </w:r>
    </w:p>
    <w:p>
      <w:pPr>
        <w:pStyle w:val="Subsection"/>
        <w:rPr>
          <w:snapToGrid w:val="0"/>
        </w:rPr>
      </w:pPr>
      <w:r>
        <w:rPr>
          <w:snapToGrid w:val="0"/>
        </w:rPr>
        <w:tab/>
      </w:r>
      <w:r>
        <w:rPr>
          <w:snapToGrid w:val="0"/>
        </w:rPr>
        <w:tab/>
        <w:t>the debtor or mortgagor shall not be disentitled to be indemnified by the insurer by reason only of those provisions of the contract of insurance if, on the balance of probability, the loss in respect of which the debtor or mortgagor seeks to be indemnified was not caused or contributed to by the happening of those events or the existence of those circumstances unless in all the circumstances it is not reasonable for the insurer to be bound to indemnify the insured.</w:t>
      </w:r>
    </w:p>
    <w:p>
      <w:pPr>
        <w:pStyle w:val="Subsection"/>
        <w:rPr>
          <w:snapToGrid w:val="0"/>
        </w:rPr>
      </w:pPr>
      <w:r>
        <w:rPr>
          <w:snapToGrid w:val="0"/>
        </w:rPr>
        <w:tab/>
        <w:t>(2)</w:t>
      </w:r>
      <w:r>
        <w:rPr>
          <w:snapToGrid w:val="0"/>
        </w:rPr>
        <w:tab/>
        <w:t>The onus of proving for the purposes of subsection (1) that, on the balance of probability, loss in respect of which a debtor or mortgagor seeks to be indemnified was not caused or contributed to by the happening of particular events or the existence of particular circumstances is on the debtor or mortgagor.</w:t>
      </w:r>
    </w:p>
    <w:p>
      <w:pPr>
        <w:pStyle w:val="Heading2"/>
      </w:pPr>
      <w:bookmarkStart w:id="263" w:name="_Toc378152692"/>
      <w:bookmarkStart w:id="264" w:name="_Toc392496616"/>
      <w:r>
        <w:rPr>
          <w:rStyle w:val="CharPartNo"/>
        </w:rPr>
        <w:t>Part VIII</w:t>
      </w:r>
      <w:r>
        <w:rPr>
          <w:rStyle w:val="CharDivNo"/>
        </w:rPr>
        <w:t> </w:t>
      </w:r>
      <w:r>
        <w:t>—</w:t>
      </w:r>
      <w:r>
        <w:rPr>
          <w:rStyle w:val="CharDivText"/>
        </w:rPr>
        <w:t> </w:t>
      </w:r>
      <w:r>
        <w:rPr>
          <w:rStyle w:val="CharPartText"/>
        </w:rPr>
        <w:t>Contracts of guarantee</w:t>
      </w:r>
      <w:bookmarkEnd w:id="263"/>
      <w:bookmarkEnd w:id="264"/>
    </w:p>
    <w:p>
      <w:pPr>
        <w:pStyle w:val="Heading5"/>
        <w:rPr>
          <w:snapToGrid w:val="0"/>
        </w:rPr>
      </w:pPr>
      <w:bookmarkStart w:id="265" w:name="_Toc392496617"/>
      <w:r>
        <w:rPr>
          <w:rStyle w:val="CharSectno"/>
        </w:rPr>
        <w:t>136</w:t>
      </w:r>
      <w:r>
        <w:rPr>
          <w:snapToGrid w:val="0"/>
        </w:rPr>
        <w:t>.</w:t>
      </w:r>
      <w:r>
        <w:rPr>
          <w:snapToGrid w:val="0"/>
        </w:rPr>
        <w:tab/>
        <w:t>Guarantees to be in writing etc.</w:t>
      </w:r>
      <w:bookmarkEnd w:id="265"/>
    </w:p>
    <w:p>
      <w:pPr>
        <w:pStyle w:val="Subsection"/>
        <w:rPr>
          <w:snapToGrid w:val="0"/>
        </w:rPr>
      </w:pPr>
      <w:r>
        <w:rPr>
          <w:snapToGrid w:val="0"/>
        </w:rPr>
        <w:tab/>
      </w:r>
      <w:r>
        <w:rPr>
          <w:snapToGrid w:val="0"/>
        </w:rPr>
        <w:tab/>
        <w:t>A contract of guarantee between a guarantor and a credit provider in respect of the obligations of the debtor under a regulated contract is not enforceable against the guarantor unless — </w:t>
      </w:r>
    </w:p>
    <w:p>
      <w:pPr>
        <w:pStyle w:val="Indenta"/>
        <w:rPr>
          <w:snapToGrid w:val="0"/>
        </w:rPr>
      </w:pPr>
      <w:r>
        <w:rPr>
          <w:snapToGrid w:val="0"/>
        </w:rPr>
        <w:tab/>
        <w:t>(a)</w:t>
      </w:r>
      <w:r>
        <w:rPr>
          <w:snapToGrid w:val="0"/>
        </w:rPr>
        <w:tab/>
        <w:t>it is in writing signed by the guarantor; or</w:t>
      </w:r>
    </w:p>
    <w:p>
      <w:pPr>
        <w:pStyle w:val="Indenta"/>
        <w:rPr>
          <w:snapToGrid w:val="0"/>
        </w:rPr>
      </w:pPr>
      <w:r>
        <w:rPr>
          <w:snapToGrid w:val="0"/>
        </w:rPr>
        <w:tab/>
        <w:t>(b)</w:t>
      </w:r>
      <w:r>
        <w:rPr>
          <w:snapToGrid w:val="0"/>
        </w:rPr>
        <w:tab/>
        <w:t>it was made by the acceptance of an offer in writing signed by the guarantor to enter into the contract of guarantee,</w:t>
      </w:r>
    </w:p>
    <w:p>
      <w:pPr>
        <w:pStyle w:val="Subsection"/>
        <w:spacing w:before="100"/>
        <w:rPr>
          <w:snapToGrid w:val="0"/>
        </w:rPr>
      </w:pPr>
      <w:r>
        <w:rPr>
          <w:snapToGrid w:val="0"/>
        </w:rPr>
        <w:tab/>
      </w:r>
      <w:r>
        <w:rPr>
          <w:snapToGrid w:val="0"/>
        </w:rPr>
        <w:tab/>
        <w:t>and any copy of the regulated contract, or of any offer to enter into the regulated contract, that is required pursuant to this Act to be given to the debtor has been given to the guarantor before he enters into the contract of guarantee.</w:t>
      </w:r>
    </w:p>
    <w:p>
      <w:pPr>
        <w:pStyle w:val="Heading5"/>
        <w:rPr>
          <w:snapToGrid w:val="0"/>
        </w:rPr>
      </w:pPr>
      <w:bookmarkStart w:id="266" w:name="_Toc392496618"/>
      <w:r>
        <w:rPr>
          <w:rStyle w:val="CharSectno"/>
        </w:rPr>
        <w:t>137</w:t>
      </w:r>
      <w:r>
        <w:rPr>
          <w:snapToGrid w:val="0"/>
        </w:rPr>
        <w:t>.</w:t>
      </w:r>
      <w:r>
        <w:rPr>
          <w:snapToGrid w:val="0"/>
        </w:rPr>
        <w:tab/>
        <w:t>Guarantor’s liability, extent of</w:t>
      </w:r>
      <w:bookmarkEnd w:id="266"/>
    </w:p>
    <w:p>
      <w:pPr>
        <w:pStyle w:val="Subsection"/>
        <w:rPr>
          <w:snapToGrid w:val="0"/>
        </w:rPr>
      </w:pPr>
      <w:r>
        <w:rPr>
          <w:snapToGrid w:val="0"/>
        </w:rPr>
        <w:tab/>
      </w:r>
      <w:r>
        <w:rPr>
          <w:snapToGrid w:val="0"/>
        </w:rPr>
        <w:tab/>
        <w:t>A guarantor under a contract of guarantee in respect of the obligations of a debtor under a regulated contract is not liable in respect of the regulated contract for an amount exceeding the sum of — </w:t>
      </w:r>
    </w:p>
    <w:p>
      <w:pPr>
        <w:pStyle w:val="Indenta"/>
        <w:rPr>
          <w:snapToGrid w:val="0"/>
        </w:rPr>
      </w:pPr>
      <w:r>
        <w:rPr>
          <w:snapToGrid w:val="0"/>
        </w:rPr>
        <w:tab/>
        <w:t>(a)</w:t>
      </w:r>
      <w:r>
        <w:rPr>
          <w:snapToGrid w:val="0"/>
        </w:rPr>
        <w:tab/>
        <w:t>the amount for which the debtor is liable under the contract; and</w:t>
      </w:r>
    </w:p>
    <w:p>
      <w:pPr>
        <w:pStyle w:val="Indenta"/>
        <w:rPr>
          <w:snapToGrid w:val="0"/>
        </w:rPr>
      </w:pPr>
      <w:r>
        <w:rPr>
          <w:snapToGrid w:val="0"/>
        </w:rPr>
        <w:tab/>
        <w:t>(b)</w:t>
      </w:r>
      <w:r>
        <w:rPr>
          <w:snapToGrid w:val="0"/>
        </w:rPr>
        <w:tab/>
        <w:t xml:space="preserve">the reasonable costs of and incidental to enforcing the contract of guarantee. </w:t>
      </w:r>
    </w:p>
    <w:p>
      <w:pPr>
        <w:pStyle w:val="Heading5"/>
        <w:rPr>
          <w:snapToGrid w:val="0"/>
        </w:rPr>
      </w:pPr>
      <w:bookmarkStart w:id="267" w:name="_Toc392496619"/>
      <w:r>
        <w:rPr>
          <w:rStyle w:val="CharSectno"/>
        </w:rPr>
        <w:t>138</w:t>
      </w:r>
      <w:r>
        <w:rPr>
          <w:snapToGrid w:val="0"/>
        </w:rPr>
        <w:t>.</w:t>
      </w:r>
      <w:r>
        <w:rPr>
          <w:snapToGrid w:val="0"/>
        </w:rPr>
        <w:tab/>
        <w:t>Proceedings against guarantor</w:t>
      </w:r>
      <w:bookmarkEnd w:id="267"/>
    </w:p>
    <w:p>
      <w:pPr>
        <w:pStyle w:val="Subsection"/>
        <w:rPr>
          <w:snapToGrid w:val="0"/>
        </w:rPr>
      </w:pPr>
      <w:r>
        <w:rPr>
          <w:snapToGrid w:val="0"/>
        </w:rPr>
        <w:tab/>
        <w:t>(1)</w:t>
      </w:r>
      <w:r>
        <w:rPr>
          <w:snapToGrid w:val="0"/>
        </w:rPr>
        <w:tab/>
        <w:t>A credit provider shall not bring proceedings to recover an amount from a guarantor in respect of a regulated contract unless the credit provider brings proceedings against both the debtor and the guarantor to recover that amount or unless the credit provider has obtained judgment against the debtor and a written demand made on the debtor for satisfaction of the judgment has remained unsatisfied for not less than 30 days.</w:t>
      </w:r>
    </w:p>
    <w:p>
      <w:pPr>
        <w:pStyle w:val="Subsection"/>
        <w:spacing w:before="120"/>
        <w:rPr>
          <w:snapToGrid w:val="0"/>
        </w:rPr>
      </w:pPr>
      <w:r>
        <w:rPr>
          <w:snapToGrid w:val="0"/>
        </w:rPr>
        <w:tab/>
        <w:t>(2)</w:t>
      </w:r>
      <w:r>
        <w:rPr>
          <w:snapToGrid w:val="0"/>
        </w:rPr>
        <w:tab/>
        <w:t>Where, in proceedings to recover an amount in respect of a regulated contract, judgment is given against both a debtor and a guarantor, the judgment is not enforceable against the guarantor unless a written demand made on the debtor for satisfaction of the judgment has remained unsatisfied for not less than 30 days.</w:t>
      </w:r>
    </w:p>
    <w:p>
      <w:pPr>
        <w:pStyle w:val="Subsection"/>
        <w:spacing w:before="120"/>
        <w:rPr>
          <w:snapToGrid w:val="0"/>
        </w:rPr>
      </w:pPr>
      <w:r>
        <w:rPr>
          <w:snapToGrid w:val="0"/>
        </w:rPr>
        <w:tab/>
        <w:t>(3)</w:t>
      </w:r>
      <w:r>
        <w:rPr>
          <w:snapToGrid w:val="0"/>
        </w:rPr>
        <w:tab/>
        <w:t>Subsections (1) and (2) do not apply where — </w:t>
      </w:r>
    </w:p>
    <w:p>
      <w:pPr>
        <w:pStyle w:val="Indenta"/>
        <w:spacing w:before="60"/>
        <w:rPr>
          <w:snapToGrid w:val="0"/>
        </w:rPr>
      </w:pPr>
      <w:r>
        <w:rPr>
          <w:snapToGrid w:val="0"/>
        </w:rPr>
        <w:tab/>
        <w:t>(a)</w:t>
      </w:r>
      <w:r>
        <w:rPr>
          <w:snapToGrid w:val="0"/>
        </w:rPr>
        <w:tab/>
        <w:t xml:space="preserve">the debtor is a bankrupt or a person whose affairs are being dealt with under Part X of the </w:t>
      </w:r>
      <w:r>
        <w:rPr>
          <w:i/>
          <w:snapToGrid w:val="0"/>
        </w:rPr>
        <w:t>Bankruptcy Act 1966</w:t>
      </w:r>
      <w:r>
        <w:rPr>
          <w:snapToGrid w:val="0"/>
        </w:rPr>
        <w:t xml:space="preserve"> of the Commonwealth, as amended and in force for the time being; or</w:t>
      </w:r>
    </w:p>
    <w:p>
      <w:pPr>
        <w:pStyle w:val="Indenta"/>
        <w:spacing w:before="60"/>
        <w:rPr>
          <w:snapToGrid w:val="0"/>
        </w:rPr>
      </w:pPr>
      <w:r>
        <w:rPr>
          <w:snapToGrid w:val="0"/>
        </w:rPr>
        <w:tab/>
        <w:t>(b)</w:t>
      </w:r>
      <w:r>
        <w:rPr>
          <w:snapToGrid w:val="0"/>
        </w:rPr>
        <w:tab/>
        <w:t>the court believes on reasonable grounds that it is not reasonably likely that any part of a judgment obtained against the debtor would be satisfied and has, on the application of the credit provider, declared that subsections (1) and (2) do not apply in that case; or</w:t>
      </w:r>
    </w:p>
    <w:p>
      <w:pPr>
        <w:pStyle w:val="Indenta"/>
        <w:spacing w:before="60"/>
        <w:rPr>
          <w:snapToGrid w:val="0"/>
        </w:rPr>
      </w:pPr>
      <w:r>
        <w:rPr>
          <w:snapToGrid w:val="0"/>
        </w:rPr>
        <w:tab/>
        <w:t>(c)</w:t>
      </w:r>
      <w:r>
        <w:rPr>
          <w:snapToGrid w:val="0"/>
        </w:rPr>
        <w:tab/>
        <w:t>the credit provider is unable to locate the debtor after having made reasonable inquiries (including inquiries of the guarantor) as to the whereabouts of the debtor and has given the guarantor 14 days notice in the prescribed form of the intention to bring proceedings against the guarantor.</w:t>
      </w:r>
    </w:p>
    <w:p>
      <w:pPr>
        <w:pStyle w:val="Subsection"/>
        <w:spacing w:before="120"/>
        <w:rPr>
          <w:snapToGrid w:val="0"/>
        </w:rPr>
      </w:pPr>
      <w:r>
        <w:rPr>
          <w:snapToGrid w:val="0"/>
        </w:rPr>
        <w:tab/>
        <w:t>(4)</w:t>
      </w:r>
      <w:r>
        <w:rPr>
          <w:snapToGrid w:val="0"/>
        </w:rPr>
        <w:tab/>
        <w:t>In this section, a reference to a court does not include a reference to the Tribunal.</w:t>
      </w:r>
    </w:p>
    <w:p>
      <w:pPr>
        <w:pStyle w:val="Heading5"/>
        <w:rPr>
          <w:snapToGrid w:val="0"/>
        </w:rPr>
      </w:pPr>
      <w:bookmarkStart w:id="268" w:name="_Toc392496620"/>
      <w:r>
        <w:rPr>
          <w:rStyle w:val="CharSectno"/>
        </w:rPr>
        <w:t>139</w:t>
      </w:r>
      <w:r>
        <w:rPr>
          <w:snapToGrid w:val="0"/>
        </w:rPr>
        <w:t>.</w:t>
      </w:r>
      <w:r>
        <w:rPr>
          <w:snapToGrid w:val="0"/>
        </w:rPr>
        <w:tab/>
        <w:t>Varying guarantees as to regulated contracts due to illness etc. of guarantor</w:t>
      </w:r>
      <w:bookmarkEnd w:id="268"/>
    </w:p>
    <w:p>
      <w:pPr>
        <w:pStyle w:val="Subsection"/>
        <w:spacing w:before="120"/>
        <w:rPr>
          <w:snapToGrid w:val="0"/>
        </w:rPr>
      </w:pPr>
      <w:r>
        <w:rPr>
          <w:snapToGrid w:val="0"/>
        </w:rPr>
        <w:tab/>
        <w:t>(1)</w:t>
      </w:r>
      <w:r>
        <w:rPr>
          <w:snapToGrid w:val="0"/>
        </w:rPr>
        <w:tab/>
        <w:t xml:space="preserve">In this section, </w:t>
      </w:r>
      <w:r>
        <w:rPr>
          <w:rStyle w:val="CharDefText"/>
        </w:rPr>
        <w:t>contract of guarantee</w:t>
      </w:r>
      <w:r>
        <w:rPr>
          <w:snapToGrid w:val="0"/>
        </w:rPr>
        <w:t xml:space="preserve"> means a contract of guarantee that relates to a regulated contract.</w:t>
      </w:r>
    </w:p>
    <w:p>
      <w:pPr>
        <w:pStyle w:val="Subsection"/>
        <w:spacing w:before="120"/>
        <w:rPr>
          <w:snapToGrid w:val="0"/>
        </w:rPr>
      </w:pPr>
      <w:r>
        <w:rPr>
          <w:snapToGrid w:val="0"/>
        </w:rPr>
        <w:tab/>
        <w:t>(2)</w:t>
      </w:r>
      <w:r>
        <w:rPr>
          <w:snapToGrid w:val="0"/>
        </w:rPr>
        <w:tab/>
        <w:t>Where a guarantor under a contract of guarantee, by reason of illness, unemployment or other reasonable cause, is unable reasonably to discharge his obligations under the contract, the guarantor may, where he reasonably expects that he would be able to discharge his obligations — </w:t>
      </w:r>
    </w:p>
    <w:p>
      <w:pPr>
        <w:pStyle w:val="Indenta"/>
        <w:rPr>
          <w:snapToGrid w:val="0"/>
        </w:rPr>
      </w:pPr>
      <w:r>
        <w:rPr>
          <w:snapToGrid w:val="0"/>
        </w:rPr>
        <w:tab/>
        <w:t>(a)</w:t>
      </w:r>
      <w:r>
        <w:rPr>
          <w:snapToGrid w:val="0"/>
        </w:rPr>
        <w:tab/>
        <w:t>if the time for making a payment under the contract were postponed; or</w:t>
      </w:r>
    </w:p>
    <w:p>
      <w:pPr>
        <w:pStyle w:val="Indenta"/>
        <w:rPr>
          <w:snapToGrid w:val="0"/>
        </w:rPr>
      </w:pPr>
      <w:r>
        <w:rPr>
          <w:snapToGrid w:val="0"/>
        </w:rPr>
        <w:tab/>
        <w:t>(b)</w:t>
      </w:r>
      <w:r>
        <w:rPr>
          <w:snapToGrid w:val="0"/>
        </w:rPr>
        <w:tab/>
        <w:t>if a payment required to be made under the contract were able to be made by instalments,</w:t>
      </w:r>
    </w:p>
    <w:p>
      <w:pPr>
        <w:pStyle w:val="Subsection"/>
        <w:spacing w:before="120"/>
        <w:rPr>
          <w:snapToGrid w:val="0"/>
        </w:rPr>
      </w:pPr>
      <w:r>
        <w:rPr>
          <w:snapToGrid w:val="0"/>
        </w:rPr>
        <w:tab/>
      </w:r>
      <w:r>
        <w:rPr>
          <w:snapToGrid w:val="0"/>
        </w:rPr>
        <w:tab/>
        <w:t>apply to the credit provider for a variation of the contract for that purpose.</w:t>
      </w:r>
    </w:p>
    <w:p>
      <w:pPr>
        <w:pStyle w:val="Subsection"/>
        <w:spacing w:before="140"/>
        <w:rPr>
          <w:snapToGrid w:val="0"/>
        </w:rPr>
      </w:pPr>
      <w:r>
        <w:rPr>
          <w:snapToGrid w:val="0"/>
        </w:rPr>
        <w:tab/>
        <w:t>(3)</w:t>
      </w:r>
      <w:r>
        <w:rPr>
          <w:snapToGrid w:val="0"/>
        </w:rPr>
        <w:tab/>
        <w:t>Where a credit provider to whom application is made by a guarantor under subsection (2) refuses to vary a contract of guarantee in accordance with the application, the guarantor may apply to the Commissioner for assistance in negotiating a variation of the contract.</w:t>
      </w:r>
    </w:p>
    <w:p>
      <w:pPr>
        <w:pStyle w:val="Subsection"/>
        <w:spacing w:before="140"/>
        <w:rPr>
          <w:snapToGrid w:val="0"/>
        </w:rPr>
      </w:pPr>
      <w:r>
        <w:rPr>
          <w:snapToGrid w:val="0"/>
        </w:rPr>
        <w:tab/>
        <w:t>(4)</w:t>
      </w:r>
      <w:r>
        <w:rPr>
          <w:snapToGrid w:val="0"/>
        </w:rPr>
        <w:tab/>
        <w:t>Where an application is made under subsection (3), the Commissioner shall seek the views of the credit provider and any mortgagee and, after giving them a reasonable opportunity to be heard and making such other inquiries as the Commissioner thinks fit, determine whether or not to seek to arrange with the credit provider a variation of the contract of guarantee, and where he seeks such a variation and is unable to reach agreement with the credit provider, the Commissioner shall refer the application to the Tribunal.</w:t>
      </w:r>
    </w:p>
    <w:p>
      <w:pPr>
        <w:pStyle w:val="Subsection"/>
        <w:spacing w:before="140"/>
        <w:rPr>
          <w:snapToGrid w:val="0"/>
        </w:rPr>
      </w:pPr>
      <w:r>
        <w:rPr>
          <w:snapToGrid w:val="0"/>
        </w:rPr>
        <w:tab/>
        <w:t>(5)</w:t>
      </w:r>
      <w:r>
        <w:rPr>
          <w:snapToGrid w:val="0"/>
        </w:rPr>
        <w:tab/>
        <w:t>The Tribunal may, where it receives an application referred to it under subsection (4) and has given the applicant, the credit provider and any mortgagee an opportunity to be heard, order, or refuse to order, a variation of the contract to which the application relates and, where it orders such a variation, may make such other orders as it thinks fit.</w:t>
      </w:r>
    </w:p>
    <w:p>
      <w:pPr>
        <w:pStyle w:val="Subsection"/>
        <w:spacing w:before="140"/>
        <w:rPr>
          <w:snapToGrid w:val="0"/>
        </w:rPr>
      </w:pPr>
      <w:r>
        <w:rPr>
          <w:snapToGrid w:val="0"/>
        </w:rPr>
        <w:tab/>
        <w:t>(6)</w:t>
      </w:r>
      <w:r>
        <w:rPr>
          <w:snapToGrid w:val="0"/>
        </w:rPr>
        <w:tab/>
        <w:t>Where an order of the Tribunal under subsection (5) is in force in relation to a contract of guarantee, a credit provider under the regulated contract to which the contract of guarantee relates may apply to the Tribunal for a variation of the order.</w:t>
      </w:r>
    </w:p>
    <w:p>
      <w:pPr>
        <w:pStyle w:val="Subsection"/>
        <w:spacing w:before="140"/>
        <w:rPr>
          <w:snapToGrid w:val="0"/>
        </w:rPr>
      </w:pPr>
      <w:r>
        <w:rPr>
          <w:snapToGrid w:val="0"/>
        </w:rPr>
        <w:tab/>
        <w:t>(7)</w:t>
      </w:r>
      <w:r>
        <w:rPr>
          <w:snapToGrid w:val="0"/>
        </w:rPr>
        <w:tab/>
        <w:t>The Tribunal may, where it receives an application under subsection (6), make such variation of the order to which the application relates as it thinks fit or may refuse to vary the order.</w:t>
      </w:r>
    </w:p>
    <w:p>
      <w:pPr>
        <w:pStyle w:val="Subsection"/>
        <w:spacing w:before="140"/>
        <w:rPr>
          <w:snapToGrid w:val="0"/>
        </w:rPr>
      </w:pPr>
      <w:r>
        <w:rPr>
          <w:snapToGrid w:val="0"/>
        </w:rPr>
        <w:tab/>
        <w:t>(8)</w:t>
      </w:r>
      <w:r>
        <w:rPr>
          <w:snapToGrid w:val="0"/>
        </w:rPr>
        <w:tab/>
        <w:t>An order in force under this section, and such an order as varied from time to time, has effect according to its tenor.</w:t>
      </w:r>
    </w:p>
    <w:p>
      <w:pPr>
        <w:pStyle w:val="Subsection"/>
        <w:rPr>
          <w:snapToGrid w:val="0"/>
        </w:rPr>
      </w:pPr>
      <w:r>
        <w:rPr>
          <w:snapToGrid w:val="0"/>
        </w:rPr>
        <w:tab/>
        <w:t>(9)</w:t>
      </w:r>
      <w:r>
        <w:rPr>
          <w:snapToGrid w:val="0"/>
        </w:rPr>
        <w:tab/>
        <w:t>Where the Commissioner and the credit provider are unable to reach agreement under subsection (4) in relation to a contract of guarantee, the credit provider shall not institute proceedings, or exercise a right, under the contract, or a mortgage that relates to the contract, before the Tribunal has made or refused an order under subsection (5).</w:t>
      </w:r>
    </w:p>
    <w:p>
      <w:pPr>
        <w:pStyle w:val="Penstart"/>
        <w:rPr>
          <w:snapToGrid w:val="0"/>
        </w:rPr>
      </w:pPr>
      <w:r>
        <w:rPr>
          <w:snapToGrid w:val="0"/>
        </w:rPr>
        <w:tab/>
        <w:t>Penalty: $2 000.</w:t>
      </w:r>
    </w:p>
    <w:p>
      <w:pPr>
        <w:pStyle w:val="Heading5"/>
        <w:rPr>
          <w:snapToGrid w:val="0"/>
        </w:rPr>
      </w:pPr>
      <w:bookmarkStart w:id="269" w:name="_Toc392496621"/>
      <w:r>
        <w:rPr>
          <w:rStyle w:val="CharSectno"/>
        </w:rPr>
        <w:t>140</w:t>
      </w:r>
      <w:r>
        <w:rPr>
          <w:snapToGrid w:val="0"/>
        </w:rPr>
        <w:t>.</w:t>
      </w:r>
      <w:r>
        <w:rPr>
          <w:snapToGrid w:val="0"/>
        </w:rPr>
        <w:tab/>
        <w:t>Minors, guarantee for</w:t>
      </w:r>
      <w:bookmarkEnd w:id="269"/>
    </w:p>
    <w:p>
      <w:pPr>
        <w:pStyle w:val="Subsection"/>
        <w:rPr>
          <w:snapToGrid w:val="0"/>
        </w:rPr>
      </w:pPr>
      <w:r>
        <w:rPr>
          <w:snapToGrid w:val="0"/>
        </w:rPr>
        <w:tab/>
        <w:t>(1)</w:t>
      </w:r>
      <w:r>
        <w:rPr>
          <w:snapToGrid w:val="0"/>
        </w:rPr>
        <w:tab/>
        <w:t>Subject to subsection (2), a guarantor of the obligations of a debtor under a regulated contract where the debtor is a minor is liable under the contract of guarantee to the same extent as he would be liable if the debtor had not been a minor when the regulated contract was made.</w:t>
      </w:r>
    </w:p>
    <w:p>
      <w:pPr>
        <w:pStyle w:val="Subsection"/>
        <w:rPr>
          <w:snapToGrid w:val="0"/>
        </w:rPr>
      </w:pPr>
      <w:r>
        <w:rPr>
          <w:snapToGrid w:val="0"/>
        </w:rPr>
        <w:tab/>
        <w:t>(2)</w:t>
      </w:r>
      <w:r>
        <w:rPr>
          <w:snapToGrid w:val="0"/>
        </w:rPr>
        <w:tab/>
        <w:t>Subsection (1) does not apply with respect to a contract of guarantee unless, when it was made, it included a prominent statement appearing immediately above or below the place where the guarantor signed the contract to the effect that a person who enters into a contract of guarantee in respect of the obligations of a debtor who is a minor may not have a right to recover from the debtor amounts that the guarantor is liable to pay under the contract.</w:t>
      </w:r>
    </w:p>
    <w:p>
      <w:pPr>
        <w:pStyle w:val="Heading5"/>
        <w:rPr>
          <w:snapToGrid w:val="0"/>
        </w:rPr>
      </w:pPr>
      <w:bookmarkStart w:id="270" w:name="_Toc392496622"/>
      <w:r>
        <w:rPr>
          <w:rStyle w:val="CharSectno"/>
        </w:rPr>
        <w:t>141</w:t>
      </w:r>
      <w:r>
        <w:rPr>
          <w:snapToGrid w:val="0"/>
        </w:rPr>
        <w:t>.</w:t>
      </w:r>
      <w:r>
        <w:rPr>
          <w:snapToGrid w:val="0"/>
        </w:rPr>
        <w:tab/>
        <w:t>Credit provider to give guarantor copy of guarantee</w:t>
      </w:r>
      <w:bookmarkEnd w:id="270"/>
    </w:p>
    <w:p>
      <w:pPr>
        <w:pStyle w:val="Subsection"/>
        <w:rPr>
          <w:snapToGrid w:val="0"/>
        </w:rPr>
      </w:pPr>
      <w:r>
        <w:rPr>
          <w:snapToGrid w:val="0"/>
        </w:rPr>
        <w:tab/>
      </w:r>
      <w:r>
        <w:rPr>
          <w:snapToGrid w:val="0"/>
        </w:rPr>
        <w:tab/>
        <w:t>Where a contract of guarantee is made between a guarantor and a credit provider with respect to the obligations of a debtor under a regulated contract, the credit provider shall give to the guarantor a copy of the contract of guarantee not later than 14 days after it is signed by the guarantor.</w:t>
      </w:r>
    </w:p>
    <w:p>
      <w:pPr>
        <w:pStyle w:val="Penstart"/>
        <w:rPr>
          <w:snapToGrid w:val="0"/>
        </w:rPr>
      </w:pPr>
      <w:r>
        <w:rPr>
          <w:snapToGrid w:val="0"/>
        </w:rPr>
        <w:tab/>
        <w:t>Penalty: $1 000.</w:t>
      </w:r>
    </w:p>
    <w:p>
      <w:pPr>
        <w:pStyle w:val="Heading5"/>
        <w:rPr>
          <w:snapToGrid w:val="0"/>
        </w:rPr>
      </w:pPr>
      <w:bookmarkStart w:id="271" w:name="_Toc392496623"/>
      <w:r>
        <w:rPr>
          <w:rStyle w:val="CharSectno"/>
        </w:rPr>
        <w:t>142</w:t>
      </w:r>
      <w:r>
        <w:rPr>
          <w:snapToGrid w:val="0"/>
        </w:rPr>
        <w:t>.</w:t>
      </w:r>
      <w:r>
        <w:rPr>
          <w:snapToGrid w:val="0"/>
        </w:rPr>
        <w:tab/>
        <w:t>Credit provider to give guarantor prescribed statement</w:t>
      </w:r>
      <w:bookmarkEnd w:id="271"/>
    </w:p>
    <w:p>
      <w:pPr>
        <w:pStyle w:val="Subsection"/>
        <w:rPr>
          <w:snapToGrid w:val="0"/>
        </w:rPr>
      </w:pPr>
      <w:r>
        <w:rPr>
          <w:snapToGrid w:val="0"/>
        </w:rPr>
        <w:tab/>
      </w:r>
      <w:r>
        <w:rPr>
          <w:snapToGrid w:val="0"/>
        </w:rPr>
        <w:tab/>
        <w:t>Where a contract of guarantee is made between a credit provider and a guarantor with respect to the obligations of a debtor under a regulated contract, the credit provider shall, not later than 14 days after the contract of guarantee is signed by the guarantor, give to the guarantor a statement in or to the effect of the form prescribed for the purposes</w:t>
      </w:r>
      <w:bookmarkStart w:id="272" w:name="RuleErr_69"/>
      <w:r>
        <w:rPr>
          <w:snapToGrid w:val="0"/>
        </w:rPr>
        <w:t xml:space="preserve"> of this section</w:t>
      </w:r>
      <w:bookmarkEnd w:id="272"/>
      <w:r>
        <w:rPr>
          <w:snapToGrid w:val="0"/>
        </w:rPr>
        <w:t>.</w:t>
      </w:r>
    </w:p>
    <w:p>
      <w:pPr>
        <w:pStyle w:val="Penstart"/>
        <w:rPr>
          <w:snapToGrid w:val="0"/>
        </w:rPr>
      </w:pPr>
      <w:r>
        <w:rPr>
          <w:snapToGrid w:val="0"/>
        </w:rPr>
        <w:tab/>
        <w:t>Penalty: $1 000.</w:t>
      </w:r>
    </w:p>
    <w:p>
      <w:pPr>
        <w:pStyle w:val="Heading5"/>
        <w:spacing w:before="160"/>
        <w:rPr>
          <w:snapToGrid w:val="0"/>
        </w:rPr>
      </w:pPr>
      <w:bookmarkStart w:id="273" w:name="_Toc392496624"/>
      <w:r>
        <w:rPr>
          <w:rStyle w:val="CharSectno"/>
        </w:rPr>
        <w:t>143</w:t>
      </w:r>
      <w:r>
        <w:rPr>
          <w:snapToGrid w:val="0"/>
        </w:rPr>
        <w:t>.</w:t>
      </w:r>
      <w:r>
        <w:rPr>
          <w:snapToGrid w:val="0"/>
        </w:rPr>
        <w:tab/>
        <w:t>Discharge of guarantee by guarantor</w:t>
      </w:r>
      <w:bookmarkEnd w:id="273"/>
    </w:p>
    <w:p>
      <w:pPr>
        <w:pStyle w:val="Subsection"/>
        <w:spacing w:before="100"/>
        <w:rPr>
          <w:snapToGrid w:val="0"/>
        </w:rPr>
      </w:pPr>
      <w:r>
        <w:rPr>
          <w:snapToGrid w:val="0"/>
        </w:rPr>
        <w:tab/>
      </w:r>
      <w:r>
        <w:rPr>
          <w:snapToGrid w:val="0"/>
        </w:rPr>
        <w:tab/>
        <w:t>A guarantor under a contract of guarantee with a credit provider that relates or, but for the operation</w:t>
      </w:r>
      <w:bookmarkStart w:id="274" w:name="RuleErr_70"/>
      <w:r>
        <w:rPr>
          <w:snapToGrid w:val="0"/>
        </w:rPr>
        <w:t xml:space="preserve"> of this section</w:t>
      </w:r>
      <w:bookmarkEnd w:id="274"/>
      <w:r>
        <w:rPr>
          <w:snapToGrid w:val="0"/>
        </w:rPr>
        <w:t>, would relate to a regulated contract or a proposed regulated contract — </w:t>
      </w:r>
    </w:p>
    <w:p>
      <w:pPr>
        <w:pStyle w:val="Indenta"/>
        <w:rPr>
          <w:snapToGrid w:val="0"/>
        </w:rPr>
      </w:pPr>
      <w:r>
        <w:rPr>
          <w:snapToGrid w:val="0"/>
        </w:rPr>
        <w:tab/>
        <w:t>(a)</w:t>
      </w:r>
      <w:r>
        <w:rPr>
          <w:snapToGrid w:val="0"/>
        </w:rPr>
        <w:tab/>
        <w:t>may, by notice in writing given to the credit provider and debtor before the regulated contract is made, discharge the contract of guarantee in so far as it relates or would relate to the obligations of the debtor under the regulated contract; and</w:t>
      </w:r>
    </w:p>
    <w:p>
      <w:pPr>
        <w:pStyle w:val="Indenta"/>
        <w:rPr>
          <w:snapToGrid w:val="0"/>
        </w:rPr>
      </w:pPr>
      <w:r>
        <w:rPr>
          <w:snapToGrid w:val="0"/>
        </w:rPr>
        <w:tab/>
        <w:t>(b)</w:t>
      </w:r>
      <w:r>
        <w:rPr>
          <w:snapToGrid w:val="0"/>
        </w:rPr>
        <w:tab/>
        <w:t>in the case of a regulated continuing credit contract or regulated loan contract, may, by notice in writing given to the credit provider and debtor after the contract is made, discharge the contract of guarantee in so far as it relates or would relate to obligations of the debtor incurred under the contract after the notice is given.</w:t>
      </w:r>
    </w:p>
    <w:p>
      <w:pPr>
        <w:pStyle w:val="Heading5"/>
        <w:spacing w:before="160"/>
        <w:rPr>
          <w:snapToGrid w:val="0"/>
        </w:rPr>
      </w:pPr>
      <w:bookmarkStart w:id="275" w:name="_Toc392496625"/>
      <w:r>
        <w:rPr>
          <w:rStyle w:val="CharSectno"/>
        </w:rPr>
        <w:t>144</w:t>
      </w:r>
      <w:r>
        <w:rPr>
          <w:snapToGrid w:val="0"/>
        </w:rPr>
        <w:t>.</w:t>
      </w:r>
      <w:r>
        <w:rPr>
          <w:snapToGrid w:val="0"/>
        </w:rPr>
        <w:tab/>
        <w:t>Revocation of offer to guarantee, provisions in agreements as to</w:t>
      </w:r>
      <w:bookmarkEnd w:id="275"/>
    </w:p>
    <w:p>
      <w:pPr>
        <w:pStyle w:val="Subsection"/>
        <w:spacing w:before="120"/>
        <w:rPr>
          <w:snapToGrid w:val="0"/>
        </w:rPr>
      </w:pPr>
      <w:r>
        <w:rPr>
          <w:snapToGrid w:val="0"/>
        </w:rPr>
        <w:tab/>
        <w:t>(1)</w:t>
      </w:r>
      <w:r>
        <w:rPr>
          <w:snapToGrid w:val="0"/>
        </w:rPr>
        <w:tab/>
        <w:t>A provision in an agreement to the effect that a person does not have a right to revoke an offer to enter into a contract of guarantee — </w:t>
      </w:r>
    </w:p>
    <w:p>
      <w:pPr>
        <w:pStyle w:val="Indenta"/>
        <w:rPr>
          <w:snapToGrid w:val="0"/>
        </w:rPr>
      </w:pPr>
      <w:r>
        <w:rPr>
          <w:snapToGrid w:val="0"/>
        </w:rPr>
        <w:tab/>
        <w:t>(a)</w:t>
      </w:r>
      <w:r>
        <w:rPr>
          <w:snapToGrid w:val="0"/>
        </w:rPr>
        <w:tab/>
        <w:t>before the offer is accepted; or</w:t>
      </w:r>
    </w:p>
    <w:p>
      <w:pPr>
        <w:pStyle w:val="Indenta"/>
        <w:rPr>
          <w:snapToGrid w:val="0"/>
        </w:rPr>
      </w:pPr>
      <w:r>
        <w:rPr>
          <w:snapToGrid w:val="0"/>
        </w:rPr>
        <w:tab/>
        <w:t>(b)</w:t>
      </w:r>
      <w:r>
        <w:rPr>
          <w:snapToGrid w:val="0"/>
        </w:rPr>
        <w:tab/>
        <w:t>in a case where at the time of acceptance the person could not reasonably be expected to know that the offer had been accepted, before notice is given of the acceptance,</w:t>
      </w:r>
    </w:p>
    <w:p>
      <w:pPr>
        <w:pStyle w:val="Subsection"/>
        <w:spacing w:before="120"/>
        <w:rPr>
          <w:snapToGrid w:val="0"/>
        </w:rPr>
      </w:pPr>
      <w:r>
        <w:rPr>
          <w:snapToGrid w:val="0"/>
        </w:rPr>
        <w:tab/>
      </w:r>
      <w:r>
        <w:rPr>
          <w:snapToGrid w:val="0"/>
        </w:rPr>
        <w:tab/>
        <w:t>or that such a right is restricted or modified is void.</w:t>
      </w:r>
    </w:p>
    <w:p>
      <w:pPr>
        <w:pStyle w:val="Subsection"/>
        <w:spacing w:before="120"/>
        <w:rPr>
          <w:snapToGrid w:val="0"/>
        </w:rPr>
      </w:pPr>
      <w:r>
        <w:rPr>
          <w:snapToGrid w:val="0"/>
        </w:rPr>
        <w:tab/>
        <w:t>(2)</w:t>
      </w:r>
      <w:r>
        <w:rPr>
          <w:snapToGrid w:val="0"/>
        </w:rPr>
        <w:tab/>
        <w:t>A credit provider shall not enter into an agreement that includes a provision that, by reason of subsection (1), is void.</w:t>
      </w:r>
    </w:p>
    <w:p>
      <w:pPr>
        <w:pStyle w:val="Penstart"/>
        <w:rPr>
          <w:snapToGrid w:val="0"/>
        </w:rPr>
      </w:pPr>
      <w:r>
        <w:rPr>
          <w:snapToGrid w:val="0"/>
        </w:rPr>
        <w:tab/>
        <w:t>Penalty: $2 000.</w:t>
      </w:r>
    </w:p>
    <w:p>
      <w:pPr>
        <w:pStyle w:val="Heading2"/>
      </w:pPr>
      <w:bookmarkStart w:id="276" w:name="_Toc378152702"/>
      <w:bookmarkStart w:id="277" w:name="_Toc392496626"/>
      <w:r>
        <w:rPr>
          <w:rStyle w:val="CharPartNo"/>
        </w:rPr>
        <w:t>Part IX</w:t>
      </w:r>
      <w:r>
        <w:rPr>
          <w:rStyle w:val="CharDivNo"/>
        </w:rPr>
        <w:t> </w:t>
      </w:r>
      <w:r>
        <w:t>—</w:t>
      </w:r>
      <w:r>
        <w:rPr>
          <w:rStyle w:val="CharDivText"/>
        </w:rPr>
        <w:t> </w:t>
      </w:r>
      <w:r>
        <w:rPr>
          <w:rStyle w:val="CharPartText"/>
        </w:rPr>
        <w:t>Re</w:t>
      </w:r>
      <w:r>
        <w:rPr>
          <w:rStyle w:val="CharPartText"/>
        </w:rPr>
        <w:noBreakHyphen/>
        <w:t>opening of contracts</w:t>
      </w:r>
      <w:bookmarkEnd w:id="276"/>
      <w:bookmarkEnd w:id="277"/>
    </w:p>
    <w:p>
      <w:pPr>
        <w:pStyle w:val="Heading5"/>
        <w:rPr>
          <w:snapToGrid w:val="0"/>
        </w:rPr>
      </w:pPr>
      <w:bookmarkStart w:id="278" w:name="_Toc392496627"/>
      <w:r>
        <w:rPr>
          <w:rStyle w:val="CharSectno"/>
        </w:rPr>
        <w:t>145</w:t>
      </w:r>
      <w:r>
        <w:rPr>
          <w:snapToGrid w:val="0"/>
        </w:rPr>
        <w:t>.</w:t>
      </w:r>
      <w:r>
        <w:rPr>
          <w:snapToGrid w:val="0"/>
        </w:rPr>
        <w:tab/>
        <w:t>Unjust contracts and mortgages, meaning of</w:t>
      </w:r>
      <w:bookmarkEnd w:id="278"/>
    </w:p>
    <w:p>
      <w:pPr>
        <w:pStyle w:val="Subsection"/>
        <w:rPr>
          <w:snapToGrid w:val="0"/>
        </w:rPr>
      </w:pPr>
      <w:r>
        <w:rPr>
          <w:snapToGrid w:val="0"/>
        </w:rPr>
        <w:tab/>
      </w:r>
      <w:r>
        <w:rPr>
          <w:snapToGrid w:val="0"/>
        </w:rPr>
        <w:tab/>
        <w:t>For the purposes</w:t>
      </w:r>
      <w:bookmarkStart w:id="279" w:name="RuleErr_41"/>
      <w:r>
        <w:rPr>
          <w:snapToGrid w:val="0"/>
        </w:rPr>
        <w:t xml:space="preserve"> of this Part</w:t>
      </w:r>
      <w:bookmarkEnd w:id="279"/>
      <w:r>
        <w:rPr>
          <w:snapToGrid w:val="0"/>
        </w:rPr>
        <w:t>, a contract or mortgage is unjust if — </w:t>
      </w:r>
    </w:p>
    <w:p>
      <w:pPr>
        <w:pStyle w:val="Indenta"/>
        <w:rPr>
          <w:snapToGrid w:val="0"/>
        </w:rPr>
      </w:pPr>
      <w:r>
        <w:rPr>
          <w:snapToGrid w:val="0"/>
        </w:rPr>
        <w:tab/>
        <w:t>(a)</w:t>
      </w:r>
      <w:r>
        <w:rPr>
          <w:snapToGrid w:val="0"/>
        </w:rPr>
        <w:tab/>
        <w:t>it is unconscionable, harsh or oppressive; or</w:t>
      </w:r>
    </w:p>
    <w:p>
      <w:pPr>
        <w:pStyle w:val="Indenta"/>
        <w:rPr>
          <w:snapToGrid w:val="0"/>
        </w:rPr>
      </w:pPr>
      <w:r>
        <w:rPr>
          <w:snapToGrid w:val="0"/>
        </w:rPr>
        <w:tab/>
        <w:t>(b)</w:t>
      </w:r>
      <w:r>
        <w:rPr>
          <w:snapToGrid w:val="0"/>
        </w:rPr>
        <w:tab/>
        <w:t>the annual percentage rate is excessive, having regard to the risk, the value of any security, the amount of the consideration, the time for repayment, the amount financed and any other relevant circumstances.</w:t>
      </w:r>
    </w:p>
    <w:p>
      <w:pPr>
        <w:pStyle w:val="Heading5"/>
        <w:rPr>
          <w:snapToGrid w:val="0"/>
        </w:rPr>
      </w:pPr>
      <w:bookmarkStart w:id="280" w:name="_Toc392496628"/>
      <w:r>
        <w:rPr>
          <w:rStyle w:val="CharSectno"/>
        </w:rPr>
        <w:t>146</w:t>
      </w:r>
      <w:r>
        <w:rPr>
          <w:snapToGrid w:val="0"/>
        </w:rPr>
        <w:t>.</w:t>
      </w:r>
      <w:r>
        <w:rPr>
          <w:snapToGrid w:val="0"/>
        </w:rPr>
        <w:tab/>
        <w:t>Tribunal may re</w:t>
      </w:r>
      <w:r>
        <w:rPr>
          <w:snapToGrid w:val="0"/>
        </w:rPr>
        <w:noBreakHyphen/>
        <w:t>open transactions for unjust contracts etc.</w:t>
      </w:r>
      <w:bookmarkEnd w:id="280"/>
    </w:p>
    <w:p>
      <w:pPr>
        <w:pStyle w:val="Subsection"/>
        <w:rPr>
          <w:snapToGrid w:val="0"/>
        </w:rPr>
      </w:pPr>
      <w:r>
        <w:rPr>
          <w:snapToGrid w:val="0"/>
        </w:rPr>
        <w:tab/>
        <w:t>(1)</w:t>
      </w:r>
      <w:r>
        <w:rPr>
          <w:snapToGrid w:val="0"/>
        </w:rPr>
        <w:tab/>
        <w:t>Subject to section 149, the Tribunal may, at any time, on the application of the debtor under a regulated contract, the mortgagor under a regulated mortgage or the guarantor of the performance of a regulated contract, re</w:t>
      </w:r>
      <w:r>
        <w:rPr>
          <w:snapToGrid w:val="0"/>
        </w:rPr>
        <w:noBreakHyphen/>
        <w:t>open the transaction that gave rise to the contract or mortgage if it appears to the Tribunal that, in the circumstances relating to the contract or mortgage at the time it was entered into, it was unjust.</w:t>
      </w:r>
    </w:p>
    <w:p>
      <w:pPr>
        <w:pStyle w:val="Subsection"/>
        <w:rPr>
          <w:snapToGrid w:val="0"/>
        </w:rPr>
      </w:pPr>
      <w:r>
        <w:rPr>
          <w:snapToGrid w:val="0"/>
        </w:rPr>
        <w:tab/>
        <w:t>(2)</w:t>
      </w:r>
      <w:r>
        <w:rPr>
          <w:snapToGrid w:val="0"/>
        </w:rPr>
        <w:tab/>
        <w:t>Where the Tribunal re</w:t>
      </w:r>
      <w:r>
        <w:rPr>
          <w:snapToGrid w:val="0"/>
        </w:rPr>
        <w:noBreakHyphen/>
        <w:t>opens a transaction under subsection (1), the Tribunal may, notwithstanding any settlement of accounts or any agreement purporting to close previous dealings and create a new obligation, do any one or more of the following — </w:t>
      </w:r>
    </w:p>
    <w:p>
      <w:pPr>
        <w:pStyle w:val="Indenta"/>
        <w:rPr>
          <w:snapToGrid w:val="0"/>
        </w:rPr>
      </w:pPr>
      <w:r>
        <w:rPr>
          <w:snapToGrid w:val="0"/>
        </w:rPr>
        <w:tab/>
        <w:t>(a)</w:t>
      </w:r>
      <w:r>
        <w:rPr>
          <w:snapToGrid w:val="0"/>
        </w:rPr>
        <w:tab/>
        <w:t>re</w:t>
      </w:r>
      <w:r>
        <w:rPr>
          <w:snapToGrid w:val="0"/>
        </w:rPr>
        <w:noBreakHyphen/>
        <w:t>open an account already taken between the parties;</w:t>
      </w:r>
    </w:p>
    <w:p>
      <w:pPr>
        <w:pStyle w:val="Indenta"/>
        <w:rPr>
          <w:snapToGrid w:val="0"/>
        </w:rPr>
      </w:pPr>
      <w:r>
        <w:rPr>
          <w:snapToGrid w:val="0"/>
        </w:rPr>
        <w:tab/>
        <w:t>(b)</w:t>
      </w:r>
      <w:r>
        <w:rPr>
          <w:snapToGrid w:val="0"/>
        </w:rPr>
        <w:tab/>
        <w:t>relieve the debtor or mortgagor and the guarantor (if any) from payment of any amount in excess of such amount as the Tribunal, having regard to the risk involved and all other circumstances, considers to be reasonably payable, in the case of a credit sale contract or a loan contract, in respect of the amount financed and the credit charge or, in the case of a continuing credit contract, the amount owed by the debtor to the credit provider under the contract;</w:t>
      </w:r>
    </w:p>
    <w:p>
      <w:pPr>
        <w:pStyle w:val="Indenta"/>
        <w:rPr>
          <w:snapToGrid w:val="0"/>
        </w:rPr>
      </w:pPr>
      <w:r>
        <w:rPr>
          <w:snapToGrid w:val="0"/>
        </w:rPr>
        <w:tab/>
        <w:t>(c)</w:t>
      </w:r>
      <w:r>
        <w:rPr>
          <w:snapToGrid w:val="0"/>
        </w:rPr>
        <w:tab/>
        <w:t>set aside either wholly or in part or revise or alter an agreement made or mortgage given in connection with the transaction;</w:t>
      </w:r>
    </w:p>
    <w:p>
      <w:pPr>
        <w:pStyle w:val="Indenta"/>
        <w:rPr>
          <w:snapToGrid w:val="0"/>
        </w:rPr>
      </w:pPr>
      <w:r>
        <w:rPr>
          <w:snapToGrid w:val="0"/>
        </w:rPr>
        <w:tab/>
        <w:t>(d)</w:t>
      </w:r>
      <w:r>
        <w:rPr>
          <w:snapToGrid w:val="0"/>
        </w:rPr>
        <w:tab/>
        <w:t>give judgment for or make an order in favour of a party of such amount as, having regard to the relief (if any) which the Tribunal thinks fit to grant, is justly due to that party under the contract or mortgage;</w:t>
      </w:r>
    </w:p>
    <w:p>
      <w:pPr>
        <w:pStyle w:val="Indenta"/>
        <w:rPr>
          <w:snapToGrid w:val="0"/>
        </w:rPr>
      </w:pPr>
      <w:r>
        <w:rPr>
          <w:snapToGrid w:val="0"/>
        </w:rPr>
        <w:tab/>
        <w:t>(e)</w:t>
      </w:r>
      <w:r>
        <w:rPr>
          <w:snapToGrid w:val="0"/>
        </w:rPr>
        <w:tab/>
        <w:t>give judgment or make an order against a person for delivery of goods to which the contract or mortgage relates and which are in the possession of that person.</w:t>
      </w:r>
    </w:p>
    <w:p>
      <w:pPr>
        <w:pStyle w:val="Heading5"/>
        <w:rPr>
          <w:snapToGrid w:val="0"/>
        </w:rPr>
      </w:pPr>
      <w:bookmarkStart w:id="281" w:name="_Toc392496629"/>
      <w:r>
        <w:rPr>
          <w:rStyle w:val="CharSectno"/>
        </w:rPr>
        <w:t>147</w:t>
      </w:r>
      <w:r>
        <w:rPr>
          <w:snapToGrid w:val="0"/>
        </w:rPr>
        <w:t>.</w:t>
      </w:r>
      <w:r>
        <w:rPr>
          <w:snapToGrid w:val="0"/>
        </w:rPr>
        <w:tab/>
        <w:t>Determining if contract etc. is unjust, matters to be considered by Tribunal</w:t>
      </w:r>
      <w:bookmarkEnd w:id="281"/>
    </w:p>
    <w:p>
      <w:pPr>
        <w:pStyle w:val="Subsection"/>
        <w:rPr>
          <w:snapToGrid w:val="0"/>
        </w:rPr>
      </w:pPr>
      <w:r>
        <w:rPr>
          <w:snapToGrid w:val="0"/>
        </w:rPr>
        <w:tab/>
        <w:t>(1)</w:t>
      </w:r>
      <w:r>
        <w:rPr>
          <w:snapToGrid w:val="0"/>
        </w:rPr>
        <w:tab/>
        <w:t>In determining whether a regulated contract or a regulated mortgage is unjust in the circumstances relating to the contract or mortgage at the time it was entered into, the Tribunal shall have regard to the public interest and to all the circumstances of the case, including such consequences as those arising in the event of — </w:t>
      </w:r>
    </w:p>
    <w:p>
      <w:pPr>
        <w:pStyle w:val="Indenta"/>
        <w:rPr>
          <w:snapToGrid w:val="0"/>
        </w:rPr>
      </w:pPr>
      <w:r>
        <w:rPr>
          <w:snapToGrid w:val="0"/>
        </w:rPr>
        <w:tab/>
        <w:t>(a)</w:t>
      </w:r>
      <w:r>
        <w:rPr>
          <w:snapToGrid w:val="0"/>
        </w:rPr>
        <w:tab/>
        <w:t>compliance with all or any of the provisions of the contract or mortgage; or</w:t>
      </w:r>
    </w:p>
    <w:p>
      <w:pPr>
        <w:pStyle w:val="Indenta"/>
        <w:rPr>
          <w:snapToGrid w:val="0"/>
        </w:rPr>
      </w:pPr>
      <w:r>
        <w:rPr>
          <w:snapToGrid w:val="0"/>
        </w:rPr>
        <w:tab/>
        <w:t>(b)</w:t>
      </w:r>
      <w:r>
        <w:rPr>
          <w:snapToGrid w:val="0"/>
        </w:rPr>
        <w:tab/>
        <w:t>non</w:t>
      </w:r>
      <w:r>
        <w:rPr>
          <w:snapToGrid w:val="0"/>
        </w:rPr>
        <w:noBreakHyphen/>
        <w:t>compliance with, or contravention of, all or any of the provisions of the contract or mortgage.</w:t>
      </w:r>
    </w:p>
    <w:p>
      <w:pPr>
        <w:pStyle w:val="Subsection"/>
        <w:rPr>
          <w:snapToGrid w:val="0"/>
        </w:rPr>
      </w:pPr>
      <w:r>
        <w:rPr>
          <w:snapToGrid w:val="0"/>
        </w:rPr>
        <w:tab/>
        <w:t>(2)</w:t>
      </w:r>
      <w:r>
        <w:rPr>
          <w:snapToGrid w:val="0"/>
        </w:rPr>
        <w:tab/>
        <w:t>Without affecting the generality of subsection (1), the matters to which the Tribunal shall have regard include, to the extent that they are relevant in the circumstances — </w:t>
      </w:r>
    </w:p>
    <w:p>
      <w:pPr>
        <w:pStyle w:val="Indenta"/>
        <w:rPr>
          <w:snapToGrid w:val="0"/>
        </w:rPr>
      </w:pPr>
      <w:r>
        <w:rPr>
          <w:snapToGrid w:val="0"/>
        </w:rPr>
        <w:tab/>
        <w:t>(a)</w:t>
      </w:r>
      <w:r>
        <w:rPr>
          <w:snapToGrid w:val="0"/>
        </w:rPr>
        <w:tab/>
        <w:t>whether or not there was any material inequality in the bargaining powers of the parties to the contract or mortgage; and</w:t>
      </w:r>
    </w:p>
    <w:p>
      <w:pPr>
        <w:pStyle w:val="Indenta"/>
        <w:rPr>
          <w:snapToGrid w:val="0"/>
        </w:rPr>
      </w:pPr>
      <w:r>
        <w:rPr>
          <w:snapToGrid w:val="0"/>
        </w:rPr>
        <w:tab/>
        <w:t>(b)</w:t>
      </w:r>
      <w:r>
        <w:rPr>
          <w:snapToGrid w:val="0"/>
        </w:rPr>
        <w:tab/>
        <w:t>whether or not, at the time the contract or mortgage was entered into, its provisions were the subject of negotiation; and</w:t>
      </w:r>
    </w:p>
    <w:p>
      <w:pPr>
        <w:pStyle w:val="Indenta"/>
        <w:rPr>
          <w:snapToGrid w:val="0"/>
        </w:rPr>
      </w:pPr>
      <w:r>
        <w:rPr>
          <w:snapToGrid w:val="0"/>
        </w:rPr>
        <w:tab/>
        <w:t>(c)</w:t>
      </w:r>
      <w:r>
        <w:rPr>
          <w:snapToGrid w:val="0"/>
        </w:rPr>
        <w:tab/>
        <w:t>whether or not it was reasonably practicable for the applicant to negotiate for the alteration of, or to reject, any of the provisions of the contract or mortgage; and</w:t>
      </w:r>
    </w:p>
    <w:p>
      <w:pPr>
        <w:pStyle w:val="Indenta"/>
        <w:rPr>
          <w:snapToGrid w:val="0"/>
        </w:rPr>
      </w:pPr>
      <w:r>
        <w:rPr>
          <w:snapToGrid w:val="0"/>
        </w:rPr>
        <w:tab/>
        <w:t>(d)</w:t>
      </w:r>
      <w:r>
        <w:rPr>
          <w:snapToGrid w:val="0"/>
        </w:rPr>
        <w:tab/>
        <w:t>whether or not any of the provisions of the contract or mortgage impose conditions that are unreasonably difficult to comply with, or not reasonably necessary for the protection of the legitimate interests of a party to the contract or mortgage; and</w:t>
      </w:r>
    </w:p>
    <w:p>
      <w:pPr>
        <w:pStyle w:val="Indenta"/>
        <w:spacing w:before="56"/>
        <w:rPr>
          <w:snapToGrid w:val="0"/>
        </w:rPr>
      </w:pPr>
      <w:r>
        <w:rPr>
          <w:snapToGrid w:val="0"/>
        </w:rPr>
        <w:tab/>
        <w:t>(e)</w:t>
      </w:r>
      <w:r>
        <w:rPr>
          <w:snapToGrid w:val="0"/>
        </w:rPr>
        <w:tab/>
        <w:t>whether or not — </w:t>
      </w:r>
    </w:p>
    <w:p>
      <w:pPr>
        <w:pStyle w:val="Indenti"/>
        <w:spacing w:before="56"/>
        <w:rPr>
          <w:snapToGrid w:val="0"/>
        </w:rPr>
      </w:pPr>
      <w:r>
        <w:rPr>
          <w:snapToGrid w:val="0"/>
        </w:rPr>
        <w:tab/>
        <w:t>(i)</w:t>
      </w:r>
      <w:r>
        <w:rPr>
          <w:snapToGrid w:val="0"/>
        </w:rPr>
        <w:tab/>
        <w:t xml:space="preserve">the debtor or mortgagor was reasonably able to protect his interests; or </w:t>
      </w:r>
    </w:p>
    <w:p>
      <w:pPr>
        <w:pStyle w:val="Indenti"/>
        <w:spacing w:before="56"/>
        <w:rPr>
          <w:snapToGrid w:val="0"/>
        </w:rPr>
      </w:pPr>
      <w:r>
        <w:rPr>
          <w:snapToGrid w:val="0"/>
        </w:rPr>
        <w:tab/>
        <w:t>(ii)</w:t>
      </w:r>
      <w:r>
        <w:rPr>
          <w:snapToGrid w:val="0"/>
        </w:rPr>
        <w:tab/>
        <w:t>a person who represented the debtor or mortgagor was reasonably able to protect the interests of the debtor or mortgagor,</w:t>
      </w:r>
    </w:p>
    <w:p>
      <w:pPr>
        <w:pStyle w:val="Indenta"/>
        <w:spacing w:before="56"/>
        <w:rPr>
          <w:snapToGrid w:val="0"/>
        </w:rPr>
      </w:pPr>
      <w:r>
        <w:rPr>
          <w:snapToGrid w:val="0"/>
        </w:rPr>
        <w:tab/>
      </w:r>
      <w:r>
        <w:rPr>
          <w:snapToGrid w:val="0"/>
        </w:rPr>
        <w:tab/>
        <w:t>because of his age or the state of his physical or mental capacity; and</w:t>
      </w:r>
    </w:p>
    <w:p>
      <w:pPr>
        <w:pStyle w:val="Indenta"/>
        <w:spacing w:before="56"/>
        <w:rPr>
          <w:snapToGrid w:val="0"/>
        </w:rPr>
      </w:pPr>
      <w:r>
        <w:rPr>
          <w:snapToGrid w:val="0"/>
        </w:rPr>
        <w:tab/>
        <w:t>(f)</w:t>
      </w:r>
      <w:r>
        <w:rPr>
          <w:snapToGrid w:val="0"/>
        </w:rPr>
        <w:tab/>
        <w:t>the form of the contract or mortgage and the intelligibility of the language in which it is expressed; and</w:t>
      </w:r>
    </w:p>
    <w:p>
      <w:pPr>
        <w:pStyle w:val="Indenta"/>
        <w:spacing w:before="56"/>
        <w:rPr>
          <w:snapToGrid w:val="0"/>
        </w:rPr>
      </w:pPr>
      <w:r>
        <w:rPr>
          <w:snapToGrid w:val="0"/>
        </w:rPr>
        <w:tab/>
        <w:t>(g)</w:t>
      </w:r>
      <w:r>
        <w:rPr>
          <w:snapToGrid w:val="0"/>
        </w:rPr>
        <w:tab/>
        <w:t>whether or not, and when, independent legal or other expert advice was obtained by the applicant; and</w:t>
      </w:r>
    </w:p>
    <w:p>
      <w:pPr>
        <w:pStyle w:val="Indenta"/>
        <w:spacing w:before="56"/>
        <w:rPr>
          <w:snapToGrid w:val="0"/>
        </w:rPr>
      </w:pPr>
      <w:r>
        <w:rPr>
          <w:snapToGrid w:val="0"/>
        </w:rPr>
        <w:tab/>
        <w:t>(h)</w:t>
      </w:r>
      <w:r>
        <w:rPr>
          <w:snapToGrid w:val="0"/>
        </w:rPr>
        <w:tab/>
        <w:t>the extent to which the provisions of the contract or mortgage and their legal and practical effect were accurately explained to the applicant and whether or not the applicant understood those provisions and their effect; and</w:t>
      </w:r>
    </w:p>
    <w:p>
      <w:pPr>
        <w:pStyle w:val="Indenta"/>
        <w:spacing w:before="56"/>
        <w:rPr>
          <w:snapToGrid w:val="0"/>
        </w:rPr>
      </w:pPr>
      <w:r>
        <w:rPr>
          <w:snapToGrid w:val="0"/>
        </w:rPr>
        <w:tab/>
        <w:t>(i)</w:t>
      </w:r>
      <w:r>
        <w:rPr>
          <w:snapToGrid w:val="0"/>
        </w:rPr>
        <w:tab/>
        <w:t>whether undue influence, unfair pressure or unfair tactics were exerted on or used against the applicant — </w:t>
      </w:r>
    </w:p>
    <w:p>
      <w:pPr>
        <w:pStyle w:val="Indenti"/>
        <w:spacing w:before="56"/>
        <w:rPr>
          <w:snapToGrid w:val="0"/>
        </w:rPr>
      </w:pPr>
      <w:r>
        <w:rPr>
          <w:snapToGrid w:val="0"/>
        </w:rPr>
        <w:tab/>
        <w:t>(i)</w:t>
      </w:r>
      <w:r>
        <w:rPr>
          <w:snapToGrid w:val="0"/>
        </w:rPr>
        <w:tab/>
        <w:t>by any other party to the contract; or</w:t>
      </w:r>
    </w:p>
    <w:p>
      <w:pPr>
        <w:pStyle w:val="Indenti"/>
        <w:spacing w:before="56"/>
        <w:rPr>
          <w:snapToGrid w:val="0"/>
        </w:rPr>
      </w:pPr>
      <w:r>
        <w:rPr>
          <w:snapToGrid w:val="0"/>
        </w:rPr>
        <w:tab/>
        <w:t>(ii)</w:t>
      </w:r>
      <w:r>
        <w:rPr>
          <w:snapToGrid w:val="0"/>
        </w:rPr>
        <w:tab/>
        <w:t>by any person acting, or appearing or purporting to act, for any other party to the contract or mortgage; or</w:t>
      </w:r>
    </w:p>
    <w:p>
      <w:pPr>
        <w:pStyle w:val="Indenti"/>
        <w:spacing w:before="56"/>
        <w:rPr>
          <w:snapToGrid w:val="0"/>
        </w:rPr>
      </w:pPr>
      <w:r>
        <w:rPr>
          <w:snapToGrid w:val="0"/>
        </w:rPr>
        <w:tab/>
        <w:t>(iii)</w:t>
      </w:r>
      <w:r>
        <w:rPr>
          <w:snapToGrid w:val="0"/>
        </w:rPr>
        <w:tab/>
        <w:t>by any person to the knowledge (at the time the contract was made) of any other party to the contract or mortgage, or of any person acting, or appearing or purporting to act, for any other party to the contract;</w:t>
      </w:r>
    </w:p>
    <w:p>
      <w:pPr>
        <w:pStyle w:val="Indenta"/>
        <w:spacing w:before="56"/>
        <w:rPr>
          <w:snapToGrid w:val="0"/>
        </w:rPr>
      </w:pPr>
      <w:r>
        <w:rPr>
          <w:snapToGrid w:val="0"/>
        </w:rPr>
        <w:tab/>
      </w:r>
      <w:r>
        <w:rPr>
          <w:snapToGrid w:val="0"/>
        </w:rPr>
        <w:tab/>
        <w:t>and</w:t>
      </w:r>
    </w:p>
    <w:p>
      <w:pPr>
        <w:pStyle w:val="Indenta"/>
        <w:rPr>
          <w:snapToGrid w:val="0"/>
        </w:rPr>
      </w:pPr>
      <w:r>
        <w:rPr>
          <w:snapToGrid w:val="0"/>
        </w:rPr>
        <w:tab/>
        <w:t>(j)</w:t>
      </w:r>
      <w:r>
        <w:rPr>
          <w:snapToGrid w:val="0"/>
        </w:rPr>
        <w:tab/>
        <w:t>the conduct of the parties to the proceedings in relation to similar contracts or mortgages, or courses of dealing, to which any of them has been a party; and</w:t>
      </w:r>
    </w:p>
    <w:p>
      <w:pPr>
        <w:pStyle w:val="Indenta"/>
        <w:rPr>
          <w:snapToGrid w:val="0"/>
        </w:rPr>
      </w:pPr>
      <w:r>
        <w:rPr>
          <w:snapToGrid w:val="0"/>
        </w:rPr>
        <w:tab/>
        <w:t>(k)</w:t>
      </w:r>
      <w:r>
        <w:rPr>
          <w:snapToGrid w:val="0"/>
        </w:rPr>
        <w:tab/>
        <w:t>the commercial or other setting, purpose and effect of the contract or mortgage.</w:t>
      </w:r>
    </w:p>
    <w:p>
      <w:pPr>
        <w:pStyle w:val="Subsection"/>
        <w:rPr>
          <w:snapToGrid w:val="0"/>
        </w:rPr>
      </w:pPr>
      <w:r>
        <w:rPr>
          <w:snapToGrid w:val="0"/>
        </w:rPr>
        <w:tab/>
        <w:t>(3)</w:t>
      </w:r>
      <w:r>
        <w:rPr>
          <w:snapToGrid w:val="0"/>
        </w:rPr>
        <w:tab/>
        <w:t>For the purposes of subsection (2), a person shall be deemed to have represented a debtor or mortgagor if he represented him, or assisted him to a significant degree, in negotiations prior to, or at, the time the contract or mortgage was entered into.</w:t>
      </w:r>
    </w:p>
    <w:p>
      <w:pPr>
        <w:pStyle w:val="Subsection"/>
        <w:rPr>
          <w:snapToGrid w:val="0"/>
        </w:rPr>
      </w:pPr>
      <w:r>
        <w:rPr>
          <w:snapToGrid w:val="0"/>
        </w:rPr>
        <w:tab/>
        <w:t>(4)</w:t>
      </w:r>
      <w:r>
        <w:rPr>
          <w:snapToGrid w:val="0"/>
        </w:rPr>
        <w:tab/>
        <w:t>In determining whether a contract or mortgage is unjust, the Tribunal shall not have regard to any injustice arising from circumstances that were not reasonably foreseeable at the time the contract or mortgage was entered into.</w:t>
      </w:r>
    </w:p>
    <w:p>
      <w:pPr>
        <w:pStyle w:val="Subsection"/>
        <w:rPr>
          <w:snapToGrid w:val="0"/>
        </w:rPr>
      </w:pPr>
      <w:r>
        <w:rPr>
          <w:snapToGrid w:val="0"/>
        </w:rPr>
        <w:tab/>
        <w:t>(5)</w:t>
      </w:r>
      <w:r>
        <w:rPr>
          <w:snapToGrid w:val="0"/>
        </w:rPr>
        <w:tab/>
        <w:t>In determining whether to grant relief in respect of a contract or mortgage that it finds to be unjust, the Tribunal may have regard to the conduct of the parties to the proceedings in relation to the contract or mortgage since it was entered into.</w:t>
      </w:r>
    </w:p>
    <w:p>
      <w:pPr>
        <w:pStyle w:val="Heading5"/>
        <w:rPr>
          <w:snapToGrid w:val="0"/>
        </w:rPr>
      </w:pPr>
      <w:bookmarkStart w:id="282" w:name="_Toc392496630"/>
      <w:r>
        <w:rPr>
          <w:rStyle w:val="CharSectno"/>
        </w:rPr>
        <w:t>148</w:t>
      </w:r>
      <w:r>
        <w:rPr>
          <w:snapToGrid w:val="0"/>
        </w:rPr>
        <w:t>.</w:t>
      </w:r>
      <w:r>
        <w:rPr>
          <w:snapToGrid w:val="0"/>
        </w:rPr>
        <w:tab/>
        <w:t>Joinder of parties</w:t>
      </w:r>
      <w:bookmarkEnd w:id="282"/>
    </w:p>
    <w:p>
      <w:pPr>
        <w:pStyle w:val="Subsection"/>
        <w:rPr>
          <w:snapToGrid w:val="0"/>
        </w:rPr>
      </w:pPr>
      <w:r>
        <w:rPr>
          <w:snapToGrid w:val="0"/>
        </w:rPr>
        <w:tab/>
      </w:r>
      <w:r>
        <w:rPr>
          <w:snapToGrid w:val="0"/>
        </w:rPr>
        <w:tab/>
        <w:t>Where it appears to the Tribunal that a person other than a credit provider or mortgagee has shared in the profits of, or has a beneficial interest prospectively or otherwise in, a regulated contract or regulated mortgage that the Tribunal holds to be unjust, the Tribunal may join that person as a party to the proceedings and may make such order in respect of that person as it thinks fit.</w:t>
      </w:r>
    </w:p>
    <w:p>
      <w:pPr>
        <w:pStyle w:val="Heading5"/>
        <w:rPr>
          <w:snapToGrid w:val="0"/>
        </w:rPr>
      </w:pPr>
      <w:bookmarkStart w:id="283" w:name="_Toc392496631"/>
      <w:r>
        <w:rPr>
          <w:rStyle w:val="CharSectno"/>
        </w:rPr>
        <w:t>149</w:t>
      </w:r>
      <w:r>
        <w:rPr>
          <w:snapToGrid w:val="0"/>
        </w:rPr>
        <w:t>.</w:t>
      </w:r>
      <w:r>
        <w:rPr>
          <w:snapToGrid w:val="0"/>
        </w:rPr>
        <w:tab/>
        <w:t>Limitation on re</w:t>
      </w:r>
      <w:r>
        <w:rPr>
          <w:snapToGrid w:val="0"/>
        </w:rPr>
        <w:noBreakHyphen/>
        <w:t>opening transactions</w:t>
      </w:r>
      <w:bookmarkEnd w:id="283"/>
    </w:p>
    <w:p>
      <w:pPr>
        <w:pStyle w:val="Subsection"/>
        <w:keepNext/>
        <w:rPr>
          <w:snapToGrid w:val="0"/>
        </w:rPr>
      </w:pPr>
      <w:r>
        <w:rPr>
          <w:snapToGrid w:val="0"/>
        </w:rPr>
        <w:tab/>
        <w:t>(1)</w:t>
      </w:r>
      <w:r>
        <w:rPr>
          <w:snapToGrid w:val="0"/>
        </w:rPr>
        <w:tab/>
        <w:t>Except as provided by subsection (2), a debtor, mortgagor or guarantor may not make an application under section 146 in respect of a regulated contract or a regulated mortgage — </w:t>
      </w:r>
    </w:p>
    <w:p>
      <w:pPr>
        <w:pStyle w:val="Indenta"/>
        <w:rPr>
          <w:snapToGrid w:val="0"/>
        </w:rPr>
      </w:pPr>
      <w:r>
        <w:rPr>
          <w:snapToGrid w:val="0"/>
        </w:rPr>
        <w:tab/>
        <w:t>(a)</w:t>
      </w:r>
      <w:r>
        <w:rPr>
          <w:snapToGrid w:val="0"/>
        </w:rPr>
        <w:tab/>
        <w:t>in the case of a regulated mortgage under which the mortgagee has exercised a right to take possession of the property to which the mortgage relates — after the expiration of the period of 2 years after the time when the mortgagee served the notice referred to in section 107 on the mortgagor or guarantor; or</w:t>
      </w:r>
    </w:p>
    <w:p>
      <w:pPr>
        <w:pStyle w:val="Indenta"/>
        <w:rPr>
          <w:snapToGrid w:val="0"/>
        </w:rPr>
      </w:pPr>
      <w:r>
        <w:rPr>
          <w:snapToGrid w:val="0"/>
        </w:rPr>
        <w:tab/>
        <w:t>(b)</w:t>
      </w:r>
      <w:r>
        <w:rPr>
          <w:snapToGrid w:val="0"/>
        </w:rPr>
        <w:tab/>
        <w:t>in any other case — after the expiration of the period of 2 years after the time when the contract or mortgage is terminated.</w:t>
      </w:r>
    </w:p>
    <w:p>
      <w:pPr>
        <w:pStyle w:val="Subsection"/>
        <w:rPr>
          <w:snapToGrid w:val="0"/>
        </w:rPr>
      </w:pPr>
      <w:r>
        <w:rPr>
          <w:snapToGrid w:val="0"/>
        </w:rPr>
        <w:tab/>
        <w:t>(2)</w:t>
      </w:r>
      <w:r>
        <w:rPr>
          <w:snapToGrid w:val="0"/>
        </w:rPr>
        <w:tab/>
        <w:t>A debtor, mortgagor or guarantor may make an application under section 146 in respect of a regulated contract or a regulated mortgage during the period of pendency of maintainable proceedings arising out of or in relation to the contract or mortgage, being proceedings (including cross</w:t>
      </w:r>
      <w:r>
        <w:rPr>
          <w:snapToGrid w:val="0"/>
        </w:rPr>
        <w:noBreakHyphen/>
        <w:t>claims) that are pending against the debtor, mortgagor or guarantor.</w:t>
      </w:r>
    </w:p>
    <w:p>
      <w:pPr>
        <w:pStyle w:val="Heading2"/>
      </w:pPr>
      <w:bookmarkStart w:id="284" w:name="_Toc378152708"/>
      <w:bookmarkStart w:id="285" w:name="_Toc392496632"/>
      <w:r>
        <w:rPr>
          <w:rStyle w:val="CharPartNo"/>
        </w:rPr>
        <w:t>Part X</w:t>
      </w:r>
      <w:r>
        <w:rPr>
          <w:rStyle w:val="CharDivNo"/>
        </w:rPr>
        <w:t> </w:t>
      </w:r>
      <w:r>
        <w:t>—</w:t>
      </w:r>
      <w:r>
        <w:rPr>
          <w:rStyle w:val="CharDivText"/>
        </w:rPr>
        <w:t> </w:t>
      </w:r>
      <w:r>
        <w:rPr>
          <w:rStyle w:val="CharPartText"/>
        </w:rPr>
        <w:t>General</w:t>
      </w:r>
      <w:bookmarkEnd w:id="284"/>
      <w:bookmarkEnd w:id="285"/>
    </w:p>
    <w:p>
      <w:pPr>
        <w:pStyle w:val="Heading5"/>
        <w:rPr>
          <w:snapToGrid w:val="0"/>
        </w:rPr>
      </w:pPr>
      <w:bookmarkStart w:id="286" w:name="_Toc392496633"/>
      <w:r>
        <w:rPr>
          <w:rStyle w:val="CharSectno"/>
        </w:rPr>
        <w:t>150</w:t>
      </w:r>
      <w:r>
        <w:rPr>
          <w:snapToGrid w:val="0"/>
        </w:rPr>
        <w:t>.</w:t>
      </w:r>
      <w:r>
        <w:rPr>
          <w:snapToGrid w:val="0"/>
        </w:rPr>
        <w:tab/>
        <w:t>Assigning interests under wills etc. to credit providers</w:t>
      </w:r>
      <w:bookmarkEnd w:id="286"/>
    </w:p>
    <w:p>
      <w:pPr>
        <w:pStyle w:val="Subsection"/>
        <w:rPr>
          <w:snapToGrid w:val="0"/>
        </w:rPr>
      </w:pPr>
      <w:r>
        <w:rPr>
          <w:snapToGrid w:val="0"/>
        </w:rPr>
        <w:tab/>
        <w:t>(1)</w:t>
      </w:r>
      <w:r>
        <w:rPr>
          <w:snapToGrid w:val="0"/>
        </w:rPr>
        <w:tab/>
        <w:t>An assignment to a credit provider whether absolute or by way of security or otherwise made by a natural person of or in respect of all or any part of his right, title or interest, whether actual or expectant, in possession, remainder or reversion, or contingent, or of any nature whatsoever, in or under any will, codicil or deed or in, under or to the estate of any deceased person, whether the decease of that person was before or after the making of the assignment or before or after the commencement</w:t>
      </w:r>
      <w:bookmarkStart w:id="287" w:name="RuleErr_71"/>
      <w:r>
        <w:rPr>
          <w:snapToGrid w:val="0"/>
        </w:rPr>
        <w:t xml:space="preserve"> of this section</w:t>
      </w:r>
      <w:bookmarkEnd w:id="287"/>
      <w:r>
        <w:rPr>
          <w:snapToGrid w:val="0"/>
        </w:rPr>
        <w:t>, shall not be of any force or validity unless the assignment is in writing and was executed by the person in the presence of a prescribed person and is certified by the prescribed person as provided in subsection (2).</w:t>
      </w:r>
    </w:p>
    <w:p>
      <w:pPr>
        <w:pStyle w:val="Subsection"/>
        <w:rPr>
          <w:snapToGrid w:val="0"/>
        </w:rPr>
      </w:pPr>
      <w:r>
        <w:rPr>
          <w:snapToGrid w:val="0"/>
        </w:rPr>
        <w:tab/>
        <w:t>(2)</w:t>
      </w:r>
      <w:r>
        <w:rPr>
          <w:snapToGrid w:val="0"/>
        </w:rPr>
        <w:tab/>
      </w:r>
      <w:r>
        <w:rPr>
          <w:snapToGrid w:val="0"/>
          <w:spacing w:val="-2"/>
        </w:rPr>
        <w:t>The prescribed person shall read over and explain or cause to be read over and explained in his presence to the assignor the assignment and shall examine the assignor touching his knowledge of the assignment and if he thinks fit may so examine him separately and apart from any other person and if he is satisfied that the assignor understands the true purport and effect of the assignment and freely and voluntarily executes it he shall certify in writing upon the assignment that the assignment has been so read over and explained and that he has examined the assignor and is satisfied as required by this section and that the assignor has executed the assignment in his presence.</w:t>
      </w:r>
    </w:p>
    <w:p>
      <w:pPr>
        <w:pStyle w:val="Subsection"/>
        <w:rPr>
          <w:snapToGrid w:val="0"/>
        </w:rPr>
      </w:pPr>
      <w:r>
        <w:rPr>
          <w:snapToGrid w:val="0"/>
        </w:rPr>
        <w:tab/>
        <w:t>(3)</w:t>
      </w:r>
      <w:r>
        <w:rPr>
          <w:snapToGrid w:val="0"/>
        </w:rPr>
        <w:tab/>
        <w:t>This section does not apply to an assignment made only for the purposes of vesting property in the person entitled to it under or by virtue of the provisions of a will, codicil or deed or as a person entitled to property as part of the estate of a deceased person, or to an assignment made by a person to whom that property has been actually conveyed, assigned or transferred.</w:t>
      </w:r>
    </w:p>
    <w:p>
      <w:pPr>
        <w:pStyle w:val="Subsection"/>
        <w:rPr>
          <w:snapToGrid w:val="0"/>
        </w:rPr>
      </w:pPr>
      <w:r>
        <w:rPr>
          <w:snapToGrid w:val="0"/>
        </w:rPr>
        <w:tab/>
        <w:t>(4)</w:t>
      </w:r>
      <w:r>
        <w:rPr>
          <w:snapToGrid w:val="0"/>
        </w:rPr>
        <w:tab/>
        <w:t>An assignment executed in pursuance</w:t>
      </w:r>
      <w:bookmarkStart w:id="288" w:name="RuleErr_72"/>
      <w:r>
        <w:rPr>
          <w:snapToGrid w:val="0"/>
        </w:rPr>
        <w:t xml:space="preserve"> of this section</w:t>
      </w:r>
      <w:bookmarkEnd w:id="288"/>
      <w:r>
        <w:rPr>
          <w:snapToGrid w:val="0"/>
        </w:rPr>
        <w:t> shall not be impeached upon any ground whatsoever except in the case of fraud or any kind of imposition.</w:t>
      </w:r>
    </w:p>
    <w:p>
      <w:pPr>
        <w:pStyle w:val="Subsection"/>
        <w:rPr>
          <w:snapToGrid w:val="0"/>
        </w:rPr>
      </w:pPr>
      <w:r>
        <w:rPr>
          <w:snapToGrid w:val="0"/>
        </w:rPr>
        <w:tab/>
        <w:t>(5)</w:t>
      </w:r>
      <w:r>
        <w:rPr>
          <w:snapToGrid w:val="0"/>
        </w:rPr>
        <w:tab/>
        <w:t>In this section — </w:t>
      </w:r>
    </w:p>
    <w:p>
      <w:pPr>
        <w:pStyle w:val="Defstart"/>
      </w:pPr>
      <w:r>
        <w:rPr>
          <w:b/>
        </w:rPr>
        <w:tab/>
      </w:r>
      <w:r>
        <w:rPr>
          <w:rStyle w:val="CharDefText"/>
        </w:rPr>
        <w:t>assignment</w:t>
      </w:r>
      <w:r>
        <w:t xml:space="preserve"> means any assignment, assurance, sale, mortgage, lien, charge, conveyance, transfer or declaration of trust, and any contract, agreement or arrangement for assignment, assurance, sale, mortgage, lien, charge, conveyance, transfer or declaration of trust, and any power of attorney, appointment of agent, licence or power to receive or other authority of a like nature;</w:t>
      </w:r>
    </w:p>
    <w:p>
      <w:pPr>
        <w:pStyle w:val="Defstart"/>
      </w:pPr>
      <w:r>
        <w:rPr>
          <w:b/>
        </w:rPr>
        <w:tab/>
      </w:r>
      <w:r>
        <w:rPr>
          <w:rStyle w:val="CharDefText"/>
        </w:rPr>
        <w:t>deed</w:t>
      </w:r>
      <w:r>
        <w:t xml:space="preserve"> means any instrument (other than a will or codicil) whether under seal or not whereby any property is settled, appointed, given or declared to be held in trust or is agreed to be settled, appointed, given or held in trust.</w:t>
      </w:r>
    </w:p>
    <w:p>
      <w:pPr>
        <w:pStyle w:val="Heading5"/>
        <w:rPr>
          <w:snapToGrid w:val="0"/>
        </w:rPr>
      </w:pPr>
      <w:bookmarkStart w:id="289" w:name="_Toc392496634"/>
      <w:r>
        <w:rPr>
          <w:rStyle w:val="CharSectno"/>
        </w:rPr>
        <w:t>151</w:t>
      </w:r>
      <w:r>
        <w:rPr>
          <w:snapToGrid w:val="0"/>
        </w:rPr>
        <w:t>.</w:t>
      </w:r>
      <w:r>
        <w:rPr>
          <w:snapToGrid w:val="0"/>
        </w:rPr>
        <w:tab/>
        <w:t>Legibility of documents</w:t>
      </w:r>
      <w:bookmarkEnd w:id="289"/>
    </w:p>
    <w:p>
      <w:pPr>
        <w:pStyle w:val="Subsection"/>
        <w:rPr>
          <w:snapToGrid w:val="0"/>
        </w:rPr>
      </w:pPr>
      <w:r>
        <w:rPr>
          <w:snapToGrid w:val="0"/>
        </w:rPr>
        <w:tab/>
        <w:t>(1)</w:t>
      </w:r>
      <w:r>
        <w:rPr>
          <w:snapToGrid w:val="0"/>
        </w:rPr>
        <w:tab/>
        <w:t>A document that, under this Act, is required to be in writing or to comply with the provisions</w:t>
      </w:r>
      <w:bookmarkStart w:id="290" w:name="RuleErr_73"/>
      <w:r>
        <w:rPr>
          <w:snapToGrid w:val="0"/>
        </w:rPr>
        <w:t xml:space="preserve"> of this section</w:t>
      </w:r>
      <w:bookmarkEnd w:id="290"/>
      <w:r>
        <w:rPr>
          <w:snapToGrid w:val="0"/>
        </w:rPr>
        <w:t> shall be readily legible.</w:t>
      </w:r>
    </w:p>
    <w:p>
      <w:pPr>
        <w:pStyle w:val="Subsection"/>
        <w:rPr>
          <w:snapToGrid w:val="0"/>
        </w:rPr>
      </w:pPr>
      <w:r>
        <w:rPr>
          <w:snapToGrid w:val="0"/>
        </w:rPr>
        <w:tab/>
        <w:t>(2)</w:t>
      </w:r>
      <w:r>
        <w:rPr>
          <w:snapToGrid w:val="0"/>
        </w:rPr>
        <w:tab/>
        <w:t>For the purposes</w:t>
      </w:r>
      <w:bookmarkStart w:id="291" w:name="RuleErr_74"/>
      <w:r>
        <w:rPr>
          <w:snapToGrid w:val="0"/>
        </w:rPr>
        <w:t xml:space="preserve"> of this section</w:t>
      </w:r>
      <w:bookmarkEnd w:id="291"/>
      <w:r>
        <w:rPr>
          <w:snapToGrid w:val="0"/>
        </w:rPr>
        <w:t>, a document shall be deemed to be readily legible if it is — </w:t>
      </w:r>
    </w:p>
    <w:p>
      <w:pPr>
        <w:pStyle w:val="Indenta"/>
        <w:rPr>
          <w:snapToGrid w:val="0"/>
        </w:rPr>
      </w:pPr>
      <w:r>
        <w:rPr>
          <w:snapToGrid w:val="0"/>
        </w:rPr>
        <w:tab/>
        <w:t>(a)</w:t>
      </w:r>
      <w:r>
        <w:rPr>
          <w:snapToGrid w:val="0"/>
        </w:rPr>
        <w:tab/>
        <w:t>in clear hand writing; or</w:t>
      </w:r>
    </w:p>
    <w:p>
      <w:pPr>
        <w:pStyle w:val="Indenta"/>
        <w:rPr>
          <w:snapToGrid w:val="0"/>
        </w:rPr>
      </w:pPr>
      <w:r>
        <w:rPr>
          <w:snapToGrid w:val="0"/>
        </w:rPr>
        <w:tab/>
        <w:t>(b)</w:t>
      </w:r>
      <w:r>
        <w:rPr>
          <w:snapToGrid w:val="0"/>
        </w:rPr>
        <w:tab/>
        <w:t>in print or type, or otherwise reproduced in a form, that complies with the prescribed requirements.</w:t>
      </w:r>
    </w:p>
    <w:p>
      <w:pPr>
        <w:pStyle w:val="Subsection"/>
        <w:rPr>
          <w:snapToGrid w:val="0"/>
        </w:rPr>
      </w:pPr>
      <w:r>
        <w:rPr>
          <w:snapToGrid w:val="0"/>
        </w:rPr>
        <w:tab/>
        <w:t>(3)</w:t>
      </w:r>
      <w:r>
        <w:rPr>
          <w:snapToGrid w:val="0"/>
        </w:rPr>
        <w:tab/>
        <w:t>For the purposes</w:t>
      </w:r>
      <w:bookmarkStart w:id="292" w:name="RuleErr_114"/>
      <w:r>
        <w:rPr>
          <w:snapToGrid w:val="0"/>
        </w:rPr>
        <w:t xml:space="preserve"> of this Act</w:t>
      </w:r>
      <w:bookmarkEnd w:id="292"/>
      <w:r>
        <w:rPr>
          <w:snapToGrid w:val="0"/>
        </w:rPr>
        <w:t>, a document that is not readily legible shall be deemed not to be in writing.</w:t>
      </w:r>
    </w:p>
    <w:p>
      <w:pPr>
        <w:pStyle w:val="Heading5"/>
        <w:rPr>
          <w:snapToGrid w:val="0"/>
        </w:rPr>
      </w:pPr>
      <w:bookmarkStart w:id="293" w:name="_Toc392496635"/>
      <w:r>
        <w:rPr>
          <w:rStyle w:val="CharSectno"/>
        </w:rPr>
        <w:t>152</w:t>
      </w:r>
      <w:r>
        <w:rPr>
          <w:snapToGrid w:val="0"/>
        </w:rPr>
        <w:t>.</w:t>
      </w:r>
      <w:r>
        <w:rPr>
          <w:snapToGrid w:val="0"/>
        </w:rPr>
        <w:tab/>
        <w:t>Tribunal may prohibit use of illegible etc. documents</w:t>
      </w:r>
      <w:bookmarkEnd w:id="293"/>
    </w:p>
    <w:p>
      <w:pPr>
        <w:pStyle w:val="Subsection"/>
        <w:rPr>
          <w:snapToGrid w:val="0"/>
        </w:rPr>
      </w:pPr>
      <w:r>
        <w:rPr>
          <w:snapToGrid w:val="0"/>
        </w:rPr>
        <w:tab/>
      </w:r>
      <w:r>
        <w:rPr>
          <w:snapToGrid w:val="0"/>
        </w:rPr>
        <w:tab/>
        <w:t>Where the form of a document given or issued by a credit provider or mortgagee under or for the purposes</w:t>
      </w:r>
      <w:bookmarkStart w:id="294" w:name="RuleErr_115"/>
      <w:r>
        <w:rPr>
          <w:snapToGrid w:val="0"/>
        </w:rPr>
        <w:t xml:space="preserve"> of this Act</w:t>
      </w:r>
      <w:bookmarkEnd w:id="294"/>
      <w:r>
        <w:rPr>
          <w:snapToGrid w:val="0"/>
        </w:rPr>
        <w:t> is, in the opinion of the Tribunal — </w:t>
      </w:r>
    </w:p>
    <w:p>
      <w:pPr>
        <w:pStyle w:val="Indenta"/>
        <w:rPr>
          <w:snapToGrid w:val="0"/>
        </w:rPr>
      </w:pPr>
      <w:r>
        <w:rPr>
          <w:snapToGrid w:val="0"/>
        </w:rPr>
        <w:tab/>
        <w:t>(a)</w:t>
      </w:r>
      <w:r>
        <w:rPr>
          <w:snapToGrid w:val="0"/>
        </w:rPr>
        <w:tab/>
        <w:t>expressed in language that is not readily comprehensible; or</w:t>
      </w:r>
    </w:p>
    <w:p>
      <w:pPr>
        <w:pStyle w:val="Indenta"/>
        <w:rPr>
          <w:snapToGrid w:val="0"/>
        </w:rPr>
      </w:pPr>
      <w:r>
        <w:rPr>
          <w:snapToGrid w:val="0"/>
        </w:rPr>
        <w:tab/>
        <w:t>(b)</w:t>
      </w:r>
      <w:r>
        <w:rPr>
          <w:snapToGrid w:val="0"/>
        </w:rPr>
        <w:tab/>
        <w:t>written or printed in a colour, or on paper of a colour, that detracts from the legibility of the document; or</w:t>
      </w:r>
    </w:p>
    <w:p>
      <w:pPr>
        <w:pStyle w:val="Indenta"/>
        <w:rPr>
          <w:snapToGrid w:val="0"/>
        </w:rPr>
      </w:pPr>
      <w:r>
        <w:rPr>
          <w:snapToGrid w:val="0"/>
        </w:rPr>
        <w:tab/>
        <w:t>(c)</w:t>
      </w:r>
      <w:r>
        <w:rPr>
          <w:snapToGrid w:val="0"/>
        </w:rPr>
        <w:tab/>
        <w:t>written or printed in a style or manner that detracts from the legibility of the document,</w:t>
      </w:r>
    </w:p>
    <w:p>
      <w:pPr>
        <w:pStyle w:val="Subsection"/>
        <w:spacing w:before="80"/>
        <w:rPr>
          <w:snapToGrid w:val="0"/>
        </w:rPr>
      </w:pPr>
      <w:r>
        <w:rPr>
          <w:snapToGrid w:val="0"/>
        </w:rPr>
        <w:tab/>
      </w:r>
      <w:r>
        <w:rPr>
          <w:snapToGrid w:val="0"/>
        </w:rPr>
        <w:tab/>
        <w:t>the Tribunal may direct the credit provider or mortgagee not to use documents in that form.</w:t>
      </w:r>
    </w:p>
    <w:p>
      <w:pPr>
        <w:pStyle w:val="Heading5"/>
        <w:rPr>
          <w:snapToGrid w:val="0"/>
        </w:rPr>
      </w:pPr>
      <w:bookmarkStart w:id="295" w:name="_Toc392496636"/>
      <w:r>
        <w:rPr>
          <w:rStyle w:val="CharSectno"/>
        </w:rPr>
        <w:t>153</w:t>
      </w:r>
      <w:r>
        <w:rPr>
          <w:snapToGrid w:val="0"/>
        </w:rPr>
        <w:t>.</w:t>
      </w:r>
      <w:r>
        <w:rPr>
          <w:snapToGrid w:val="0"/>
        </w:rPr>
        <w:tab/>
        <w:t>Tribunal may determine document is readily legible etc.</w:t>
      </w:r>
      <w:bookmarkEnd w:id="295"/>
    </w:p>
    <w:p>
      <w:pPr>
        <w:pStyle w:val="Subsection"/>
        <w:rPr>
          <w:snapToGrid w:val="0"/>
        </w:rPr>
      </w:pPr>
      <w:r>
        <w:rPr>
          <w:snapToGrid w:val="0"/>
        </w:rPr>
        <w:tab/>
      </w:r>
      <w:r>
        <w:rPr>
          <w:snapToGrid w:val="0"/>
        </w:rPr>
        <w:tab/>
        <w:t>Where a credit provider or a mortgagee submits to the Tribunal for its opinion a form of document intended to be given or entered into under this Act, the credit provider or mortgagee shall not, by reason only that he gives or issues a document under this Act in that form, be guilty of an offence under section 154 if the Tribunal, before the document is given or issued, determines that in its opinion the form of the document is — </w:t>
      </w:r>
    </w:p>
    <w:p>
      <w:pPr>
        <w:pStyle w:val="Indenta"/>
        <w:rPr>
          <w:snapToGrid w:val="0"/>
        </w:rPr>
      </w:pPr>
      <w:r>
        <w:rPr>
          <w:snapToGrid w:val="0"/>
        </w:rPr>
        <w:tab/>
        <w:t>(a)</w:t>
      </w:r>
      <w:r>
        <w:rPr>
          <w:snapToGrid w:val="0"/>
        </w:rPr>
        <w:tab/>
        <w:t>readily legible; and</w:t>
      </w:r>
    </w:p>
    <w:p>
      <w:pPr>
        <w:pStyle w:val="Indenta"/>
        <w:rPr>
          <w:snapToGrid w:val="0"/>
        </w:rPr>
      </w:pPr>
      <w:r>
        <w:rPr>
          <w:snapToGrid w:val="0"/>
        </w:rPr>
        <w:tab/>
        <w:t>(b)</w:t>
      </w:r>
      <w:r>
        <w:rPr>
          <w:snapToGrid w:val="0"/>
        </w:rPr>
        <w:tab/>
        <w:t>expressed in language that is readily comprehensible; and</w:t>
      </w:r>
    </w:p>
    <w:p>
      <w:pPr>
        <w:pStyle w:val="Indenta"/>
        <w:rPr>
          <w:snapToGrid w:val="0"/>
        </w:rPr>
      </w:pPr>
      <w:r>
        <w:rPr>
          <w:snapToGrid w:val="0"/>
        </w:rPr>
        <w:tab/>
        <w:t>(c)</w:t>
      </w:r>
      <w:r>
        <w:rPr>
          <w:snapToGrid w:val="0"/>
        </w:rPr>
        <w:tab/>
        <w:t>written or printed — </w:t>
      </w:r>
    </w:p>
    <w:p>
      <w:pPr>
        <w:pStyle w:val="Indenti"/>
        <w:rPr>
          <w:snapToGrid w:val="0"/>
        </w:rPr>
      </w:pPr>
      <w:r>
        <w:rPr>
          <w:snapToGrid w:val="0"/>
        </w:rPr>
        <w:tab/>
        <w:t>(i)</w:t>
      </w:r>
      <w:r>
        <w:rPr>
          <w:snapToGrid w:val="0"/>
        </w:rPr>
        <w:tab/>
        <w:t>in a colour and on paper of a colour; and</w:t>
      </w:r>
    </w:p>
    <w:p>
      <w:pPr>
        <w:pStyle w:val="Indenti"/>
        <w:rPr>
          <w:snapToGrid w:val="0"/>
        </w:rPr>
      </w:pPr>
      <w:r>
        <w:rPr>
          <w:snapToGrid w:val="0"/>
        </w:rPr>
        <w:tab/>
        <w:t>(ii)</w:t>
      </w:r>
      <w:r>
        <w:rPr>
          <w:snapToGrid w:val="0"/>
        </w:rPr>
        <w:tab/>
        <w:t>in a style or manner,</w:t>
      </w:r>
    </w:p>
    <w:p>
      <w:pPr>
        <w:pStyle w:val="Indenta"/>
        <w:rPr>
          <w:snapToGrid w:val="0"/>
        </w:rPr>
      </w:pPr>
      <w:r>
        <w:rPr>
          <w:snapToGrid w:val="0"/>
        </w:rPr>
        <w:tab/>
      </w:r>
      <w:r>
        <w:rPr>
          <w:snapToGrid w:val="0"/>
        </w:rPr>
        <w:tab/>
        <w:t>that does not detract from the legibility of the document.</w:t>
      </w:r>
    </w:p>
    <w:p>
      <w:pPr>
        <w:pStyle w:val="Heading5"/>
        <w:rPr>
          <w:snapToGrid w:val="0"/>
        </w:rPr>
      </w:pPr>
      <w:bookmarkStart w:id="296" w:name="_Toc392496637"/>
      <w:r>
        <w:rPr>
          <w:rStyle w:val="CharSectno"/>
        </w:rPr>
        <w:t>154</w:t>
      </w:r>
      <w:r>
        <w:rPr>
          <w:snapToGrid w:val="0"/>
        </w:rPr>
        <w:t>.</w:t>
      </w:r>
      <w:r>
        <w:rPr>
          <w:snapToGrid w:val="0"/>
        </w:rPr>
        <w:tab/>
        <w:t>Illegible etc. documents, use of</w:t>
      </w:r>
      <w:bookmarkEnd w:id="296"/>
    </w:p>
    <w:p>
      <w:pPr>
        <w:pStyle w:val="Subsection"/>
        <w:rPr>
          <w:snapToGrid w:val="0"/>
        </w:rPr>
      </w:pPr>
      <w:r>
        <w:rPr>
          <w:snapToGrid w:val="0"/>
        </w:rPr>
        <w:tab/>
      </w:r>
      <w:r>
        <w:rPr>
          <w:snapToGrid w:val="0"/>
        </w:rPr>
        <w:tab/>
        <w:t>A credit provider or mortgagee shall not — </w:t>
      </w:r>
    </w:p>
    <w:p>
      <w:pPr>
        <w:pStyle w:val="Indenta"/>
        <w:rPr>
          <w:snapToGrid w:val="0"/>
        </w:rPr>
      </w:pPr>
      <w:r>
        <w:rPr>
          <w:snapToGrid w:val="0"/>
        </w:rPr>
        <w:tab/>
        <w:t>(a)</w:t>
      </w:r>
      <w:r>
        <w:rPr>
          <w:snapToGrid w:val="0"/>
        </w:rPr>
        <w:tab/>
        <w:t>give or issue a document under this Act that is not readily legible; or</w:t>
      </w:r>
    </w:p>
    <w:p>
      <w:pPr>
        <w:pStyle w:val="Indenta"/>
        <w:rPr>
          <w:snapToGrid w:val="0"/>
        </w:rPr>
      </w:pPr>
      <w:r>
        <w:rPr>
          <w:snapToGrid w:val="0"/>
        </w:rPr>
        <w:tab/>
        <w:t>(b)</w:t>
      </w:r>
      <w:r>
        <w:rPr>
          <w:snapToGrid w:val="0"/>
        </w:rPr>
        <w:tab/>
        <w:t>give or issue a form of document in contravention of a direction in force under section 152.</w:t>
      </w:r>
    </w:p>
    <w:p>
      <w:pPr>
        <w:pStyle w:val="Penstart"/>
        <w:rPr>
          <w:snapToGrid w:val="0"/>
        </w:rPr>
      </w:pPr>
      <w:r>
        <w:rPr>
          <w:snapToGrid w:val="0"/>
        </w:rPr>
        <w:tab/>
        <w:t>Penalty: $2 000.</w:t>
      </w:r>
    </w:p>
    <w:p>
      <w:pPr>
        <w:pStyle w:val="Heading5"/>
        <w:rPr>
          <w:snapToGrid w:val="0"/>
        </w:rPr>
      </w:pPr>
      <w:bookmarkStart w:id="297" w:name="_Toc392496638"/>
      <w:r>
        <w:rPr>
          <w:rStyle w:val="CharSectno"/>
        </w:rPr>
        <w:t>155</w:t>
      </w:r>
      <w:r>
        <w:rPr>
          <w:snapToGrid w:val="0"/>
        </w:rPr>
        <w:t>.</w:t>
      </w:r>
      <w:r>
        <w:rPr>
          <w:snapToGrid w:val="0"/>
        </w:rPr>
        <w:tab/>
        <w:t>Separation of documents</w:t>
      </w:r>
      <w:bookmarkEnd w:id="297"/>
    </w:p>
    <w:p>
      <w:pPr>
        <w:pStyle w:val="Subsection"/>
        <w:rPr>
          <w:snapToGrid w:val="0"/>
        </w:rPr>
      </w:pPr>
      <w:r>
        <w:rPr>
          <w:snapToGrid w:val="0"/>
        </w:rPr>
        <w:tab/>
      </w:r>
      <w:r>
        <w:rPr>
          <w:snapToGrid w:val="0"/>
        </w:rPr>
        <w:tab/>
        <w:t>Except where this Act expressly otherwise provides, nothing in this Act requires an agreement, mortgage, contract, notice, statement, form or other writing to be contained in or written on a document that is separate from any other agreement, mortgage, contract, notice, statement, form or writing.</w:t>
      </w:r>
    </w:p>
    <w:p>
      <w:pPr>
        <w:pStyle w:val="Heading5"/>
        <w:rPr>
          <w:snapToGrid w:val="0"/>
        </w:rPr>
      </w:pPr>
      <w:bookmarkStart w:id="298" w:name="_Toc392496639"/>
      <w:r>
        <w:rPr>
          <w:rStyle w:val="CharSectno"/>
        </w:rPr>
        <w:t>156</w:t>
      </w:r>
      <w:r>
        <w:rPr>
          <w:snapToGrid w:val="0"/>
        </w:rPr>
        <w:t>.</w:t>
      </w:r>
      <w:r>
        <w:rPr>
          <w:snapToGrid w:val="0"/>
        </w:rPr>
        <w:tab/>
        <w:t>Signatures on documents by agents</w:t>
      </w:r>
      <w:bookmarkEnd w:id="298"/>
    </w:p>
    <w:p>
      <w:pPr>
        <w:pStyle w:val="Subsection"/>
        <w:rPr>
          <w:snapToGrid w:val="0"/>
        </w:rPr>
      </w:pPr>
      <w:r>
        <w:rPr>
          <w:snapToGrid w:val="0"/>
        </w:rPr>
        <w:tab/>
      </w:r>
      <w:r>
        <w:rPr>
          <w:snapToGrid w:val="0"/>
        </w:rPr>
        <w:tab/>
        <w:t>Subject to section 124, where, under this Act, a document is required to be signed by a person, it is not necessary that he should sign it with his own hand, but it is sufficient if his signature is written on the document by another person by or under his authority.</w:t>
      </w:r>
    </w:p>
    <w:p>
      <w:pPr>
        <w:pStyle w:val="Heading5"/>
        <w:rPr>
          <w:snapToGrid w:val="0"/>
        </w:rPr>
      </w:pPr>
      <w:bookmarkStart w:id="299" w:name="_Toc392496640"/>
      <w:r>
        <w:rPr>
          <w:rStyle w:val="CharSectno"/>
        </w:rPr>
        <w:t>157</w:t>
      </w:r>
      <w:r>
        <w:rPr>
          <w:snapToGrid w:val="0"/>
        </w:rPr>
        <w:t>.</w:t>
      </w:r>
      <w:r>
        <w:rPr>
          <w:snapToGrid w:val="0"/>
        </w:rPr>
        <w:tab/>
        <w:t>Contracting</w:t>
      </w:r>
      <w:r>
        <w:rPr>
          <w:snapToGrid w:val="0"/>
        </w:rPr>
        <w:noBreakHyphen/>
        <w:t>out of Act prohibited</w:t>
      </w:r>
      <w:bookmarkEnd w:id="299"/>
    </w:p>
    <w:p>
      <w:pPr>
        <w:pStyle w:val="Subsection"/>
        <w:rPr>
          <w:snapToGrid w:val="0"/>
        </w:rPr>
      </w:pPr>
      <w:r>
        <w:rPr>
          <w:snapToGrid w:val="0"/>
        </w:rPr>
        <w:tab/>
        <w:t>(1)</w:t>
      </w:r>
      <w:r>
        <w:rPr>
          <w:snapToGrid w:val="0"/>
        </w:rPr>
        <w:tab/>
        <w:t>A provision in a credit contract or mortgage or any other agreement (whether in writing or not) under which, except as expressly provided by this Act, the operation of a provision</w:t>
      </w:r>
      <w:bookmarkStart w:id="300" w:name="RuleErr_116"/>
      <w:r>
        <w:rPr>
          <w:snapToGrid w:val="0"/>
        </w:rPr>
        <w:t xml:space="preserve"> of this Act</w:t>
      </w:r>
      <w:bookmarkEnd w:id="300"/>
      <w:r>
        <w:rPr>
          <w:snapToGrid w:val="0"/>
        </w:rPr>
        <w:t> is excluded, modified or restricted is void.</w:t>
      </w:r>
    </w:p>
    <w:p>
      <w:pPr>
        <w:pStyle w:val="Subsection"/>
        <w:rPr>
          <w:snapToGrid w:val="0"/>
        </w:rPr>
      </w:pPr>
      <w:r>
        <w:rPr>
          <w:snapToGrid w:val="0"/>
        </w:rPr>
        <w:tab/>
        <w:t>(2)</w:t>
      </w:r>
      <w:r>
        <w:rPr>
          <w:snapToGrid w:val="0"/>
        </w:rPr>
        <w:tab/>
        <w:t>A credit provider or mortgagee shall not enter into a contract, mortgage or agreement that includes a provision that, by reason of subsection (1), is void.</w:t>
      </w:r>
    </w:p>
    <w:p>
      <w:pPr>
        <w:pStyle w:val="Penstart"/>
        <w:rPr>
          <w:snapToGrid w:val="0"/>
        </w:rPr>
      </w:pPr>
      <w:r>
        <w:rPr>
          <w:snapToGrid w:val="0"/>
        </w:rPr>
        <w:tab/>
        <w:t>Penalty: $5 000.</w:t>
      </w:r>
    </w:p>
    <w:p>
      <w:pPr>
        <w:pStyle w:val="Heading5"/>
        <w:rPr>
          <w:snapToGrid w:val="0"/>
        </w:rPr>
      </w:pPr>
      <w:bookmarkStart w:id="301" w:name="_Toc392496641"/>
      <w:r>
        <w:rPr>
          <w:rStyle w:val="CharSectno"/>
        </w:rPr>
        <w:t>158</w:t>
      </w:r>
      <w:r>
        <w:rPr>
          <w:snapToGrid w:val="0"/>
        </w:rPr>
        <w:t>.</w:t>
      </w:r>
      <w:r>
        <w:rPr>
          <w:snapToGrid w:val="0"/>
        </w:rPr>
        <w:tab/>
        <w:t>General penalty</w:t>
      </w:r>
      <w:bookmarkEnd w:id="301"/>
    </w:p>
    <w:p>
      <w:pPr>
        <w:pStyle w:val="Subsection"/>
        <w:rPr>
          <w:snapToGrid w:val="0"/>
        </w:rPr>
      </w:pPr>
      <w:r>
        <w:rPr>
          <w:snapToGrid w:val="0"/>
        </w:rPr>
        <w:tab/>
        <w:t>(1)</w:t>
      </w:r>
      <w:r>
        <w:rPr>
          <w:snapToGrid w:val="0"/>
        </w:rPr>
        <w:tab/>
        <w:t>A person who contravenes or fails to comply with a provision</w:t>
      </w:r>
      <w:bookmarkStart w:id="302" w:name="RuleErr_117"/>
      <w:r>
        <w:rPr>
          <w:snapToGrid w:val="0"/>
        </w:rPr>
        <w:t xml:space="preserve"> of this Act</w:t>
      </w:r>
      <w:bookmarkEnd w:id="302"/>
      <w:r>
        <w:rPr>
          <w:snapToGrid w:val="0"/>
        </w:rPr>
        <w:t> is guilty of an offence against this Act.</w:t>
      </w:r>
    </w:p>
    <w:p>
      <w:pPr>
        <w:pStyle w:val="Subsection"/>
        <w:rPr>
          <w:snapToGrid w:val="0"/>
        </w:rPr>
      </w:pPr>
      <w:r>
        <w:rPr>
          <w:snapToGrid w:val="0"/>
        </w:rPr>
        <w:tab/>
        <w:t>(2)</w:t>
      </w:r>
      <w:r>
        <w:rPr>
          <w:snapToGrid w:val="0"/>
        </w:rPr>
        <w:tab/>
        <w:t>A person who is guilty of an offence against this Act for which a specific penalty is not prescribed by a provision</w:t>
      </w:r>
      <w:bookmarkStart w:id="303" w:name="RuleErr_118"/>
      <w:r>
        <w:rPr>
          <w:snapToGrid w:val="0"/>
        </w:rPr>
        <w:t xml:space="preserve"> of this Act</w:t>
      </w:r>
      <w:bookmarkEnd w:id="303"/>
      <w:r>
        <w:rPr>
          <w:snapToGrid w:val="0"/>
        </w:rPr>
        <w:t xml:space="preserve"> other than this subsection is liable to a penalty not exceeding $1 000.</w:t>
      </w:r>
    </w:p>
    <w:p>
      <w:pPr>
        <w:pStyle w:val="Heading5"/>
        <w:rPr>
          <w:snapToGrid w:val="0"/>
        </w:rPr>
      </w:pPr>
      <w:bookmarkStart w:id="304" w:name="_Toc392496642"/>
      <w:r>
        <w:rPr>
          <w:rStyle w:val="CharSectno"/>
        </w:rPr>
        <w:t>159</w:t>
      </w:r>
      <w:r>
        <w:rPr>
          <w:snapToGrid w:val="0"/>
        </w:rPr>
        <w:t>.</w:t>
      </w:r>
      <w:r>
        <w:rPr>
          <w:snapToGrid w:val="0"/>
        </w:rPr>
        <w:tab/>
        <w:t>Offences, time limit for prosecuting</w:t>
      </w:r>
      <w:bookmarkEnd w:id="304"/>
    </w:p>
    <w:p>
      <w:pPr>
        <w:pStyle w:val="Subsection"/>
        <w:rPr>
          <w:snapToGrid w:val="0"/>
        </w:rPr>
      </w:pPr>
      <w:r>
        <w:rPr>
          <w:snapToGrid w:val="0"/>
        </w:rPr>
        <w:tab/>
      </w:r>
      <w:r>
        <w:rPr>
          <w:snapToGrid w:val="0"/>
        </w:rPr>
        <w:tab/>
        <w:t>Notwithstanding anything in any Act, proceedings for an offence against this Act may be brought within the period of 3 years that next succeeds the commission of the offence or, with the consent of the Attorney General, at any later time.</w:t>
      </w:r>
    </w:p>
    <w:p>
      <w:pPr>
        <w:pStyle w:val="Heading5"/>
        <w:rPr>
          <w:snapToGrid w:val="0"/>
        </w:rPr>
      </w:pPr>
      <w:bookmarkStart w:id="305" w:name="_Toc392496643"/>
      <w:r>
        <w:rPr>
          <w:rStyle w:val="CharSectno"/>
        </w:rPr>
        <w:t>160</w:t>
      </w:r>
      <w:r>
        <w:rPr>
          <w:snapToGrid w:val="0"/>
        </w:rPr>
        <w:t>.</w:t>
      </w:r>
      <w:r>
        <w:rPr>
          <w:snapToGrid w:val="0"/>
        </w:rPr>
        <w:tab/>
        <w:t>Directors etc. of corporations, liability of</w:t>
      </w:r>
      <w:bookmarkEnd w:id="305"/>
    </w:p>
    <w:p>
      <w:pPr>
        <w:pStyle w:val="Subsection"/>
        <w:spacing w:before="140"/>
        <w:rPr>
          <w:snapToGrid w:val="0"/>
        </w:rPr>
      </w:pPr>
      <w:r>
        <w:rPr>
          <w:snapToGrid w:val="0"/>
        </w:rPr>
        <w:tab/>
      </w:r>
      <w:r>
        <w:rPr>
          <w:snapToGrid w:val="0"/>
        </w:rPr>
        <w:tab/>
        <w:t>Where an offence against this Act committed by a corporation is proved to have been committed with the consent or connivance of any director, manager, secretary or other officer of the corporation, he, as well as the corporation, shall be deemed to have committed that offence and is liable to be proceeded against and punished accordingly.</w:t>
      </w:r>
    </w:p>
    <w:p>
      <w:pPr>
        <w:pStyle w:val="Heading5"/>
        <w:spacing w:before="200"/>
        <w:rPr>
          <w:snapToGrid w:val="0"/>
        </w:rPr>
      </w:pPr>
      <w:bookmarkStart w:id="306" w:name="_Toc392496644"/>
      <w:r>
        <w:rPr>
          <w:rStyle w:val="CharSectno"/>
        </w:rPr>
        <w:t>161</w:t>
      </w:r>
      <w:r>
        <w:rPr>
          <w:snapToGrid w:val="0"/>
        </w:rPr>
        <w:t>.</w:t>
      </w:r>
      <w:r>
        <w:rPr>
          <w:snapToGrid w:val="0"/>
        </w:rPr>
        <w:tab/>
        <w:t>Rights etc. under other laws saved</w:t>
      </w:r>
      <w:bookmarkEnd w:id="306"/>
    </w:p>
    <w:p>
      <w:pPr>
        <w:pStyle w:val="Subsection"/>
        <w:spacing w:before="140"/>
        <w:rPr>
          <w:snapToGrid w:val="0"/>
        </w:rPr>
      </w:pPr>
      <w:r>
        <w:rPr>
          <w:snapToGrid w:val="0"/>
        </w:rPr>
        <w:tab/>
      </w:r>
      <w:r>
        <w:rPr>
          <w:snapToGrid w:val="0"/>
        </w:rPr>
        <w:tab/>
        <w:t>Except to the extent that this Act expressly provides otherwise, nothing in this Act excludes, modifies or restricts a right or remedy that a person would have had if this Act had not been enacted.</w:t>
      </w:r>
    </w:p>
    <w:p>
      <w:pPr>
        <w:pStyle w:val="Heading5"/>
        <w:spacing w:before="200"/>
        <w:rPr>
          <w:snapToGrid w:val="0"/>
        </w:rPr>
      </w:pPr>
      <w:bookmarkStart w:id="307" w:name="_Toc392496645"/>
      <w:r>
        <w:rPr>
          <w:rStyle w:val="CharSectno"/>
        </w:rPr>
        <w:t>162</w:t>
      </w:r>
      <w:r>
        <w:rPr>
          <w:snapToGrid w:val="0"/>
        </w:rPr>
        <w:t>.</w:t>
      </w:r>
      <w:r>
        <w:rPr>
          <w:snapToGrid w:val="0"/>
        </w:rPr>
        <w:tab/>
        <w:t>Time, computing</w:t>
      </w:r>
      <w:bookmarkEnd w:id="307"/>
    </w:p>
    <w:p>
      <w:pPr>
        <w:pStyle w:val="Subsection"/>
        <w:spacing w:before="140"/>
        <w:rPr>
          <w:snapToGrid w:val="0"/>
        </w:rPr>
      </w:pPr>
      <w:r>
        <w:rPr>
          <w:snapToGrid w:val="0"/>
        </w:rPr>
        <w:tab/>
      </w:r>
      <w:r>
        <w:rPr>
          <w:snapToGrid w:val="0"/>
        </w:rPr>
        <w:tab/>
        <w:t>Where, for the purposes</w:t>
      </w:r>
      <w:bookmarkStart w:id="308" w:name="RuleErr_119"/>
      <w:r>
        <w:rPr>
          <w:snapToGrid w:val="0"/>
        </w:rPr>
        <w:t xml:space="preserve"> of this Act</w:t>
      </w:r>
      <w:bookmarkEnd w:id="308"/>
      <w:r>
        <w:rPr>
          <w:snapToGrid w:val="0"/>
        </w:rPr>
        <w:t>, any limited period less than 8 days from or after a date or event is appointed or allowed for giving a notice or doing any other Act or thing or for the taking effect of any Act or thing, Saturday, Sunday and any public or bank holiday throughout the State shall not be reckoned in the computation of that limited period.</w:t>
      </w:r>
    </w:p>
    <w:p>
      <w:pPr>
        <w:pStyle w:val="Heading5"/>
        <w:spacing w:before="200"/>
        <w:rPr>
          <w:snapToGrid w:val="0"/>
        </w:rPr>
      </w:pPr>
      <w:bookmarkStart w:id="309" w:name="_Toc392496646"/>
      <w:r>
        <w:rPr>
          <w:rStyle w:val="CharSectno"/>
        </w:rPr>
        <w:t>163</w:t>
      </w:r>
      <w:r>
        <w:rPr>
          <w:snapToGrid w:val="0"/>
        </w:rPr>
        <w:t>.</w:t>
      </w:r>
      <w:r>
        <w:rPr>
          <w:snapToGrid w:val="0"/>
        </w:rPr>
        <w:tab/>
        <w:t>Court’s powers to extend time, exercise of</w:t>
      </w:r>
      <w:bookmarkEnd w:id="309"/>
    </w:p>
    <w:p>
      <w:pPr>
        <w:pStyle w:val="Subsection"/>
        <w:spacing w:before="140"/>
        <w:rPr>
          <w:snapToGrid w:val="0"/>
        </w:rPr>
      </w:pPr>
      <w:r>
        <w:rPr>
          <w:snapToGrid w:val="0"/>
        </w:rPr>
        <w:tab/>
      </w:r>
      <w:r>
        <w:rPr>
          <w:snapToGrid w:val="0"/>
        </w:rPr>
        <w:tab/>
        <w:t>Where, under this Act, a court may extend a period, the court may extend the period notwithstanding that the period has elapsed.</w:t>
      </w:r>
    </w:p>
    <w:p>
      <w:pPr>
        <w:pStyle w:val="Heading5"/>
        <w:spacing w:before="200"/>
        <w:rPr>
          <w:snapToGrid w:val="0"/>
        </w:rPr>
      </w:pPr>
      <w:bookmarkStart w:id="310" w:name="_Toc392496647"/>
      <w:r>
        <w:rPr>
          <w:rStyle w:val="CharSectno"/>
        </w:rPr>
        <w:t>164</w:t>
      </w:r>
      <w:r>
        <w:rPr>
          <w:snapToGrid w:val="0"/>
        </w:rPr>
        <w:t>.</w:t>
      </w:r>
      <w:r>
        <w:rPr>
          <w:snapToGrid w:val="0"/>
        </w:rPr>
        <w:tab/>
        <w:t>Service of documents</w:t>
      </w:r>
      <w:bookmarkEnd w:id="310"/>
    </w:p>
    <w:p>
      <w:pPr>
        <w:pStyle w:val="Subsection"/>
        <w:spacing w:before="140"/>
        <w:rPr>
          <w:snapToGrid w:val="0"/>
        </w:rPr>
      </w:pPr>
      <w:r>
        <w:rPr>
          <w:snapToGrid w:val="0"/>
        </w:rPr>
        <w:tab/>
        <w:t>(1)</w:t>
      </w:r>
      <w:r>
        <w:rPr>
          <w:snapToGrid w:val="0"/>
        </w:rPr>
        <w:tab/>
        <w:t>Where, under this Act, a document or notice is required or permitted to be given to or served on a person, the document or notice may be given or served — </w:t>
      </w:r>
    </w:p>
    <w:p>
      <w:pPr>
        <w:pStyle w:val="Indenta"/>
        <w:rPr>
          <w:snapToGrid w:val="0"/>
        </w:rPr>
      </w:pPr>
      <w:r>
        <w:rPr>
          <w:snapToGrid w:val="0"/>
        </w:rPr>
        <w:tab/>
        <w:t>(a)</w:t>
      </w:r>
      <w:r>
        <w:rPr>
          <w:snapToGrid w:val="0"/>
        </w:rPr>
        <w:tab/>
        <w:t>where the person is a natural person, by giving it to or serving it personally on the person or by sending it by post to the person at his usual or last known place of abode or business; or</w:t>
      </w:r>
    </w:p>
    <w:p>
      <w:pPr>
        <w:pStyle w:val="Indenta"/>
        <w:rPr>
          <w:snapToGrid w:val="0"/>
        </w:rPr>
      </w:pPr>
      <w:r>
        <w:rPr>
          <w:snapToGrid w:val="0"/>
        </w:rPr>
        <w:tab/>
        <w:t>(b)</w:t>
      </w:r>
      <w:r>
        <w:rPr>
          <w:snapToGrid w:val="0"/>
        </w:rPr>
        <w:tab/>
        <w:t>where the person is a corporation, by leaving it at or sending it by post to the registered office of the corporation.</w:t>
      </w:r>
    </w:p>
    <w:p>
      <w:pPr>
        <w:pStyle w:val="Subsection"/>
        <w:rPr>
          <w:snapToGrid w:val="0"/>
        </w:rPr>
      </w:pPr>
      <w:r>
        <w:rPr>
          <w:snapToGrid w:val="0"/>
        </w:rPr>
        <w:tab/>
        <w:t>(2)</w:t>
      </w:r>
      <w:r>
        <w:rPr>
          <w:snapToGrid w:val="0"/>
        </w:rPr>
        <w:tab/>
        <w:t xml:space="preserve">In subsection (1), </w:t>
      </w:r>
      <w:r>
        <w:rPr>
          <w:rStyle w:val="CharDefText"/>
        </w:rPr>
        <w:t>registered office</w:t>
      </w:r>
      <w:r>
        <w:rPr>
          <w:snapToGrid w:val="0"/>
        </w:rPr>
        <w:t xml:space="preserve"> means — </w:t>
      </w:r>
    </w:p>
    <w:p>
      <w:pPr>
        <w:pStyle w:val="Indenta"/>
        <w:rPr>
          <w:snapToGrid w:val="0"/>
        </w:rPr>
      </w:pPr>
      <w:r>
        <w:rPr>
          <w:snapToGrid w:val="0"/>
        </w:rPr>
        <w:tab/>
        <w:t>(a)</w:t>
      </w:r>
      <w:r>
        <w:rPr>
          <w:snapToGrid w:val="0"/>
        </w:rPr>
        <w:tab/>
        <w:t xml:space="preserve">the office of the corporation that is the registered office or principal office in accordance with the law of the </w:t>
      </w:r>
      <w:r>
        <w:t xml:space="preserve">Commonwealth, </w:t>
      </w:r>
      <w:r>
        <w:rPr>
          <w:snapToGrid w:val="0"/>
        </w:rPr>
        <w:t>State or Territory by or under which the corporation is incorporated; or</w:t>
      </w:r>
    </w:p>
    <w:p>
      <w:pPr>
        <w:pStyle w:val="Indenta"/>
        <w:rPr>
          <w:snapToGrid w:val="0"/>
        </w:rPr>
      </w:pPr>
      <w:r>
        <w:rPr>
          <w:snapToGrid w:val="0"/>
        </w:rPr>
        <w:tab/>
        <w:t>(b)</w:t>
      </w:r>
      <w:r>
        <w:rPr>
          <w:snapToGrid w:val="0"/>
        </w:rPr>
        <w:tab/>
        <w:t xml:space="preserve">where the corporation is not incorporated in </w:t>
      </w:r>
      <w:smartTag w:uri="urn:schemas-microsoft-com:office:smarttags" w:element="place">
        <w:smartTag w:uri="urn:schemas-microsoft-com:office:smarttags" w:element="country-region">
          <w:r>
            <w:rPr>
              <w:snapToGrid w:val="0"/>
            </w:rPr>
            <w:t>Australia</w:t>
          </w:r>
        </w:smartTag>
      </w:smartTag>
      <w:r>
        <w:rPr>
          <w:snapToGrid w:val="0"/>
        </w:rPr>
        <w:t xml:space="preserve">, an office registered under </w:t>
      </w:r>
      <w:r>
        <w:t xml:space="preserve">a law of the Commonwealth, or a State or Territory, </w:t>
      </w:r>
      <w:r>
        <w:rPr>
          <w:snapToGrid w:val="0"/>
        </w:rPr>
        <w:t>as a registered office of the corporation; or</w:t>
      </w:r>
    </w:p>
    <w:p>
      <w:pPr>
        <w:pStyle w:val="Indenta"/>
        <w:rPr>
          <w:snapToGrid w:val="0"/>
        </w:rPr>
      </w:pPr>
      <w:r>
        <w:rPr>
          <w:snapToGrid w:val="0"/>
        </w:rPr>
        <w:tab/>
        <w:t>(c)</w:t>
      </w:r>
      <w:r>
        <w:rPr>
          <w:snapToGrid w:val="0"/>
        </w:rPr>
        <w:tab/>
        <w:t xml:space="preserve">in the case of a corporation that has no such registered office or principal office, the principal place of business of the corporation in the State or, if it has no place of business in the State, its principal place of business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t>(3)</w:t>
      </w:r>
      <w:r>
        <w:rPr>
          <w:snapToGrid w:val="0"/>
        </w:rPr>
        <w:tab/>
        <w:t>Where the rights and obligations of a person under this Act have been assigned or have passed by operation of law to another person, a document or notice given to or served on the first</w:t>
      </w:r>
      <w:r>
        <w:rPr>
          <w:snapToGrid w:val="0"/>
        </w:rPr>
        <w:noBreakHyphen/>
      </w:r>
      <w:bookmarkStart w:id="311" w:name="RuleErr_151"/>
      <w:r>
        <w:rPr>
          <w:snapToGrid w:val="0"/>
        </w:rPr>
        <w:t>mentioned</w:t>
      </w:r>
      <w:bookmarkEnd w:id="311"/>
      <w:r>
        <w:rPr>
          <w:snapToGrid w:val="0"/>
        </w:rPr>
        <w:t xml:space="preserve"> person at his usual or last known place of abode or business shall be deemed to have been given to or served on the second</w:t>
      </w:r>
      <w:r>
        <w:rPr>
          <w:snapToGrid w:val="0"/>
        </w:rPr>
        <w:noBreakHyphen/>
      </w:r>
      <w:bookmarkStart w:id="312" w:name="RuleErr_152"/>
      <w:r>
        <w:rPr>
          <w:snapToGrid w:val="0"/>
        </w:rPr>
        <w:t>mentioned</w:t>
      </w:r>
      <w:bookmarkEnd w:id="312"/>
      <w:r>
        <w:rPr>
          <w:snapToGrid w:val="0"/>
        </w:rPr>
        <w:t xml:space="preserve"> person unless the person giving or serving the document or notice had before he gave or served the document or notice been given notice in writing that the rights and obligations of the first</w:t>
      </w:r>
      <w:r>
        <w:rPr>
          <w:snapToGrid w:val="0"/>
        </w:rPr>
        <w:noBreakHyphen/>
      </w:r>
      <w:bookmarkStart w:id="313" w:name="RuleErr_153"/>
      <w:r>
        <w:rPr>
          <w:snapToGrid w:val="0"/>
        </w:rPr>
        <w:t>mentioned</w:t>
      </w:r>
      <w:bookmarkEnd w:id="313"/>
      <w:r>
        <w:rPr>
          <w:snapToGrid w:val="0"/>
        </w:rPr>
        <w:t xml:space="preserve"> person had been assigned or had so passed to the second</w:t>
      </w:r>
      <w:r>
        <w:rPr>
          <w:snapToGrid w:val="0"/>
        </w:rPr>
        <w:noBreakHyphen/>
      </w:r>
      <w:bookmarkStart w:id="314" w:name="RuleErr_154"/>
      <w:r>
        <w:rPr>
          <w:snapToGrid w:val="0"/>
        </w:rPr>
        <w:t>mentioned</w:t>
      </w:r>
      <w:bookmarkEnd w:id="314"/>
      <w:r>
        <w:rPr>
          <w:snapToGrid w:val="0"/>
        </w:rPr>
        <w:t xml:space="preserve"> person.</w:t>
      </w:r>
    </w:p>
    <w:p>
      <w:pPr>
        <w:pStyle w:val="Footnotesection"/>
      </w:pPr>
      <w:r>
        <w:tab/>
        <w:t>[Section 164 amended by No. 10 of 2001 s. 54.]</w:t>
      </w:r>
    </w:p>
    <w:p>
      <w:pPr>
        <w:pStyle w:val="Heading5"/>
        <w:rPr>
          <w:snapToGrid w:val="0"/>
        </w:rPr>
      </w:pPr>
      <w:bookmarkStart w:id="315" w:name="_Toc392496648"/>
      <w:r>
        <w:rPr>
          <w:rStyle w:val="CharSectno"/>
        </w:rPr>
        <w:t>165</w:t>
      </w:r>
      <w:r>
        <w:rPr>
          <w:snapToGrid w:val="0"/>
        </w:rPr>
        <w:t>.</w:t>
      </w:r>
      <w:r>
        <w:rPr>
          <w:snapToGrid w:val="0"/>
        </w:rPr>
        <w:tab/>
        <w:t>Service by post</w:t>
      </w:r>
      <w:bookmarkEnd w:id="315"/>
    </w:p>
    <w:p>
      <w:pPr>
        <w:pStyle w:val="Subsection"/>
        <w:rPr>
          <w:snapToGrid w:val="0"/>
        </w:rPr>
      </w:pPr>
      <w:r>
        <w:rPr>
          <w:snapToGrid w:val="0"/>
        </w:rPr>
        <w:tab/>
      </w:r>
      <w:r>
        <w:rPr>
          <w:snapToGrid w:val="0"/>
        </w:rPr>
        <w:tab/>
        <w:t>Subject to sections 41 and 60, for the purposes</w:t>
      </w:r>
      <w:bookmarkStart w:id="316" w:name="RuleErr_120"/>
      <w:r>
        <w:rPr>
          <w:snapToGrid w:val="0"/>
        </w:rPr>
        <w:t xml:space="preserve"> of this Act</w:t>
      </w:r>
      <w:bookmarkEnd w:id="316"/>
      <w:r>
        <w:rPr>
          <w:snapToGrid w:val="0"/>
        </w:rPr>
        <w:t>, where a document or notice is properly addressed, prepaid and posted to a person as a letter, the document or notice shall, unless the contrary is proved, be deemed to have been given to the person at the time at which the letter would have been delivered in the ordinary course of post.</w:t>
      </w:r>
    </w:p>
    <w:p>
      <w:pPr>
        <w:pStyle w:val="Ednotesection"/>
      </w:pPr>
      <w:r>
        <w:t>[</w:t>
      </w:r>
      <w:r>
        <w:rPr>
          <w:b/>
          <w:bCs/>
        </w:rPr>
        <w:t>166.</w:t>
      </w:r>
      <w:r>
        <w:rPr>
          <w:b/>
          <w:bCs/>
        </w:rPr>
        <w:tab/>
      </w:r>
      <w:r>
        <w:t>Deleted by No. 12 of 2008 Sch. 1 cl. 6(5).]</w:t>
      </w:r>
    </w:p>
    <w:p>
      <w:pPr>
        <w:pStyle w:val="Heading5"/>
        <w:rPr>
          <w:snapToGrid w:val="0"/>
        </w:rPr>
      </w:pPr>
      <w:bookmarkStart w:id="317" w:name="_Toc392496649"/>
      <w:r>
        <w:rPr>
          <w:rStyle w:val="CharSectno"/>
        </w:rPr>
        <w:t>167</w:t>
      </w:r>
      <w:r>
        <w:rPr>
          <w:snapToGrid w:val="0"/>
        </w:rPr>
        <w:t>.</w:t>
      </w:r>
      <w:r>
        <w:rPr>
          <w:snapToGrid w:val="0"/>
        </w:rPr>
        <w:tab/>
        <w:t>Regulations</w:t>
      </w:r>
      <w:bookmarkEnd w:id="317"/>
    </w:p>
    <w:p>
      <w:pPr>
        <w:pStyle w:val="Subsection"/>
        <w:rPr>
          <w:snapToGrid w:val="0"/>
        </w:rPr>
      </w:pPr>
      <w:r>
        <w:rPr>
          <w:snapToGrid w:val="0"/>
        </w:rPr>
        <w:tab/>
        <w:t>(1)</w:t>
      </w:r>
      <w:r>
        <w:rPr>
          <w:snapToGrid w:val="0"/>
        </w:rPr>
        <w:tab/>
        <w:t>The Governor may make regulations, not inconsistent with this Act, for or with respect to any matter that by this Act is required or permitted to be prescribed, or that is necessary or convenient to be prescribed, for carrying out or giving effect to this Act and, without affecting the generality of the foregoing, for or with respect to — </w:t>
      </w:r>
    </w:p>
    <w:p>
      <w:pPr>
        <w:pStyle w:val="Indenta"/>
        <w:rPr>
          <w:snapToGrid w:val="0"/>
        </w:rPr>
      </w:pPr>
      <w:r>
        <w:rPr>
          <w:snapToGrid w:val="0"/>
        </w:rPr>
        <w:tab/>
        <w:t>(a)</w:t>
      </w:r>
      <w:r>
        <w:rPr>
          <w:snapToGrid w:val="0"/>
        </w:rPr>
        <w:tab/>
        <w:t>the conversion to Australian currency of amounts to be shown in a statement of account, or in other documents of a kind referred to in this Act or the regulations, in respect of goods or services paid for in other than Australian currency or cash supplied in other than Australian currency; and</w:t>
      </w:r>
    </w:p>
    <w:p>
      <w:pPr>
        <w:pStyle w:val="Indenta"/>
        <w:rPr>
          <w:snapToGrid w:val="0"/>
        </w:rPr>
      </w:pPr>
      <w:r>
        <w:rPr>
          <w:snapToGrid w:val="0"/>
        </w:rPr>
        <w:tab/>
        <w:t>(b)</w:t>
      </w:r>
      <w:r>
        <w:rPr>
          <w:snapToGrid w:val="0"/>
        </w:rPr>
        <w:tab/>
        <w:t>the making and retention of records relating to credit contracts and related contracts, including records relating to negotiations for and steps preliminary to the making of any such contracts; and</w:t>
      </w:r>
    </w:p>
    <w:p>
      <w:pPr>
        <w:pStyle w:val="Indenta"/>
        <w:rPr>
          <w:snapToGrid w:val="0"/>
        </w:rPr>
      </w:pPr>
      <w:r>
        <w:rPr>
          <w:snapToGrid w:val="0"/>
        </w:rPr>
        <w:tab/>
        <w:t>(c)</w:t>
      </w:r>
      <w:r>
        <w:rPr>
          <w:snapToGrid w:val="0"/>
        </w:rPr>
        <w:tab/>
        <w:t>prescribing tables for the purposes of applying the formula in Schedule 1 in the calculation of the amount of a pre</w:t>
      </w:r>
      <w:r>
        <w:rPr>
          <w:snapToGrid w:val="0"/>
        </w:rPr>
        <w:noBreakHyphen/>
        <w:t>determined credit charge or estimated credit charge that has accrued at a particular time under a regulated credit sale contract, or regulated loan contract, to which that Schedule applies; and</w:t>
      </w:r>
    </w:p>
    <w:p>
      <w:pPr>
        <w:pStyle w:val="Indenta"/>
        <w:rPr>
          <w:snapToGrid w:val="0"/>
        </w:rPr>
      </w:pPr>
      <w:r>
        <w:rPr>
          <w:snapToGrid w:val="0"/>
        </w:rPr>
        <w:tab/>
        <w:t>(d)</w:t>
      </w:r>
      <w:r>
        <w:rPr>
          <w:snapToGrid w:val="0"/>
        </w:rPr>
        <w:tab/>
        <w:t>prescribing tables for the purposes of applying the formula in Schedule 6 to the determination of the annual percentage rate under a regulated credit sale contract, or regulated loan contract, to which that Schedule applies.</w:t>
      </w:r>
    </w:p>
    <w:p>
      <w:pPr>
        <w:pStyle w:val="Subsection"/>
        <w:rPr>
          <w:snapToGrid w:val="0"/>
        </w:rPr>
      </w:pPr>
      <w:r>
        <w:rPr>
          <w:snapToGrid w:val="0"/>
        </w:rPr>
        <w:tab/>
        <w:t>(2)</w:t>
      </w:r>
      <w:r>
        <w:rPr>
          <w:snapToGrid w:val="0"/>
        </w:rPr>
        <w:tab/>
        <w:t>A regulation may impose a penalty not exceeding $500 for a breach of the regulation.</w:t>
      </w:r>
    </w:p>
    <w:p>
      <w:pPr>
        <w:pStyle w:val="Subsection"/>
        <w:keepNext/>
        <w:rPr>
          <w:snapToGrid w:val="0"/>
        </w:rPr>
      </w:pPr>
      <w:r>
        <w:rPr>
          <w:snapToGrid w:val="0"/>
        </w:rPr>
        <w:tab/>
        <w:t>(3)</w:t>
      </w:r>
      <w:r>
        <w:rPr>
          <w:snapToGrid w:val="0"/>
        </w:rPr>
        <w:tab/>
        <w:t>A provision of a regulation may — </w:t>
      </w:r>
    </w:p>
    <w:p>
      <w:pPr>
        <w:pStyle w:val="Indenta"/>
        <w:rPr>
          <w:snapToGrid w:val="0"/>
        </w:rPr>
      </w:pPr>
      <w:r>
        <w:rPr>
          <w:snapToGrid w:val="0"/>
        </w:rPr>
        <w:tab/>
        <w:t>(a)</w:t>
      </w:r>
      <w:r>
        <w:rPr>
          <w:snapToGrid w:val="0"/>
        </w:rPr>
        <w:tab/>
        <w:t>apply generally or be limited in its application by reference to specified exceptions or factors; or</w:t>
      </w:r>
    </w:p>
    <w:p>
      <w:pPr>
        <w:pStyle w:val="Indenta"/>
        <w:rPr>
          <w:snapToGrid w:val="0"/>
        </w:rPr>
      </w:pPr>
      <w:r>
        <w:rPr>
          <w:snapToGrid w:val="0"/>
        </w:rPr>
        <w:tab/>
        <w:t>(b)</w:t>
      </w:r>
      <w:r>
        <w:rPr>
          <w:snapToGrid w:val="0"/>
        </w:rPr>
        <w:tab/>
        <w:t>apply differently according to different factors of a specified kind; or</w:t>
      </w:r>
    </w:p>
    <w:p>
      <w:pPr>
        <w:pStyle w:val="Indenta"/>
        <w:rPr>
          <w:snapToGrid w:val="0"/>
        </w:rPr>
      </w:pPr>
      <w:r>
        <w:rPr>
          <w:snapToGrid w:val="0"/>
        </w:rPr>
        <w:tab/>
        <w:t>(c)</w:t>
      </w:r>
      <w:r>
        <w:rPr>
          <w:snapToGrid w:val="0"/>
        </w:rPr>
        <w:tab/>
        <w:t>authorise any matter or thing to be from time to time determined, applied or regulated by a specified person or body,</w:t>
      </w:r>
    </w:p>
    <w:p>
      <w:pPr>
        <w:pStyle w:val="Subsection"/>
        <w:rPr>
          <w:snapToGrid w:val="0"/>
        </w:rPr>
      </w:pPr>
      <w:r>
        <w:rPr>
          <w:snapToGrid w:val="0"/>
        </w:rPr>
        <w:tab/>
      </w:r>
      <w:r>
        <w:rPr>
          <w:snapToGrid w:val="0"/>
        </w:rPr>
        <w:tab/>
        <w:t>or may do any combination of those things.</w:t>
      </w:r>
    </w:p>
    <w:p>
      <w:pPr>
        <w:pStyle w:val="Subsection"/>
        <w:rPr>
          <w:snapToGrid w:val="0"/>
        </w:rPr>
      </w:pPr>
      <w:r>
        <w:rPr>
          <w:snapToGrid w:val="0"/>
        </w:rPr>
        <w:tab/>
        <w:t>(4)</w:t>
      </w:r>
      <w:r>
        <w:rPr>
          <w:snapToGrid w:val="0"/>
        </w:rPr>
        <w:tab/>
        <w:t>A regulation may be made to convey information by specifying hypothetical questions and answers.</w:t>
      </w:r>
    </w:p>
    <w:p>
      <w:pPr>
        <w:pStyle w:val="Heading2"/>
      </w:pPr>
      <w:bookmarkStart w:id="318" w:name="_Toc378152726"/>
      <w:bookmarkStart w:id="319" w:name="_Toc392496650"/>
      <w:r>
        <w:rPr>
          <w:rStyle w:val="CharPartNo"/>
        </w:rPr>
        <w:t>Part XA</w:t>
      </w:r>
      <w:r>
        <w:rPr>
          <w:rStyle w:val="CharDivNo"/>
        </w:rPr>
        <w:t> </w:t>
      </w:r>
      <w:r>
        <w:t>—</w:t>
      </w:r>
      <w:r>
        <w:rPr>
          <w:rStyle w:val="CharDivText"/>
        </w:rPr>
        <w:t> </w:t>
      </w:r>
      <w:r>
        <w:rPr>
          <w:rStyle w:val="CharPartText"/>
        </w:rPr>
        <w:t>Transitional</w:t>
      </w:r>
      <w:bookmarkEnd w:id="318"/>
      <w:bookmarkEnd w:id="319"/>
    </w:p>
    <w:p>
      <w:pPr>
        <w:pStyle w:val="Footnoteheading"/>
        <w:ind w:left="890"/>
        <w:rPr>
          <w:snapToGrid w:val="0"/>
        </w:rPr>
      </w:pPr>
      <w:r>
        <w:rPr>
          <w:snapToGrid w:val="0"/>
        </w:rPr>
        <w:tab/>
        <w:t>[Heading inserted by No. 58 of 1992 s. 6.]</w:t>
      </w:r>
    </w:p>
    <w:p>
      <w:pPr>
        <w:pStyle w:val="Heading5"/>
        <w:rPr>
          <w:snapToGrid w:val="0"/>
        </w:rPr>
      </w:pPr>
      <w:bookmarkStart w:id="320" w:name="_Toc392496651"/>
      <w:r>
        <w:rPr>
          <w:rStyle w:val="CharSectno"/>
        </w:rPr>
        <w:t>167A</w:t>
      </w:r>
      <w:r>
        <w:rPr>
          <w:snapToGrid w:val="0"/>
        </w:rPr>
        <w:t xml:space="preserve">. </w:t>
      </w:r>
      <w:r>
        <w:rPr>
          <w:snapToGrid w:val="0"/>
        </w:rPr>
        <w:tab/>
        <w:t>Non</w:t>
      </w:r>
      <w:r>
        <w:rPr>
          <w:snapToGrid w:val="0"/>
        </w:rPr>
        <w:noBreakHyphen/>
        <w:t>disclosures etc. before 11 Jan 1993 about insurance commission charges, effect of</w:t>
      </w:r>
      <w:bookmarkEnd w:id="320"/>
    </w:p>
    <w:p>
      <w:pPr>
        <w:pStyle w:val="Subsection"/>
        <w:spacing w:before="120"/>
        <w:rPr>
          <w:snapToGrid w:val="0"/>
        </w:rPr>
      </w:pPr>
      <w:r>
        <w:rPr>
          <w:snapToGrid w:val="0"/>
        </w:rPr>
        <w:tab/>
        <w:t>(1)</w:t>
      </w:r>
      <w:r>
        <w:rPr>
          <w:snapToGrid w:val="0"/>
        </w:rPr>
        <w:tab/>
        <w:t xml:space="preserve">This section applies to credit sale contracts or loan contracts entered into before the coming into operation of section 6 of the </w:t>
      </w:r>
      <w:r>
        <w:rPr>
          <w:i/>
          <w:snapToGrid w:val="0"/>
        </w:rPr>
        <w:t>Credit Amendment Act 1992</w:t>
      </w:r>
      <w:r>
        <w:rPr>
          <w:snapToGrid w:val="0"/>
        </w:rPr>
        <w:t xml:space="preserve"> </w:t>
      </w:r>
      <w:r>
        <w:rPr>
          <w:snapToGrid w:val="0"/>
          <w:vertAlign w:val="superscript"/>
        </w:rPr>
        <w:t>1</w:t>
      </w:r>
      <w:r>
        <w:rPr>
          <w:snapToGrid w:val="0"/>
        </w:rPr>
        <w:t>.</w:t>
      </w:r>
    </w:p>
    <w:p>
      <w:pPr>
        <w:pStyle w:val="Subsection"/>
        <w:spacing w:before="120"/>
        <w:rPr>
          <w:snapToGrid w:val="0"/>
        </w:rPr>
      </w:pPr>
      <w:r>
        <w:rPr>
          <w:snapToGrid w:val="0"/>
        </w:rPr>
        <w:tab/>
        <w:t>(2)</w:t>
      </w:r>
      <w:r>
        <w:rPr>
          <w:snapToGrid w:val="0"/>
        </w:rPr>
        <w:tab/>
        <w:t>If a statement about an insurance commission charge payable in respect of a credit sale contract or a loan contract, or an insurance certificate that disclosed that a commission was payable with respect to the insurance and to whom the insurer paid the commission, was included in written information given or shown to the debtor before or at the time that the debtor entered into the contract, section 42 does not operate (and is to be taken never to have operated) to relieve the debtor from liability to pay to the credit provider any credit charge under the contract merely because the contract — </w:t>
      </w:r>
    </w:p>
    <w:p>
      <w:pPr>
        <w:pStyle w:val="Indenta"/>
        <w:rPr>
          <w:snapToGrid w:val="0"/>
        </w:rPr>
      </w:pPr>
      <w:r>
        <w:rPr>
          <w:snapToGrid w:val="0"/>
        </w:rPr>
        <w:tab/>
        <w:t>(a)</w:t>
      </w:r>
      <w:r>
        <w:rPr>
          <w:snapToGrid w:val="0"/>
        </w:rPr>
        <w:tab/>
        <w:t>does not include a statement about that insurance commission charge; or</w:t>
      </w:r>
    </w:p>
    <w:p>
      <w:pPr>
        <w:pStyle w:val="Indenta"/>
        <w:rPr>
          <w:snapToGrid w:val="0"/>
        </w:rPr>
      </w:pPr>
      <w:r>
        <w:rPr>
          <w:snapToGrid w:val="0"/>
        </w:rPr>
        <w:tab/>
        <w:t>(b)</w:t>
      </w:r>
      <w:r>
        <w:rPr>
          <w:snapToGrid w:val="0"/>
        </w:rPr>
        <w:tab/>
        <w:t>contains a misstatement about that insurance commission charge.</w:t>
      </w:r>
    </w:p>
    <w:p>
      <w:pPr>
        <w:pStyle w:val="Subsection"/>
        <w:spacing w:before="120"/>
        <w:rPr>
          <w:snapToGrid w:val="0"/>
        </w:rPr>
      </w:pPr>
      <w:r>
        <w:rPr>
          <w:snapToGrid w:val="0"/>
        </w:rPr>
        <w:tab/>
        <w:t>(3)</w:t>
      </w:r>
      <w:r>
        <w:rPr>
          <w:snapToGrid w:val="0"/>
        </w:rPr>
        <w:tab/>
        <w:t>If — </w:t>
      </w:r>
    </w:p>
    <w:p>
      <w:pPr>
        <w:pStyle w:val="Indenta"/>
        <w:rPr>
          <w:snapToGrid w:val="0"/>
        </w:rPr>
      </w:pPr>
      <w:r>
        <w:rPr>
          <w:snapToGrid w:val="0"/>
        </w:rPr>
        <w:tab/>
        <w:t>(a)</w:t>
      </w:r>
      <w:r>
        <w:rPr>
          <w:snapToGrid w:val="0"/>
        </w:rPr>
        <w:tab/>
        <w:t>an insurance commission charge was payable to the credit provider in respect of a credit sale contract or a loan contract; and</w:t>
      </w:r>
    </w:p>
    <w:p>
      <w:pPr>
        <w:pStyle w:val="Indenta"/>
        <w:rPr>
          <w:snapToGrid w:val="0"/>
        </w:rPr>
      </w:pPr>
      <w:r>
        <w:rPr>
          <w:snapToGrid w:val="0"/>
        </w:rPr>
        <w:tab/>
        <w:t>(b)</w:t>
      </w:r>
      <w:r>
        <w:rPr>
          <w:snapToGrid w:val="0"/>
        </w:rPr>
        <w:tab/>
        <w:t>an insurance commission charge was also payable to a body with a name that is similar to (or a derivative of) the name of the credit provider and a statement about the insurance commission charge payable to that body was included in the contract or in written information referred to in subsection (2),</w:t>
      </w:r>
    </w:p>
    <w:p>
      <w:pPr>
        <w:pStyle w:val="Subsection"/>
        <w:spacing w:before="120"/>
        <w:rPr>
          <w:snapToGrid w:val="0"/>
        </w:rPr>
      </w:pPr>
      <w:r>
        <w:rPr>
          <w:snapToGrid w:val="0"/>
        </w:rPr>
        <w:tab/>
      </w:r>
      <w:r>
        <w:rPr>
          <w:snapToGrid w:val="0"/>
        </w:rPr>
        <w:tab/>
        <w:t>section 42 does not operate (and is to be taken never to have operated) to relieve the debtor from liability to pay to the credit provider any credit charge under the contract merely because the contract — </w:t>
      </w:r>
    </w:p>
    <w:p>
      <w:pPr>
        <w:pStyle w:val="Indenta"/>
        <w:rPr>
          <w:snapToGrid w:val="0"/>
        </w:rPr>
      </w:pPr>
      <w:r>
        <w:rPr>
          <w:snapToGrid w:val="0"/>
        </w:rPr>
        <w:tab/>
        <w:t>(c)</w:t>
      </w:r>
      <w:r>
        <w:rPr>
          <w:snapToGrid w:val="0"/>
        </w:rPr>
        <w:tab/>
        <w:t>does not include a statement about the insurance commission charge payable to the credit provider; or</w:t>
      </w:r>
    </w:p>
    <w:p>
      <w:pPr>
        <w:pStyle w:val="Indenta"/>
        <w:rPr>
          <w:snapToGrid w:val="0"/>
        </w:rPr>
      </w:pPr>
      <w:r>
        <w:rPr>
          <w:snapToGrid w:val="0"/>
        </w:rPr>
        <w:tab/>
        <w:t>(d)</w:t>
      </w:r>
      <w:r>
        <w:rPr>
          <w:snapToGrid w:val="0"/>
        </w:rPr>
        <w:tab/>
        <w:t>contains a misstatement about that insurance commission charge.</w:t>
      </w:r>
    </w:p>
    <w:p>
      <w:pPr>
        <w:pStyle w:val="Subsection"/>
        <w:rPr>
          <w:snapToGrid w:val="0"/>
        </w:rPr>
      </w:pPr>
      <w:r>
        <w:rPr>
          <w:snapToGrid w:val="0"/>
        </w:rPr>
        <w:tab/>
        <w:t>(4)</w:t>
      </w:r>
      <w:r>
        <w:rPr>
          <w:snapToGrid w:val="0"/>
        </w:rPr>
        <w:tab/>
        <w:t>Nothing in this section affects the liability of a person to be convicted of an offence under this Act.</w:t>
      </w:r>
    </w:p>
    <w:p>
      <w:pPr>
        <w:pStyle w:val="Subsection"/>
        <w:rPr>
          <w:snapToGrid w:val="0"/>
        </w:rPr>
      </w:pPr>
      <w:r>
        <w:rPr>
          <w:snapToGrid w:val="0"/>
        </w:rPr>
        <w:tab/>
        <w:t>(5)</w:t>
      </w:r>
      <w:r>
        <w:rPr>
          <w:snapToGrid w:val="0"/>
        </w:rPr>
        <w:tab/>
        <w:t xml:space="preserve">This section does not apply to any liability to pay any credit charge which has been determined by the former Commercial Tribunal established under the </w:t>
      </w:r>
      <w:r>
        <w:rPr>
          <w:i/>
          <w:snapToGrid w:val="0"/>
        </w:rPr>
        <w:t>Commercial Tribunal Act 1984</w:t>
      </w:r>
      <w:r>
        <w:rPr>
          <w:snapToGrid w:val="0"/>
          <w:vertAlign w:val="superscript"/>
        </w:rPr>
        <w:t> 6</w:t>
      </w:r>
      <w:r>
        <w:rPr>
          <w:i/>
          <w:snapToGrid w:val="0"/>
        </w:rPr>
        <w:t xml:space="preserve"> </w:t>
      </w:r>
      <w:r>
        <w:rPr>
          <w:snapToGrid w:val="0"/>
        </w:rPr>
        <w:t xml:space="preserve">before the coming into operation of section 6 of the </w:t>
      </w:r>
      <w:r>
        <w:rPr>
          <w:i/>
          <w:snapToGrid w:val="0"/>
        </w:rPr>
        <w:t>Credit Amendment Act 1992</w:t>
      </w:r>
      <w:r>
        <w:rPr>
          <w:snapToGrid w:val="0"/>
        </w:rPr>
        <w:t xml:space="preserve"> </w:t>
      </w:r>
      <w:r>
        <w:rPr>
          <w:snapToGrid w:val="0"/>
          <w:vertAlign w:val="superscript"/>
        </w:rPr>
        <w:t>1</w:t>
      </w:r>
      <w:r>
        <w:rPr>
          <w:snapToGrid w:val="0"/>
        </w:rPr>
        <w:t>.</w:t>
      </w:r>
    </w:p>
    <w:p>
      <w:pPr>
        <w:pStyle w:val="Subsection"/>
        <w:rPr>
          <w:snapToGrid w:val="0"/>
        </w:rPr>
      </w:pPr>
      <w:r>
        <w:rPr>
          <w:snapToGrid w:val="0"/>
        </w:rPr>
        <w:tab/>
        <w:t>(6)</w:t>
      </w:r>
      <w:r>
        <w:rPr>
          <w:snapToGrid w:val="0"/>
        </w:rPr>
        <w:tab/>
        <w:t>In this section, a reference to a statement about any insurance commission charge that is payable, or to an insurance certificate that discloses that a commission was payable, in respect of a credit sale contract or loan contract is a reference to a statement or certificate — </w:t>
      </w:r>
    </w:p>
    <w:p>
      <w:pPr>
        <w:pStyle w:val="Indenta"/>
        <w:rPr>
          <w:snapToGrid w:val="0"/>
        </w:rPr>
      </w:pPr>
      <w:r>
        <w:rPr>
          <w:snapToGrid w:val="0"/>
        </w:rPr>
        <w:tab/>
        <w:t>(a)</w:t>
      </w:r>
      <w:r>
        <w:rPr>
          <w:snapToGrid w:val="0"/>
        </w:rPr>
        <w:tab/>
        <w:t>which relates to a commission charge for a contract of insurance entered into in connection with the credit sale contract or loan contract; and</w:t>
      </w:r>
    </w:p>
    <w:p>
      <w:pPr>
        <w:pStyle w:val="Indenta"/>
        <w:rPr>
          <w:snapToGrid w:val="0"/>
        </w:rPr>
      </w:pPr>
      <w:r>
        <w:rPr>
          <w:snapToGrid w:val="0"/>
        </w:rPr>
        <w:tab/>
        <w:t>(b)</w:t>
      </w:r>
      <w:r>
        <w:rPr>
          <w:snapToGrid w:val="0"/>
        </w:rPr>
        <w:tab/>
        <w:t>contains information of the kind required by section 35(1)(i) or 36(1)(h) to be included in the credit sale contract or loan contract.</w:t>
      </w:r>
    </w:p>
    <w:p>
      <w:pPr>
        <w:pStyle w:val="Footnotesection"/>
      </w:pPr>
      <w:r>
        <w:tab/>
        <w:t>[Section 167A inserted by No. 58 of 1992 s. 6; amended by No. 55 of 2004 s. 176.]</w:t>
      </w:r>
    </w:p>
    <w:p>
      <w:pPr>
        <w:pStyle w:val="Heading5"/>
        <w:rPr>
          <w:snapToGrid w:val="0"/>
        </w:rPr>
      </w:pPr>
      <w:bookmarkStart w:id="321" w:name="_Toc392496652"/>
      <w:r>
        <w:rPr>
          <w:rStyle w:val="CharSectno"/>
        </w:rPr>
        <w:t>167B</w:t>
      </w:r>
      <w:r>
        <w:rPr>
          <w:snapToGrid w:val="0"/>
        </w:rPr>
        <w:t xml:space="preserve">. </w:t>
      </w:r>
      <w:r>
        <w:rPr>
          <w:snapToGrid w:val="0"/>
        </w:rPr>
        <w:tab/>
        <w:t>Amendments in 1992 as to description of consumer credit insurance, operation of</w:t>
      </w:r>
      <w:bookmarkEnd w:id="321"/>
    </w:p>
    <w:p>
      <w:pPr>
        <w:pStyle w:val="Subsection"/>
        <w:rPr>
          <w:snapToGrid w:val="0"/>
        </w:rPr>
      </w:pPr>
      <w:r>
        <w:rPr>
          <w:snapToGrid w:val="0"/>
        </w:rPr>
        <w:tab/>
        <w:t>(1)</w:t>
      </w:r>
      <w:r>
        <w:rPr>
          <w:snapToGrid w:val="0"/>
        </w:rPr>
        <w:tab/>
        <w:t xml:space="preserve">The amendments made to Schedules 2, 4 and 7 by the </w:t>
      </w:r>
      <w:r>
        <w:rPr>
          <w:i/>
          <w:snapToGrid w:val="0"/>
        </w:rPr>
        <w:t>Credit Amendment Act 1992</w:t>
      </w:r>
      <w:r>
        <w:rPr>
          <w:snapToGrid w:val="0"/>
        </w:rPr>
        <w:t xml:space="preserve"> </w:t>
      </w:r>
      <w:r>
        <w:rPr>
          <w:snapToGrid w:val="0"/>
          <w:vertAlign w:val="superscript"/>
        </w:rPr>
        <w:t>1</w:t>
      </w:r>
      <w:r>
        <w:rPr>
          <w:snapToGrid w:val="0"/>
        </w:rPr>
        <w:t xml:space="preserve"> apply to regulated contracts entered into before as well as after the coming into operation of section 6 of that Act.</w:t>
      </w:r>
    </w:p>
    <w:p>
      <w:pPr>
        <w:pStyle w:val="Subsection"/>
        <w:rPr>
          <w:snapToGrid w:val="0"/>
        </w:rPr>
      </w:pPr>
      <w:r>
        <w:rPr>
          <w:snapToGrid w:val="0"/>
        </w:rPr>
        <w:tab/>
        <w:t>(2)</w:t>
      </w:r>
      <w:r>
        <w:rPr>
          <w:snapToGrid w:val="0"/>
        </w:rPr>
        <w:tab/>
        <w:t xml:space="preserve">A debtor who, before the coming into operation of section 6 of the </w:t>
      </w:r>
      <w:r>
        <w:rPr>
          <w:i/>
          <w:snapToGrid w:val="0"/>
        </w:rPr>
        <w:t>Credit Amendment Act 1992</w:t>
      </w:r>
      <w:r>
        <w:rPr>
          <w:snapToGrid w:val="0"/>
        </w:rPr>
        <w:t xml:space="preserve"> </w:t>
      </w:r>
      <w:r>
        <w:rPr>
          <w:snapToGrid w:val="0"/>
          <w:vertAlign w:val="superscript"/>
        </w:rPr>
        <w:t>1</w:t>
      </w:r>
      <w:r>
        <w:rPr>
          <w:snapToGrid w:val="0"/>
        </w:rPr>
        <w:t>, was not liable (because of section 42, section 67 or any other provision</w:t>
      </w:r>
      <w:bookmarkStart w:id="322" w:name="RuleErr_121"/>
      <w:r>
        <w:rPr>
          <w:snapToGrid w:val="0"/>
        </w:rPr>
        <w:t xml:space="preserve"> of this Act</w:t>
      </w:r>
      <w:bookmarkEnd w:id="322"/>
      <w:r>
        <w:rPr>
          <w:snapToGrid w:val="0"/>
        </w:rPr>
        <w:t>) to pay to the credit provider any credit charge under a contract, but who because of subsection (1) becomes so liable, is to be taken always to have been liable to pay that charge.</w:t>
      </w:r>
    </w:p>
    <w:p>
      <w:pPr>
        <w:pStyle w:val="Subsection"/>
        <w:rPr>
          <w:snapToGrid w:val="0"/>
        </w:rPr>
      </w:pPr>
      <w:r>
        <w:rPr>
          <w:snapToGrid w:val="0"/>
        </w:rPr>
        <w:tab/>
        <w:t>(3)</w:t>
      </w:r>
      <w:r>
        <w:rPr>
          <w:snapToGrid w:val="0"/>
        </w:rPr>
        <w:tab/>
        <w:t xml:space="preserve">This section does not apply to any liability to pay any credit charge which has been determined by the former Commercial Tribunal established under the </w:t>
      </w:r>
      <w:r>
        <w:rPr>
          <w:i/>
          <w:snapToGrid w:val="0"/>
        </w:rPr>
        <w:t>Commercial Tribunal Act 1984</w:t>
      </w:r>
      <w:r>
        <w:rPr>
          <w:snapToGrid w:val="0"/>
          <w:vertAlign w:val="superscript"/>
        </w:rPr>
        <w:t> 6</w:t>
      </w:r>
      <w:r>
        <w:rPr>
          <w:i/>
          <w:snapToGrid w:val="0"/>
        </w:rPr>
        <w:t xml:space="preserve"> </w:t>
      </w:r>
      <w:r>
        <w:rPr>
          <w:snapToGrid w:val="0"/>
        </w:rPr>
        <w:t xml:space="preserve">before the coming into operation of section 6 of the </w:t>
      </w:r>
      <w:r>
        <w:rPr>
          <w:i/>
          <w:snapToGrid w:val="0"/>
        </w:rPr>
        <w:t>Credit Amendment Act 1992</w:t>
      </w:r>
      <w:r>
        <w:rPr>
          <w:snapToGrid w:val="0"/>
        </w:rPr>
        <w:t xml:space="preserve"> </w:t>
      </w:r>
      <w:r>
        <w:rPr>
          <w:snapToGrid w:val="0"/>
          <w:vertAlign w:val="superscript"/>
        </w:rPr>
        <w:t>1</w:t>
      </w:r>
      <w:r>
        <w:rPr>
          <w:snapToGrid w:val="0"/>
        </w:rPr>
        <w:t>.</w:t>
      </w:r>
    </w:p>
    <w:p>
      <w:pPr>
        <w:pStyle w:val="Subsection"/>
        <w:rPr>
          <w:snapToGrid w:val="0"/>
        </w:rPr>
      </w:pPr>
      <w:r>
        <w:rPr>
          <w:snapToGrid w:val="0"/>
        </w:rPr>
        <w:tab/>
        <w:t>(4)</w:t>
      </w:r>
      <w:r>
        <w:rPr>
          <w:snapToGrid w:val="0"/>
        </w:rPr>
        <w:tab/>
        <w:t xml:space="preserve">A regulation which, under section 123, prescribes the term </w:t>
      </w:r>
      <w:r>
        <w:rPr>
          <w:b/>
          <w:i/>
          <w:snapToGrid w:val="0"/>
        </w:rPr>
        <w:t>consumer credit insurance</w:t>
      </w:r>
      <w:r>
        <w:rPr>
          <w:snapToGrid w:val="0"/>
        </w:rPr>
        <w:t xml:space="preserve"> to describe the insurance referred to in clause 1(e)(iv) of Schedule 2, clause 1(b)(iii) of Schedule 4 or clause 1(k)(iii) of Schedule 7 is to be taken to authorise (and always to have authorised) the use of that term to describe that insurance even though it included insurance against unemployment.</w:t>
      </w:r>
    </w:p>
    <w:p>
      <w:pPr>
        <w:pStyle w:val="Subsection"/>
        <w:rPr>
          <w:snapToGrid w:val="0"/>
        </w:rPr>
      </w:pPr>
      <w:r>
        <w:rPr>
          <w:snapToGrid w:val="0"/>
        </w:rPr>
        <w:tab/>
        <w:t>(5)</w:t>
      </w:r>
      <w:r>
        <w:rPr>
          <w:snapToGrid w:val="0"/>
        </w:rPr>
        <w:tab/>
        <w:t xml:space="preserve">A regulation which, under section 123, prescribes the term </w:t>
      </w:r>
      <w:r>
        <w:rPr>
          <w:b/>
          <w:i/>
          <w:snapToGrid w:val="0"/>
        </w:rPr>
        <w:t>unemployment insurance</w:t>
      </w:r>
      <w:r>
        <w:rPr>
          <w:snapToGrid w:val="0"/>
        </w:rPr>
        <w:t xml:space="preserve"> to describe the insurance referred to in clause 1(e)(vi) of Schedule 2, clause 1(b)(v) of Schedule 4 or clause 1(k)(v) of Schedule </w:t>
      </w:r>
      <w:bookmarkStart w:id="323" w:name="RuleErr_3"/>
      <w:r>
        <w:rPr>
          <w:snapToGrid w:val="0"/>
        </w:rPr>
        <w:t>7 (</w:t>
      </w:r>
      <w:bookmarkEnd w:id="323"/>
      <w:r>
        <w:rPr>
          <w:snapToGrid w:val="0"/>
        </w:rPr>
        <w:t>as in force before the repeal of those provisions) is to be taken to authorise (and always to have authorised) the use of that term to describe insurance against unemployment of the debtor despite the repeal of those provisions.</w:t>
      </w:r>
    </w:p>
    <w:p>
      <w:pPr>
        <w:pStyle w:val="Footnotesection"/>
      </w:pPr>
      <w:r>
        <w:tab/>
        <w:t xml:space="preserve">[Section 167B inserted by No. 58 of 1992 s. 6; amended by No. 55 of 2004 s. 177.] </w:t>
      </w:r>
    </w:p>
    <w:p>
      <w:pPr>
        <w:pStyle w:val="Heading2"/>
      </w:pPr>
      <w:bookmarkStart w:id="324" w:name="_Toc378152729"/>
      <w:bookmarkStart w:id="325" w:name="_Toc392496653"/>
      <w:r>
        <w:rPr>
          <w:rStyle w:val="CharPartNo"/>
        </w:rPr>
        <w:t>Part XI</w:t>
      </w:r>
      <w:r>
        <w:rPr>
          <w:rStyle w:val="CharDivNo"/>
        </w:rPr>
        <w:t> </w:t>
      </w:r>
      <w:r>
        <w:t>—</w:t>
      </w:r>
      <w:r>
        <w:rPr>
          <w:rStyle w:val="CharDivText"/>
        </w:rPr>
        <w:t> </w:t>
      </w:r>
      <w:r>
        <w:rPr>
          <w:rStyle w:val="CharPartText"/>
        </w:rPr>
        <w:t>Miscellaneous</w:t>
      </w:r>
      <w:bookmarkEnd w:id="324"/>
      <w:bookmarkEnd w:id="325"/>
    </w:p>
    <w:p>
      <w:pPr>
        <w:pStyle w:val="Heading5"/>
        <w:rPr>
          <w:snapToGrid w:val="0"/>
        </w:rPr>
      </w:pPr>
      <w:bookmarkStart w:id="326" w:name="_Toc392496654"/>
      <w:r>
        <w:rPr>
          <w:rStyle w:val="CharSectno"/>
        </w:rPr>
        <w:t>168</w:t>
      </w:r>
      <w:r>
        <w:rPr>
          <w:snapToGrid w:val="0"/>
        </w:rPr>
        <w:t>.</w:t>
      </w:r>
      <w:r>
        <w:rPr>
          <w:snapToGrid w:val="0"/>
        </w:rPr>
        <w:tab/>
        <w:t>Notices required by mortgagee under other Acts</w:t>
      </w:r>
      <w:bookmarkEnd w:id="326"/>
    </w:p>
    <w:p>
      <w:pPr>
        <w:pStyle w:val="Subsection"/>
        <w:rPr>
          <w:snapToGrid w:val="0"/>
        </w:rPr>
      </w:pPr>
      <w:r>
        <w:rPr>
          <w:snapToGrid w:val="0"/>
        </w:rPr>
        <w:tab/>
      </w:r>
      <w:r>
        <w:rPr>
          <w:snapToGrid w:val="0"/>
        </w:rPr>
        <w:tab/>
        <w:t>Where land is subject to a regulated mortgage and the provisions of any other Act require the mortgagee to give notice to the mortgagor before exercising in relation to the land a power or right conferred by the other Act or by the mortgage — </w:t>
      </w:r>
    </w:p>
    <w:p>
      <w:pPr>
        <w:pStyle w:val="Indenta"/>
        <w:rPr>
          <w:snapToGrid w:val="0"/>
        </w:rPr>
      </w:pPr>
      <w:r>
        <w:rPr>
          <w:snapToGrid w:val="0"/>
        </w:rPr>
        <w:tab/>
        <w:t>(a)</w:t>
      </w:r>
      <w:r>
        <w:rPr>
          <w:snapToGrid w:val="0"/>
        </w:rPr>
        <w:tab/>
        <w:t>nothing in this Act derogates from the requirement to give the notice under the other Act; and</w:t>
      </w:r>
    </w:p>
    <w:p>
      <w:pPr>
        <w:pStyle w:val="Indenta"/>
        <w:rPr>
          <w:snapToGrid w:val="0"/>
        </w:rPr>
      </w:pPr>
      <w:r>
        <w:rPr>
          <w:snapToGrid w:val="0"/>
        </w:rPr>
        <w:tab/>
        <w:t>(b)</w:t>
      </w:r>
      <w:r>
        <w:rPr>
          <w:snapToGrid w:val="0"/>
        </w:rPr>
        <w:tab/>
        <w:t>a notice required by this Act to be given before the exercise of the power or right does not fail to comply with this Act by reason only that it includes matter required to be specified in a notice required by the other Act to be given before exercise of the power or right.</w:t>
      </w:r>
    </w:p>
    <w:p>
      <w:pPr>
        <w:pStyle w:val="Heading5"/>
        <w:rPr>
          <w:snapToGrid w:val="0"/>
        </w:rPr>
      </w:pPr>
      <w:bookmarkStart w:id="327" w:name="_Toc392496655"/>
      <w:r>
        <w:rPr>
          <w:rStyle w:val="CharSectno"/>
        </w:rPr>
        <w:t>169</w:t>
      </w:r>
      <w:r>
        <w:rPr>
          <w:snapToGrid w:val="0"/>
        </w:rPr>
        <w:t>.</w:t>
      </w:r>
      <w:r>
        <w:rPr>
          <w:snapToGrid w:val="0"/>
        </w:rPr>
        <w:tab/>
        <w:t>Land sales, application of Part II to etc.</w:t>
      </w:r>
      <w:bookmarkEnd w:id="327"/>
    </w:p>
    <w:p>
      <w:pPr>
        <w:pStyle w:val="Subsection"/>
        <w:rPr>
          <w:snapToGrid w:val="0"/>
        </w:rPr>
      </w:pPr>
      <w:r>
        <w:rPr>
          <w:snapToGrid w:val="0"/>
        </w:rPr>
        <w:tab/>
      </w:r>
      <w:r>
        <w:rPr>
          <w:snapToGrid w:val="0"/>
        </w:rPr>
        <w:tab/>
        <w:t>For the purposes of Part II — </w:t>
      </w:r>
    </w:p>
    <w:p>
      <w:pPr>
        <w:pStyle w:val="Indenta"/>
        <w:rPr>
          <w:snapToGrid w:val="0"/>
        </w:rPr>
      </w:pPr>
      <w:r>
        <w:rPr>
          <w:snapToGrid w:val="0"/>
        </w:rPr>
        <w:tab/>
        <w:t>(a)</w:t>
      </w:r>
      <w:r>
        <w:rPr>
          <w:snapToGrid w:val="0"/>
        </w:rPr>
        <w:tab/>
        <w:t xml:space="preserve">the definition of </w:t>
      </w:r>
      <w:r>
        <w:rPr>
          <w:b/>
          <w:i/>
          <w:snapToGrid w:val="0"/>
        </w:rPr>
        <w:t>linked credit provider</w:t>
      </w:r>
      <w:r>
        <w:rPr>
          <w:snapToGrid w:val="0"/>
        </w:rPr>
        <w:t xml:space="preserve"> in section 5(1) applies in relation to a vendor of land in the same way as it applies in relation to a supplier of goods or services; and</w:t>
      </w:r>
    </w:p>
    <w:p>
      <w:pPr>
        <w:pStyle w:val="Indenta"/>
        <w:rPr>
          <w:snapToGrid w:val="0"/>
        </w:rPr>
      </w:pPr>
      <w:r>
        <w:rPr>
          <w:snapToGrid w:val="0"/>
        </w:rPr>
        <w:tab/>
        <w:t>(b)</w:t>
      </w:r>
      <w:r>
        <w:rPr>
          <w:snapToGrid w:val="0"/>
        </w:rPr>
        <w:tab/>
        <w:t>a credit provider and a vendor of land have a trade or tie agreement if they have an agreement or arrangement, whether formal or informal, for the provision of credit to purchasers of land from that vendor; and</w:t>
      </w:r>
    </w:p>
    <w:p>
      <w:pPr>
        <w:pStyle w:val="Indenta"/>
        <w:rPr>
          <w:snapToGrid w:val="0"/>
        </w:rPr>
      </w:pPr>
      <w:r>
        <w:rPr>
          <w:snapToGrid w:val="0"/>
        </w:rPr>
        <w:tab/>
        <w:t>(c)</w:t>
      </w:r>
      <w:r>
        <w:rPr>
          <w:snapToGrid w:val="0"/>
        </w:rPr>
        <w:tab/>
        <w:t>section 12 applies to a loan contract entered into by a credit provider with a purchaser of land from a vendor in the same way as it applies to a loan contract entered into by a credit provider with a buyer of goods or services from a supplier; and</w:t>
      </w:r>
    </w:p>
    <w:p>
      <w:pPr>
        <w:pStyle w:val="Indenta"/>
        <w:rPr>
          <w:snapToGrid w:val="0"/>
        </w:rPr>
      </w:pPr>
      <w:r>
        <w:rPr>
          <w:snapToGrid w:val="0"/>
        </w:rPr>
        <w:tab/>
        <w:t>(d)</w:t>
      </w:r>
      <w:r>
        <w:rPr>
          <w:snapToGrid w:val="0"/>
        </w:rPr>
        <w:tab/>
        <w:t>sections 24 to 29 apply to a vendor of land and the provision of credit in respect of the payment by a purchaser under a contract for the purchase of land from that vendor in the same way as they apply to a supplier of goods or services and the provision of credit in respect of the payment by a buyer for goods or services supplied by that supplier; and</w:t>
      </w:r>
    </w:p>
    <w:p>
      <w:pPr>
        <w:pStyle w:val="Indenta"/>
        <w:rPr>
          <w:snapToGrid w:val="0"/>
        </w:rPr>
      </w:pPr>
      <w:r>
        <w:rPr>
          <w:snapToGrid w:val="0"/>
        </w:rPr>
        <w:tab/>
        <w:t>(e)</w:t>
      </w:r>
      <w:r>
        <w:rPr>
          <w:snapToGrid w:val="0"/>
        </w:rPr>
        <w:tab/>
        <w:t>a reference to a tied loan contract includes a reference to a loan contract under which the amount financed is not in excess of $20 000 and is applied in making a payment under a contract for the purchase of land unless the credit provider did not know, and could not reasonably have known, that the amount financed was to be so applied; and</w:t>
      </w:r>
    </w:p>
    <w:p>
      <w:pPr>
        <w:pStyle w:val="Indenta"/>
        <w:rPr>
          <w:snapToGrid w:val="0"/>
        </w:rPr>
      </w:pPr>
      <w:r>
        <w:rPr>
          <w:snapToGrid w:val="0"/>
        </w:rPr>
        <w:tab/>
        <w:t>(f)</w:t>
      </w:r>
      <w:r>
        <w:rPr>
          <w:snapToGrid w:val="0"/>
        </w:rPr>
        <w:tab/>
        <w:t>a reference to a tied continuing credit contract includes a reference to such a contract under which an amount that — </w:t>
      </w:r>
    </w:p>
    <w:p>
      <w:pPr>
        <w:pStyle w:val="Indenti"/>
        <w:rPr>
          <w:snapToGrid w:val="0"/>
        </w:rPr>
      </w:pPr>
      <w:r>
        <w:rPr>
          <w:snapToGrid w:val="0"/>
        </w:rPr>
        <w:tab/>
        <w:t>(i)</w:t>
      </w:r>
      <w:r>
        <w:rPr>
          <w:snapToGrid w:val="0"/>
        </w:rPr>
        <w:tab/>
        <w:t>does not exceed $20 000; and</w:t>
      </w:r>
    </w:p>
    <w:p>
      <w:pPr>
        <w:pStyle w:val="Indenti"/>
        <w:rPr>
          <w:snapToGrid w:val="0"/>
        </w:rPr>
      </w:pPr>
      <w:r>
        <w:rPr>
          <w:snapToGrid w:val="0"/>
        </w:rPr>
        <w:tab/>
        <w:t>(ii)</w:t>
      </w:r>
      <w:r>
        <w:rPr>
          <w:snapToGrid w:val="0"/>
        </w:rPr>
        <w:tab/>
        <w:t>is in respect of a payment under a contract for the purchase of land,</w:t>
      </w:r>
    </w:p>
    <w:p>
      <w:pPr>
        <w:pStyle w:val="Indenta"/>
        <w:rPr>
          <w:snapToGrid w:val="0"/>
        </w:rPr>
      </w:pPr>
      <w:r>
        <w:rPr>
          <w:snapToGrid w:val="0"/>
        </w:rPr>
        <w:tab/>
      </w:r>
      <w:r>
        <w:rPr>
          <w:snapToGrid w:val="0"/>
        </w:rPr>
        <w:tab/>
        <w:t>is entered in an account of the debtor kept by the credit provider unless the credit provider did not know, and could not reasonably have known, that the amount was in respect of such a payment.</w:t>
      </w:r>
    </w:p>
    <w:p>
      <w:pPr>
        <w:pStyle w:val="Heading5"/>
        <w:rPr>
          <w:snapToGrid w:val="0"/>
        </w:rPr>
      </w:pPr>
      <w:bookmarkStart w:id="328" w:name="_Toc392496656"/>
      <w:r>
        <w:rPr>
          <w:rStyle w:val="CharSectno"/>
        </w:rPr>
        <w:t>170</w:t>
      </w:r>
      <w:r>
        <w:rPr>
          <w:snapToGrid w:val="0"/>
        </w:rPr>
        <w:t>.</w:t>
      </w:r>
      <w:r>
        <w:rPr>
          <w:snapToGrid w:val="0"/>
        </w:rPr>
        <w:tab/>
        <w:t>Commissioner may fix maximum annual percentage rates</w:t>
      </w:r>
      <w:bookmarkEnd w:id="328"/>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the Commissioner, by order published in the </w:t>
      </w:r>
      <w:r>
        <w:rPr>
          <w:i/>
          <w:snapToGrid w:val="0"/>
        </w:rPr>
        <w:t>Government Gazette</w:t>
      </w:r>
      <w:r>
        <w:rPr>
          <w:snapToGrid w:val="0"/>
        </w:rPr>
        <w:t>, declares that the annual percentage rate in respect of a regulated contract or a class of regulated contracts shall not exceed a specified rate; and</w:t>
      </w:r>
    </w:p>
    <w:p>
      <w:pPr>
        <w:pStyle w:val="Indenta"/>
        <w:rPr>
          <w:snapToGrid w:val="0"/>
        </w:rPr>
      </w:pPr>
      <w:r>
        <w:rPr>
          <w:snapToGrid w:val="0"/>
        </w:rPr>
        <w:tab/>
        <w:t>(b)</w:t>
      </w:r>
      <w:r>
        <w:rPr>
          <w:snapToGrid w:val="0"/>
        </w:rPr>
        <w:tab/>
        <w:t>a regulated contract is entered into in respect of which the annual percentage rate exceeds the rate specified in relation to that contract in an order in force under paragraph (a),</w:t>
      </w:r>
    </w:p>
    <w:p>
      <w:pPr>
        <w:pStyle w:val="Subsection"/>
        <w:rPr>
          <w:snapToGrid w:val="0"/>
        </w:rPr>
      </w:pPr>
      <w:r>
        <w:rPr>
          <w:snapToGrid w:val="0"/>
        </w:rPr>
        <w:tab/>
      </w:r>
      <w:r>
        <w:rPr>
          <w:snapToGrid w:val="0"/>
        </w:rPr>
        <w:tab/>
        <w:t>the contract and any mortgage in so far as it relates to the contract are void.</w:t>
      </w:r>
    </w:p>
    <w:p>
      <w:pPr>
        <w:pStyle w:val="Subsection"/>
        <w:rPr>
          <w:snapToGrid w:val="0"/>
        </w:rPr>
      </w:pPr>
      <w:r>
        <w:rPr>
          <w:snapToGrid w:val="0"/>
        </w:rPr>
        <w:tab/>
        <w:t>(2)</w:t>
      </w:r>
      <w:r>
        <w:rPr>
          <w:snapToGrid w:val="0"/>
        </w:rPr>
        <w:tab/>
        <w:t>Where, by the operation of subsection (1), a regulated contract is void, the debtor is entitled to recover from the credit provider as a debt an amount equal to the amount of any moneys paid by the debtor to the credit provider pursuant to the contract.</w:t>
      </w:r>
    </w:p>
    <w:p>
      <w:pPr>
        <w:pStyle w:val="Subsection"/>
        <w:rPr>
          <w:snapToGrid w:val="0"/>
        </w:rPr>
      </w:pPr>
      <w:r>
        <w:rPr>
          <w:snapToGrid w:val="0"/>
        </w:rPr>
        <w:tab/>
        <w:t>(3)</w:t>
      </w:r>
      <w:r>
        <w:rPr>
          <w:snapToGrid w:val="0"/>
        </w:rPr>
        <w:tab/>
        <w:t>Nothing in this section affects the powers of the Tribunal under Part IX in relation to a contract or mortgage that is not, by reason of subsection (1), void.</w:t>
      </w:r>
    </w:p>
    <w:p>
      <w:pPr>
        <w:pStyle w:val="Footnotesection"/>
      </w:pPr>
      <w:r>
        <w:tab/>
        <w:t>[Section 170 amended by No. 55 of 2004 s. 178.]</w:t>
      </w:r>
    </w:p>
    <w:p>
      <w:pPr>
        <w:rPr>
          <w:rStyle w:val="CharDivText"/>
        </w:rPr>
        <w:sectPr>
          <w:headerReference w:type="even" r:id="rId23"/>
          <w:headerReference w:type="default" r:id="rId24"/>
          <w:footerReference w:type="even" r:id="rId25"/>
          <w:footerReference w:type="default" r:id="rId26"/>
          <w:headerReference w:type="first" r:id="rId27"/>
          <w:footerReference w:type="first" r:id="rId28"/>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329" w:name="_Toc378152733"/>
      <w:bookmarkStart w:id="330" w:name="_Toc392496657"/>
      <w:r>
        <w:rPr>
          <w:rStyle w:val="CharSchNo"/>
        </w:rPr>
        <w:t>Schedule 1</w:t>
      </w:r>
      <w:r>
        <w:t> — </w:t>
      </w:r>
      <w:r>
        <w:rPr>
          <w:rStyle w:val="CharSchText"/>
        </w:rPr>
        <w:t>Accrued credit charge</w:t>
      </w:r>
      <w:bookmarkEnd w:id="329"/>
      <w:bookmarkEnd w:id="330"/>
    </w:p>
    <w:p>
      <w:pPr>
        <w:pStyle w:val="yShoulderClause"/>
      </w:pPr>
      <w:r>
        <w:t>[s. 11]</w:t>
      </w:r>
    </w:p>
    <w:p>
      <w:pPr>
        <w:pStyle w:val="yFootnoteheading"/>
        <w:rPr>
          <w:snapToGrid w:val="0"/>
        </w:rPr>
      </w:pPr>
      <w:r>
        <w:tab/>
        <w:t>[Heading amended by No. 19 of 2010 s. 4.]</w:t>
      </w:r>
    </w:p>
    <w:p>
      <w:pPr>
        <w:pStyle w:val="ySubsection"/>
        <w:rPr>
          <w:snapToGrid w:val="0"/>
        </w:rPr>
      </w:pPr>
      <w:r>
        <w:rPr>
          <w:snapToGrid w:val="0"/>
        </w:rPr>
        <w:t>1.</w:t>
      </w:r>
      <w:r>
        <w:rPr>
          <w:snapToGrid w:val="0"/>
        </w:rPr>
        <w:tab/>
      </w:r>
      <w:r>
        <w:rPr>
          <w:snapToGrid w:val="0"/>
        </w:rPr>
        <w:tab/>
        <w:t>This Schedule applies to a credit sale contract or a loan contract, where — </w:t>
      </w:r>
    </w:p>
    <w:p>
      <w:pPr>
        <w:pStyle w:val="yIndenta"/>
        <w:rPr>
          <w:snapToGrid w:val="0"/>
        </w:rPr>
      </w:pPr>
      <w:r>
        <w:rPr>
          <w:snapToGrid w:val="0"/>
        </w:rPr>
        <w:tab/>
        <w:t>(a)</w:t>
      </w:r>
      <w:r>
        <w:rPr>
          <w:snapToGrid w:val="0"/>
        </w:rPr>
        <w:tab/>
        <w:t>the whole or any part of the credit charge is a pre</w:t>
      </w:r>
      <w:r>
        <w:rPr>
          <w:snapToGrid w:val="0"/>
        </w:rPr>
        <w:noBreakHyphen/>
        <w:t>determined credit charge or an estimated credit charge; and</w:t>
      </w:r>
    </w:p>
    <w:p>
      <w:pPr>
        <w:pStyle w:val="yIndenta"/>
        <w:rPr>
          <w:snapToGrid w:val="0"/>
        </w:rPr>
      </w:pPr>
      <w:r>
        <w:rPr>
          <w:snapToGrid w:val="0"/>
        </w:rPr>
        <w:tab/>
        <w:t>(b)</w:t>
      </w:r>
      <w:r>
        <w:rPr>
          <w:snapToGrid w:val="0"/>
        </w:rPr>
        <w:tab/>
        <w:t>the whole of the amount financed was provided on the same day; and</w:t>
      </w:r>
    </w:p>
    <w:p>
      <w:pPr>
        <w:pStyle w:val="yIndenta"/>
        <w:rPr>
          <w:snapToGrid w:val="0"/>
        </w:rPr>
      </w:pPr>
      <w:r>
        <w:rPr>
          <w:snapToGrid w:val="0"/>
        </w:rPr>
        <w:tab/>
        <w:t>(c)</w:t>
      </w:r>
      <w:r>
        <w:rPr>
          <w:snapToGrid w:val="0"/>
        </w:rPr>
        <w:tab/>
        <w:t>the amount financed and the credit charge are payable by not more than 260 equal instalments at equal intervals, the first interval commencing on the date on which the amount financed was provided and the last interval ending not more than 5 years after that date; and</w:t>
      </w:r>
    </w:p>
    <w:p>
      <w:pPr>
        <w:pStyle w:val="yIndenta"/>
        <w:rPr>
          <w:snapToGrid w:val="0"/>
        </w:rPr>
      </w:pPr>
      <w:r>
        <w:rPr>
          <w:snapToGrid w:val="0"/>
        </w:rPr>
        <w:tab/>
        <w:t>(d)</w:t>
      </w:r>
      <w:r>
        <w:rPr>
          <w:snapToGrid w:val="0"/>
        </w:rPr>
        <w:tab/>
        <w:t>the period of each interval is 1 month or does not exceed 4 weeks.</w:t>
      </w:r>
    </w:p>
    <w:p>
      <w:pPr>
        <w:pStyle w:val="ySubsection"/>
        <w:rPr>
          <w:snapToGrid w:val="0"/>
        </w:rPr>
      </w:pPr>
      <w:r>
        <w:rPr>
          <w:snapToGrid w:val="0"/>
        </w:rPr>
        <w:t>2.</w:t>
      </w:r>
      <w:r>
        <w:rPr>
          <w:snapToGrid w:val="0"/>
        </w:rPr>
        <w:tab/>
      </w:r>
      <w:r>
        <w:rPr>
          <w:snapToGrid w:val="0"/>
        </w:rPr>
        <w:tab/>
        <w:t>Where this Schedule applies to a contract, the credit provider may, instead of accurately calculating the amount of the pre</w:t>
      </w:r>
      <w:r>
        <w:rPr>
          <w:snapToGrid w:val="0"/>
        </w:rPr>
        <w:noBreakHyphen/>
        <w:t>determined credit charge or estimated credit charge which has accrued due under the contract at a particular time, calculate the amount in accordance with the formula — </w:t>
      </w:r>
    </w:p>
    <w:p>
      <w:pPr>
        <w:pStyle w:val="Equation"/>
        <w:jc w:val="center"/>
        <w:rPr>
          <w:snapToGrid w:val="0"/>
        </w:rPr>
      </w:pPr>
      <w:r>
        <w:rPr>
          <w:position w:val="-30"/>
        </w:rPr>
        <w:object w:dxaOrig="2480" w:dyaOrig="680">
          <v:shape id="_x0000_i1026" type="#_x0000_t75" style="width:123.75pt;height:33.75pt" o:ole="" fillcolor="window">
            <v:imagedata r:id="rId29" o:title=""/>
          </v:shape>
          <o:OLEObject Type="Embed" ProgID="Equation.3" ShapeID="_x0000_i1026" DrawAspect="Content" ObjectID="_1643192526" r:id="rId30"/>
        </w:object>
      </w:r>
    </w:p>
    <w:p>
      <w:pPr>
        <w:pStyle w:val="ySubsection"/>
      </w:pPr>
      <w:r>
        <w:tab/>
      </w:r>
      <w:r>
        <w:tab/>
        <w:t>where — </w:t>
      </w:r>
    </w:p>
    <w:p>
      <w:pPr>
        <w:pStyle w:val="yIndenta"/>
        <w:rPr>
          <w:snapToGrid w:val="0"/>
        </w:rPr>
      </w:pPr>
      <w:r>
        <w:rPr>
          <w:snapToGrid w:val="0"/>
        </w:rPr>
        <w:tab/>
        <w:t xml:space="preserve">C </w:t>
      </w:r>
      <w:r>
        <w:rPr>
          <w:snapToGrid w:val="0"/>
        </w:rPr>
        <w:tab/>
        <w:t>is the amount of the pre-determined credit charge or estimated credit charge; and</w:t>
      </w:r>
    </w:p>
    <w:p>
      <w:pPr>
        <w:pStyle w:val="yIndenta"/>
        <w:rPr>
          <w:snapToGrid w:val="0"/>
        </w:rPr>
      </w:pPr>
      <w:r>
        <w:rPr>
          <w:snapToGrid w:val="0"/>
        </w:rPr>
        <w:tab/>
        <w:t>E</w:t>
      </w:r>
      <w:r>
        <w:rPr>
          <w:snapToGrid w:val="0"/>
        </w:rPr>
        <w:tab/>
        <w:t>is the number of intervals between instalments (including a part of an interval as a whole interval) which has elapsed since the amount financed was provided under the contract; and</w:t>
      </w:r>
    </w:p>
    <w:p>
      <w:pPr>
        <w:pStyle w:val="yIndenta"/>
        <w:rPr>
          <w:snapToGrid w:val="0"/>
        </w:rPr>
      </w:pPr>
      <w:r>
        <w:rPr>
          <w:snapToGrid w:val="0"/>
        </w:rPr>
        <w:tab/>
        <w:t xml:space="preserve">T </w:t>
      </w:r>
      <w:r>
        <w:rPr>
          <w:snapToGrid w:val="0"/>
        </w:rPr>
        <w:tab/>
        <w:t>is the number of intervals between instalments (excluding a part of an interval) in the period of the contract.</w:t>
      </w:r>
    </w:p>
    <w:p>
      <w:pPr>
        <w:pStyle w:val="ySubsection"/>
        <w:keepNext/>
        <w:rPr>
          <w:snapToGrid w:val="0"/>
        </w:rPr>
      </w:pPr>
      <w:r>
        <w:rPr>
          <w:snapToGrid w:val="0"/>
        </w:rPr>
        <w:t>3.</w:t>
      </w:r>
      <w:r>
        <w:rPr>
          <w:snapToGrid w:val="0"/>
        </w:rPr>
        <w:tab/>
      </w:r>
      <w:r>
        <w:rPr>
          <w:snapToGrid w:val="0"/>
        </w:rPr>
        <w:tab/>
        <w:t>For the purposes</w:t>
      </w:r>
      <w:bookmarkStart w:id="331" w:name="RuleErr_32"/>
      <w:r>
        <w:rPr>
          <w:snapToGrid w:val="0"/>
        </w:rPr>
        <w:t xml:space="preserve"> of this Schedule</w:t>
      </w:r>
      <w:bookmarkEnd w:id="331"/>
      <w:r>
        <w:rPr>
          <w:snapToGrid w:val="0"/>
        </w:rPr>
        <w:t> — </w:t>
      </w:r>
    </w:p>
    <w:p>
      <w:pPr>
        <w:pStyle w:val="yIndenta"/>
        <w:rPr>
          <w:snapToGrid w:val="0"/>
        </w:rPr>
      </w:pPr>
      <w:r>
        <w:rPr>
          <w:snapToGrid w:val="0"/>
        </w:rPr>
        <w:tab/>
        <w:t>(a)</w:t>
      </w:r>
      <w:r>
        <w:rPr>
          <w:snapToGrid w:val="0"/>
        </w:rPr>
        <w:tab/>
        <w:t>instalments shall be deemed to be equal if all the instalments except one are of the same amount and the difference between the amount of that one instalment and the amount of each of the other instalments is not more than $5 or 5% of the amount of each of the other instalments whichever is the greater; and</w:t>
      </w:r>
    </w:p>
    <w:p>
      <w:pPr>
        <w:pStyle w:val="yIndenta"/>
        <w:rPr>
          <w:snapToGrid w:val="0"/>
        </w:rPr>
      </w:pPr>
      <w:r>
        <w:rPr>
          <w:snapToGrid w:val="0"/>
        </w:rPr>
        <w:tab/>
        <w:t>(b)</w:t>
      </w:r>
      <w:r>
        <w:rPr>
          <w:snapToGrid w:val="0"/>
        </w:rPr>
        <w:tab/>
        <w:t>monthly intervals shall be deemed to be equal intervals; and</w:t>
      </w:r>
    </w:p>
    <w:p>
      <w:pPr>
        <w:pStyle w:val="yIndenta"/>
        <w:rPr>
          <w:snapToGrid w:val="0"/>
        </w:rPr>
      </w:pPr>
      <w:r>
        <w:rPr>
          <w:snapToGrid w:val="0"/>
        </w:rPr>
        <w:tab/>
        <w:t>(c)</w:t>
      </w:r>
      <w:r>
        <w:rPr>
          <w:snapToGrid w:val="0"/>
        </w:rPr>
        <w:tab/>
        <w:t>intervals shall be deemed to be equal if all the intervals except one are of the same length and the difference between the length of that one interval and the length of each of the other intervals is not more than 5% of the length of each of the other intervals.</w:t>
      </w:r>
    </w:p>
    <w:p>
      <w:pPr>
        <w:pStyle w:val="yScheduleHeading"/>
        <w:outlineLvl w:val="0"/>
      </w:pPr>
      <w:bookmarkStart w:id="332" w:name="_Toc378152734"/>
      <w:bookmarkStart w:id="333" w:name="_Toc392496658"/>
      <w:r>
        <w:rPr>
          <w:rStyle w:val="CharSchNo"/>
        </w:rPr>
        <w:t>Schedule 2</w:t>
      </w:r>
      <w:r>
        <w:t> — </w:t>
      </w:r>
      <w:r>
        <w:rPr>
          <w:rStyle w:val="CharSchText"/>
        </w:rPr>
        <w:t>Statement of amount financed in relation to credit sale contract</w:t>
      </w:r>
      <w:bookmarkEnd w:id="332"/>
      <w:bookmarkEnd w:id="333"/>
    </w:p>
    <w:p>
      <w:pPr>
        <w:pStyle w:val="yShoulderClause"/>
        <w:spacing w:before="40"/>
        <w:rPr>
          <w:snapToGrid w:val="0"/>
        </w:rPr>
      </w:pPr>
      <w:r>
        <w:rPr>
          <w:snapToGrid w:val="0"/>
        </w:rPr>
        <w:t>[s. 35]</w:t>
      </w:r>
    </w:p>
    <w:p>
      <w:pPr>
        <w:pStyle w:val="yFootnoteheading"/>
        <w:spacing w:before="60"/>
        <w:rPr>
          <w:snapToGrid w:val="0"/>
        </w:rPr>
      </w:pPr>
      <w:r>
        <w:tab/>
        <w:t>[Heading amended by No. 19 of 2010 s. 4.]</w:t>
      </w:r>
    </w:p>
    <w:p>
      <w:pPr>
        <w:pStyle w:val="ySubsection"/>
        <w:rPr>
          <w:snapToGrid w:val="0"/>
        </w:rPr>
      </w:pPr>
      <w:r>
        <w:rPr>
          <w:snapToGrid w:val="0"/>
        </w:rPr>
        <w:t>1.</w:t>
      </w:r>
      <w:r>
        <w:rPr>
          <w:snapToGrid w:val="0"/>
        </w:rPr>
        <w:tab/>
      </w:r>
      <w:r>
        <w:rPr>
          <w:snapToGrid w:val="0"/>
        </w:rPr>
        <w:tab/>
        <w:t>A statement of the amount financed shall state — </w:t>
      </w:r>
    </w:p>
    <w:p>
      <w:pPr>
        <w:pStyle w:val="yIndenta"/>
        <w:spacing w:before="70"/>
        <w:rPr>
          <w:snapToGrid w:val="0"/>
        </w:rPr>
      </w:pPr>
      <w:r>
        <w:rPr>
          <w:snapToGrid w:val="0"/>
        </w:rPr>
        <w:tab/>
        <w:t>(a)</w:t>
      </w:r>
      <w:r>
        <w:rPr>
          <w:snapToGrid w:val="0"/>
        </w:rPr>
        <w:tab/>
        <w:t>the amount (if any) paid for provided, or to be paid or provided, by way of deposit, showing separately the amounts paid or to be paid in money, the amounts provided or to be provided by a consideration other than money, and the amount included in the deposit on account of a trade</w:t>
      </w:r>
      <w:r>
        <w:rPr>
          <w:snapToGrid w:val="0"/>
        </w:rPr>
        <w:noBreakHyphen/>
        <w:t>in allowance (if any) and the person by whom the trade</w:t>
      </w:r>
      <w:r>
        <w:rPr>
          <w:snapToGrid w:val="0"/>
        </w:rPr>
        <w:noBreakHyphen/>
        <w:t>in allowance was given; and</w:t>
      </w:r>
    </w:p>
    <w:p>
      <w:pPr>
        <w:pStyle w:val="yIndenta"/>
        <w:spacing w:before="70"/>
        <w:rPr>
          <w:snapToGrid w:val="0"/>
        </w:rPr>
      </w:pPr>
      <w:r>
        <w:rPr>
          <w:snapToGrid w:val="0"/>
        </w:rPr>
        <w:tab/>
        <w:t>(b)</w:t>
      </w:r>
      <w:r>
        <w:rPr>
          <w:snapToGrid w:val="0"/>
        </w:rPr>
        <w:tab/>
        <w:t>the cash price of the goods or services; and</w:t>
      </w:r>
    </w:p>
    <w:p>
      <w:pPr>
        <w:pStyle w:val="yIndenta"/>
        <w:spacing w:before="70"/>
        <w:rPr>
          <w:snapToGrid w:val="0"/>
        </w:rPr>
      </w:pPr>
      <w:r>
        <w:rPr>
          <w:snapToGrid w:val="0"/>
        </w:rPr>
        <w:tab/>
        <w:t>(c)</w:t>
      </w:r>
      <w:r>
        <w:rPr>
          <w:snapToGrid w:val="0"/>
        </w:rPr>
        <w:tab/>
        <w:t xml:space="preserve">the balance of the cash price after deduction of the amount (if any) paid or provided, or to be paid or provided, by way of deposit, </w:t>
      </w:r>
    </w:p>
    <w:p>
      <w:pPr>
        <w:pStyle w:val="ySubsection"/>
        <w:spacing w:before="80"/>
        <w:rPr>
          <w:snapToGrid w:val="0"/>
        </w:rPr>
      </w:pPr>
      <w:r>
        <w:rPr>
          <w:snapToGrid w:val="0"/>
        </w:rPr>
        <w:tab/>
      </w:r>
      <w:r>
        <w:rPr>
          <w:snapToGrid w:val="0"/>
        </w:rPr>
        <w:tab/>
        <w:t>and shall include statements showing separately such amounts (not being amounts included in paragraph (a) or (b)) as, under the contract, are payable by the debtor to the credit provider (otherwise than as part of the credit charge) whether or not the credit provider pays, or has paid, those amounts to another person and are — </w:t>
      </w:r>
    </w:p>
    <w:p>
      <w:pPr>
        <w:pStyle w:val="yIndenta"/>
        <w:rPr>
          <w:snapToGrid w:val="0"/>
        </w:rPr>
      </w:pPr>
      <w:r>
        <w:rPr>
          <w:snapToGrid w:val="0"/>
        </w:rPr>
        <w:tab/>
        <w:t>(d)</w:t>
      </w:r>
      <w:r>
        <w:rPr>
          <w:snapToGrid w:val="0"/>
        </w:rPr>
        <w:tab/>
        <w:t>where the contract relates to goods, amounts payable in respect of — </w:t>
      </w:r>
    </w:p>
    <w:p>
      <w:pPr>
        <w:rPr>
          <w:snapToGrid w:val="0"/>
        </w:rPr>
      </w:pPr>
      <w:r>
        <w:rPr>
          <w:snapToGrid w:val="0"/>
        </w:rPr>
        <w:tab/>
        <w:t>(i)</w:t>
      </w:r>
      <w:r>
        <w:rPr>
          <w:snapToGrid w:val="0"/>
        </w:rPr>
        <w:tab/>
        <w:t>charges for installation of the goods; or</w:t>
      </w:r>
    </w:p>
    <w:p>
      <w:pPr>
        <w:rPr>
          <w:snapToGrid w:val="0"/>
        </w:rPr>
      </w:pPr>
      <w:r>
        <w:rPr>
          <w:snapToGrid w:val="0"/>
        </w:rPr>
        <w:tab/>
        <w:t>(ii)</w:t>
      </w:r>
      <w:r>
        <w:rPr>
          <w:snapToGrid w:val="0"/>
        </w:rPr>
        <w:tab/>
        <w:t>charges for maintenance of the goods; or</w:t>
      </w:r>
    </w:p>
    <w:p>
      <w:pPr>
        <w:rPr>
          <w:snapToGrid w:val="0"/>
        </w:rPr>
      </w:pPr>
      <w:r>
        <w:rPr>
          <w:snapToGrid w:val="0"/>
        </w:rPr>
        <w:tab/>
        <w:t>(iii)</w:t>
      </w:r>
      <w:r>
        <w:rPr>
          <w:snapToGrid w:val="0"/>
        </w:rPr>
        <w:tab/>
        <w:t>charges for delivery of the goods to the debtor; or</w:t>
      </w:r>
    </w:p>
    <w:p>
      <w:pPr>
        <w:rPr>
          <w:snapToGrid w:val="0"/>
        </w:rPr>
      </w:pPr>
      <w:r>
        <w:rPr>
          <w:snapToGrid w:val="0"/>
        </w:rPr>
        <w:tab/>
        <w:t>(iv)</w:t>
      </w:r>
      <w:r>
        <w:rPr>
          <w:snapToGrid w:val="0"/>
        </w:rPr>
        <w:tab/>
        <w:t>where the goods are, or include, a motor vehicle, boat or other vehicle or thing required to be registered or licensed, registration fees and (unless included in the statement under paragraph (e)) amounts payable in respect of compulsory insurance;</w:t>
      </w:r>
    </w:p>
    <w:p>
      <w:pPr>
        <w:pStyle w:val="yIndenta"/>
        <w:rPr>
          <w:snapToGrid w:val="0"/>
        </w:rPr>
      </w:pPr>
      <w:r>
        <w:rPr>
          <w:snapToGrid w:val="0"/>
        </w:rPr>
        <w:tab/>
        <w:t>(e)</w:t>
      </w:r>
      <w:r>
        <w:rPr>
          <w:snapToGrid w:val="0"/>
        </w:rPr>
        <w:tab/>
        <w:t>amounts payable in respect of contracts of insurance (if any) entered into in relation to, the contract, showing separately, in respect of each such contract the name of the insurer and — </w:t>
      </w:r>
    </w:p>
    <w:p>
      <w:pPr>
        <w:rPr>
          <w:snapToGrid w:val="0"/>
        </w:rPr>
      </w:pPr>
      <w:r>
        <w:rPr>
          <w:snapToGrid w:val="0"/>
        </w:rPr>
        <w:tab/>
        <w:t>(i)</w:t>
      </w:r>
      <w:r>
        <w:rPr>
          <w:snapToGrid w:val="0"/>
        </w:rPr>
        <w:tab/>
        <w:t>where the contract relates to goods that, are, or include, a motor vehicle, boat or other vehicle or thing required to be registered or licensed, amounts so payable in respect of compulsory insurance (unless those amounts are included in a statement under paragraph (d)); and</w:t>
      </w:r>
    </w:p>
    <w:p>
      <w:pPr>
        <w:rPr>
          <w:snapToGrid w:val="0"/>
        </w:rPr>
      </w:pPr>
      <w:r>
        <w:rPr>
          <w:snapToGrid w:val="0"/>
        </w:rPr>
        <w:tab/>
        <w:t>(ii)</w:t>
      </w:r>
      <w:r>
        <w:rPr>
          <w:snapToGrid w:val="0"/>
        </w:rPr>
        <w:tab/>
        <w:t>where there is a mortgage relating to the contract, amounts so payable in respect of insurance of property subject to the mortgage (other than compulsory insurance included in the statement under subparagraph (i) or under paragraph (d)); and</w:t>
      </w:r>
    </w:p>
    <w:p>
      <w:pPr>
        <w:rPr>
          <w:snapToGrid w:val="0"/>
        </w:rPr>
      </w:pPr>
      <w:r>
        <w:rPr>
          <w:snapToGrid w:val="0"/>
        </w:rPr>
        <w:tab/>
        <w:t>(iii)</w:t>
      </w:r>
      <w:r>
        <w:rPr>
          <w:snapToGrid w:val="0"/>
        </w:rPr>
        <w:tab/>
        <w:t>where there is a mortgage relating to the contract, amounts so payable in respect of insurance against loss of the security interest of the mortgagee in any goods subject to the mortgage by reason of any Act; and</w:t>
      </w:r>
    </w:p>
    <w:p>
      <w:pPr>
        <w:rPr>
          <w:snapToGrid w:val="0"/>
        </w:rPr>
      </w:pPr>
      <w:r>
        <w:rPr>
          <w:snapToGrid w:val="0"/>
        </w:rPr>
        <w:tab/>
        <w:t>(iv)</w:t>
      </w:r>
      <w:r>
        <w:rPr>
          <w:snapToGrid w:val="0"/>
        </w:rPr>
        <w:tab/>
        <w:t>amounts so payable in respect of insurance against sickness of, accidental injury to, or disability or death of, the debtor or against unemployment of the debtor or, where there is more than one debtor, amounts so payable in respect of such insurance in relation to the debtors; and</w:t>
      </w:r>
    </w:p>
    <w:p>
      <w:pPr>
        <w:rPr>
          <w:snapToGrid w:val="0"/>
        </w:rPr>
      </w:pPr>
      <w:r>
        <w:rPr>
          <w:snapToGrid w:val="0"/>
        </w:rPr>
        <w:tab/>
        <w:t>(v)</w:t>
      </w:r>
      <w:r>
        <w:rPr>
          <w:snapToGrid w:val="0"/>
        </w:rPr>
        <w:tab/>
        <w:t>amounts so payable in respect of life insurance of the debtor or, where there is more than one debtor, amounts so payable in respect of life insurance of the debtors; and</w:t>
      </w:r>
    </w:p>
    <w:p>
      <w:pPr>
        <w:pStyle w:val="yEdnotesubpara"/>
        <w:rPr>
          <w:snapToGrid w:val="0"/>
        </w:rPr>
      </w:pPr>
      <w:r>
        <w:tab/>
      </w:r>
      <w:r>
        <w:rPr>
          <w:snapToGrid w:val="0"/>
        </w:rPr>
        <w:t>[(vi)</w:t>
      </w:r>
      <w:r>
        <w:rPr>
          <w:snapToGrid w:val="0"/>
        </w:rPr>
        <w:tab/>
        <w:t>deleted]</w:t>
      </w:r>
    </w:p>
    <w:p>
      <w:pPr>
        <w:rPr>
          <w:snapToGrid w:val="0"/>
        </w:rPr>
      </w:pPr>
      <w:r>
        <w:rPr>
          <w:snapToGrid w:val="0"/>
        </w:rPr>
        <w:tab/>
        <w:t>(vii)</w:t>
      </w:r>
      <w:r>
        <w:rPr>
          <w:snapToGrid w:val="0"/>
        </w:rPr>
        <w:tab/>
        <w:t>amounts so payable in respect of insurance against loss of profits by the debtor or, where there is more than one debtor, amounts so payable in respect of insurance against loss of profits by the debtors; and</w:t>
      </w:r>
    </w:p>
    <w:p>
      <w:pPr>
        <w:rPr>
          <w:snapToGrid w:val="0"/>
        </w:rPr>
      </w:pPr>
      <w:r>
        <w:rPr>
          <w:snapToGrid w:val="0"/>
        </w:rPr>
        <w:tab/>
        <w:t>(viii)</w:t>
      </w:r>
      <w:r>
        <w:rPr>
          <w:snapToGrid w:val="0"/>
        </w:rPr>
        <w:tab/>
        <w:t>amounts so payable in respect of insurance against such other risks (if any) as are prescribed,</w:t>
      </w:r>
    </w:p>
    <w:p>
      <w:pPr>
        <w:pStyle w:val="yIndenta"/>
        <w:rPr>
          <w:snapToGrid w:val="0"/>
        </w:rPr>
      </w:pPr>
      <w:r>
        <w:rPr>
          <w:snapToGrid w:val="0"/>
        </w:rPr>
        <w:tab/>
      </w:r>
      <w:r>
        <w:rPr>
          <w:snapToGrid w:val="0"/>
        </w:rPr>
        <w:tab/>
        <w:t>or, where an amount is payable in respect of a contract of insurance entered into in relation to the contract relating to one or more of the risks referred to in the preceding subparagraphs — that amount and a statement of the risks to which the amount relates;</w:t>
      </w:r>
    </w:p>
    <w:p>
      <w:pPr>
        <w:pStyle w:val="yIndenta"/>
        <w:keepNext/>
        <w:rPr>
          <w:snapToGrid w:val="0"/>
        </w:rPr>
      </w:pPr>
      <w:r>
        <w:rPr>
          <w:snapToGrid w:val="0"/>
        </w:rPr>
        <w:tab/>
        <w:t>(f)</w:t>
      </w:r>
      <w:r>
        <w:rPr>
          <w:snapToGrid w:val="0"/>
        </w:rPr>
        <w:tab/>
        <w:t>amounts so payable in respect of — </w:t>
      </w:r>
    </w:p>
    <w:p>
      <w:pPr>
        <w:rPr>
          <w:snapToGrid w:val="0"/>
        </w:rPr>
      </w:pPr>
      <w:r>
        <w:rPr>
          <w:snapToGrid w:val="0"/>
        </w:rPr>
        <w:tab/>
        <w:t>(i)</w:t>
      </w:r>
      <w:r>
        <w:rPr>
          <w:snapToGrid w:val="0"/>
        </w:rPr>
        <w:tab/>
        <w:t>stamp duty payable in respect of or in relation to the contract; or</w:t>
      </w:r>
    </w:p>
    <w:p>
      <w:pPr>
        <w:spacing w:before="70"/>
        <w:rPr>
          <w:snapToGrid w:val="0"/>
        </w:rPr>
      </w:pPr>
      <w:r>
        <w:rPr>
          <w:snapToGrid w:val="0"/>
        </w:rPr>
        <w:tab/>
        <w:t>(ii)</w:t>
      </w:r>
      <w:r>
        <w:rPr>
          <w:snapToGrid w:val="0"/>
        </w:rPr>
        <w:tab/>
        <w:t>stamp duty payable in respect of or in relation to any mortgage relating to the contract entered into on or before the relevant date; or</w:t>
      </w:r>
    </w:p>
    <w:p>
      <w:pPr>
        <w:spacing w:before="70"/>
        <w:rPr>
          <w:snapToGrid w:val="0"/>
        </w:rPr>
      </w:pPr>
      <w:r>
        <w:rPr>
          <w:snapToGrid w:val="0"/>
        </w:rPr>
        <w:tab/>
        <w:t>(iii)</w:t>
      </w:r>
      <w:r>
        <w:rPr>
          <w:snapToGrid w:val="0"/>
        </w:rPr>
        <w:tab/>
        <w:t>fees payable to a duly qualified legal practitioner (not being the credit provider or an employee of the credit provider) authorised to prepare documents for the contract or for a mortgage relating to the contract entered into at or before the time of the making of the contract;</w:t>
      </w:r>
    </w:p>
    <w:p>
      <w:pPr>
        <w:pStyle w:val="yIndenta"/>
        <w:spacing w:before="70"/>
        <w:rPr>
          <w:snapToGrid w:val="0"/>
        </w:rPr>
      </w:pPr>
      <w:r>
        <w:rPr>
          <w:snapToGrid w:val="0"/>
        </w:rPr>
        <w:tab/>
        <w:t>(g)</w:t>
      </w:r>
      <w:r>
        <w:rPr>
          <w:snapToGrid w:val="0"/>
        </w:rPr>
        <w:tab/>
        <w:t>amounts that are prescribed charges for the purposes</w:t>
      </w:r>
      <w:bookmarkStart w:id="334" w:name="RuleErr_81"/>
      <w:r>
        <w:rPr>
          <w:snapToGrid w:val="0"/>
        </w:rPr>
        <w:t xml:space="preserve"> of this paragraph</w:t>
      </w:r>
      <w:bookmarkEnd w:id="334"/>
      <w:r>
        <w:rPr>
          <w:snapToGrid w:val="0"/>
        </w:rPr>
        <w:t>;</w:t>
      </w:r>
    </w:p>
    <w:p>
      <w:pPr>
        <w:pStyle w:val="yIndenta"/>
        <w:spacing w:before="70"/>
        <w:rPr>
          <w:snapToGrid w:val="0"/>
        </w:rPr>
      </w:pPr>
      <w:r>
        <w:rPr>
          <w:snapToGrid w:val="0"/>
        </w:rPr>
        <w:tab/>
        <w:t>(h)</w:t>
      </w:r>
      <w:r>
        <w:rPr>
          <w:snapToGrid w:val="0"/>
        </w:rPr>
        <w:tab/>
        <w:t>amounts that are the consideration, or part of the consideration, for the discharge of the liability of the debtor to the credit provider under a contract in force before the relevant date, other than consideration referred to in a preceding paragraph;</w:t>
      </w:r>
    </w:p>
    <w:p>
      <w:pPr>
        <w:pStyle w:val="yIndenta"/>
        <w:spacing w:before="70"/>
        <w:rPr>
          <w:snapToGrid w:val="0"/>
        </w:rPr>
      </w:pPr>
      <w:r>
        <w:rPr>
          <w:snapToGrid w:val="0"/>
        </w:rPr>
        <w:tab/>
        <w:t>(i)</w:t>
      </w:r>
      <w:r>
        <w:rPr>
          <w:snapToGrid w:val="0"/>
        </w:rPr>
        <w:tab/>
        <w:t>amounts payable in respect of the value of any consideration provided by the credit provider to the debtor, being consideration of a kind prescribed for the purposes</w:t>
      </w:r>
      <w:bookmarkStart w:id="335" w:name="RuleErr_82"/>
      <w:r>
        <w:rPr>
          <w:snapToGrid w:val="0"/>
        </w:rPr>
        <w:t xml:space="preserve"> of this paragraph</w:t>
      </w:r>
      <w:bookmarkEnd w:id="335"/>
      <w:r>
        <w:rPr>
          <w:snapToGrid w:val="0"/>
        </w:rPr>
        <w:t>, other than consideration referred to in a preceding paragraph,</w:t>
      </w:r>
    </w:p>
    <w:p>
      <w:pPr>
        <w:pStyle w:val="ySubsection"/>
        <w:spacing w:before="80"/>
        <w:rPr>
          <w:snapToGrid w:val="0"/>
        </w:rPr>
      </w:pPr>
      <w:r>
        <w:rPr>
          <w:snapToGrid w:val="0"/>
        </w:rPr>
        <w:tab/>
      </w:r>
      <w:r>
        <w:rPr>
          <w:snapToGrid w:val="0"/>
        </w:rPr>
        <w:tab/>
        <w:t>and shall state the amount financed, being the sum of the balance of the cash price referred to in paragraph (c) and the total of the amounts referred to in paragraphs (d) to (i).</w:t>
      </w:r>
    </w:p>
    <w:p>
      <w:pPr>
        <w:pStyle w:val="yFootnotesection"/>
        <w:spacing w:before="90"/>
      </w:pPr>
      <w:r>
        <w:tab/>
        <w:t xml:space="preserve">[Clause 1 amended by No. 58 of 1992 s. 7(a)(i) and (ii).] </w:t>
      </w:r>
    </w:p>
    <w:p>
      <w:pPr>
        <w:pStyle w:val="ySubsection"/>
        <w:rPr>
          <w:snapToGrid w:val="0"/>
        </w:rPr>
      </w:pPr>
      <w:r>
        <w:rPr>
          <w:snapToGrid w:val="0"/>
        </w:rPr>
        <w:t>2.</w:t>
      </w:r>
      <w:r>
        <w:rPr>
          <w:snapToGrid w:val="0"/>
        </w:rPr>
        <w:tab/>
      </w:r>
      <w:r>
        <w:rPr>
          <w:snapToGrid w:val="0"/>
        </w:rPr>
        <w:tab/>
        <w:t xml:space="preserve">In clause 1, </w:t>
      </w:r>
      <w:r>
        <w:rPr>
          <w:rStyle w:val="CharDefText"/>
        </w:rPr>
        <w:t>relevant date</w:t>
      </w:r>
      <w:r>
        <w:rPr>
          <w:snapToGrid w:val="0"/>
        </w:rPr>
        <w:t xml:space="preserve"> means the date on which the credit sale contract is entered into or, if the credit sale contract is entered into by the acceptance by the credit provider of an offer made by the debtor, the date on which the offer is made.</w:t>
      </w:r>
    </w:p>
    <w:p>
      <w:pPr>
        <w:pStyle w:val="ySubsection"/>
        <w:rPr>
          <w:snapToGrid w:val="0"/>
        </w:rPr>
      </w:pPr>
      <w:r>
        <w:rPr>
          <w:snapToGrid w:val="0"/>
        </w:rPr>
        <w:t>3.</w:t>
      </w:r>
      <w:r>
        <w:rPr>
          <w:snapToGrid w:val="0"/>
        </w:rPr>
        <w:tab/>
      </w:r>
      <w:r>
        <w:rPr>
          <w:snapToGrid w:val="0"/>
        </w:rPr>
        <w:tab/>
        <w:t>If an amount payable in relation to a contract of life insurance is included in an amount disclosed under clause 1(e)(iv), nothing in this Schedule requires any further disclosure relating to that contract of life insurance.</w:t>
      </w:r>
    </w:p>
    <w:p>
      <w:pPr>
        <w:pStyle w:val="yFootnotesection"/>
        <w:spacing w:before="90"/>
      </w:pPr>
      <w:r>
        <w:tab/>
        <w:t xml:space="preserve">[Clause 3 inserted by No. 58 of 1992 s. 7(a)(iii).] </w:t>
      </w:r>
    </w:p>
    <w:p>
      <w:pPr>
        <w:pStyle w:val="yScheduleHeading"/>
        <w:outlineLvl w:val="0"/>
      </w:pPr>
      <w:bookmarkStart w:id="336" w:name="_Toc378152735"/>
      <w:bookmarkStart w:id="337" w:name="_Toc392496659"/>
      <w:r>
        <w:rPr>
          <w:rStyle w:val="CharSchNo"/>
        </w:rPr>
        <w:t>Schedule 3</w:t>
      </w:r>
      <w:r>
        <w:t> — </w:t>
      </w:r>
      <w:r>
        <w:rPr>
          <w:rStyle w:val="CharSchText"/>
        </w:rPr>
        <w:t>Statement of credit charge in relation to credit sale contract</w:t>
      </w:r>
      <w:bookmarkEnd w:id="336"/>
      <w:bookmarkEnd w:id="337"/>
    </w:p>
    <w:p>
      <w:pPr>
        <w:pStyle w:val="yShoulderClause"/>
        <w:rPr>
          <w:snapToGrid w:val="0"/>
        </w:rPr>
      </w:pPr>
      <w:r>
        <w:rPr>
          <w:snapToGrid w:val="0"/>
        </w:rPr>
        <w:t>[s. 35]</w:t>
      </w:r>
    </w:p>
    <w:p>
      <w:pPr>
        <w:pStyle w:val="yFootnoteheading"/>
        <w:rPr>
          <w:snapToGrid w:val="0"/>
        </w:rPr>
      </w:pPr>
      <w:r>
        <w:tab/>
        <w:t>[Heading amended by No. 19 of 2010 s. 4.]</w:t>
      </w:r>
    </w:p>
    <w:p>
      <w:pPr>
        <w:pStyle w:val="ySubsection"/>
        <w:rPr>
          <w:snapToGrid w:val="0"/>
        </w:rPr>
      </w:pPr>
      <w:r>
        <w:rPr>
          <w:snapToGrid w:val="0"/>
        </w:rPr>
        <w:t>1.</w:t>
      </w:r>
      <w:r>
        <w:rPr>
          <w:snapToGrid w:val="0"/>
        </w:rPr>
        <w:tab/>
      </w:r>
      <w:r>
        <w:rPr>
          <w:snapToGrid w:val="0"/>
        </w:rPr>
        <w:tab/>
        <w:t>A statement in a credit sale contract of the credit charge — </w:t>
      </w:r>
    </w:p>
    <w:p>
      <w:pPr>
        <w:pStyle w:val="yIndenta"/>
        <w:rPr>
          <w:snapToGrid w:val="0"/>
        </w:rPr>
      </w:pPr>
      <w:r>
        <w:rPr>
          <w:snapToGrid w:val="0"/>
        </w:rPr>
        <w:tab/>
        <w:t>(a)</w:t>
      </w:r>
      <w:r>
        <w:rPr>
          <w:snapToGrid w:val="0"/>
        </w:rPr>
        <w:tab/>
        <w:t>shall, where at the relevant date it is possible to express the whole or any part of the credit charge as an amount of money, state separately — </w:t>
      </w:r>
    </w:p>
    <w:p>
      <w:pPr>
        <w:rPr>
          <w:snapToGrid w:val="0"/>
        </w:rPr>
      </w:pPr>
      <w:r>
        <w:rPr>
          <w:snapToGrid w:val="0"/>
        </w:rPr>
        <w:tab/>
        <w:t>(i)</w:t>
      </w:r>
      <w:r>
        <w:rPr>
          <w:snapToGrid w:val="0"/>
        </w:rPr>
        <w:tab/>
        <w:t>the amount of the minimum credit charge (if any); and</w:t>
      </w:r>
    </w:p>
    <w:p>
      <w:pPr>
        <w:rPr>
          <w:snapToGrid w:val="0"/>
        </w:rPr>
      </w:pPr>
      <w:r>
        <w:rPr>
          <w:snapToGrid w:val="0"/>
        </w:rPr>
        <w:tab/>
        <w:t>(ii)</w:t>
      </w:r>
      <w:r>
        <w:rPr>
          <w:snapToGrid w:val="0"/>
        </w:rPr>
        <w:tab/>
        <w:t>the amount of the pre</w:t>
      </w:r>
      <w:r>
        <w:rPr>
          <w:snapToGrid w:val="0"/>
        </w:rPr>
        <w:noBreakHyphen/>
        <w:t>determined credit charge (if any); and</w:t>
      </w:r>
    </w:p>
    <w:p>
      <w:pPr>
        <w:rPr>
          <w:snapToGrid w:val="0"/>
        </w:rPr>
      </w:pPr>
      <w:r>
        <w:rPr>
          <w:snapToGrid w:val="0"/>
        </w:rPr>
        <w:tab/>
        <w:t>(iii)</w:t>
      </w:r>
      <w:r>
        <w:rPr>
          <w:snapToGrid w:val="0"/>
        </w:rPr>
        <w:tab/>
        <w:t xml:space="preserve">the amount of the estimated credit charge (if any) that can be so expressed at the relevant date;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shall, where at the relevant date it is not possible to express the whole of the credit charge as an amount of money — </w:t>
      </w:r>
    </w:p>
    <w:p>
      <w:pPr>
        <w:rPr>
          <w:snapToGrid w:val="0"/>
        </w:rPr>
      </w:pPr>
      <w:r>
        <w:rPr>
          <w:snapToGrid w:val="0"/>
        </w:rPr>
        <w:tab/>
        <w:t>(i)</w:t>
      </w:r>
      <w:r>
        <w:rPr>
          <w:snapToGrid w:val="0"/>
        </w:rPr>
        <w:tab/>
        <w:t>state the method by which the amount of the estimated credit charge that cannot be so expressed is to be ascertained; and</w:t>
      </w:r>
    </w:p>
    <w:p>
      <w:pPr>
        <w:rPr>
          <w:snapToGrid w:val="0"/>
        </w:rPr>
      </w:pPr>
      <w:r>
        <w:rPr>
          <w:snapToGrid w:val="0"/>
        </w:rPr>
        <w:tab/>
        <w:t>(ii)</w:t>
      </w:r>
      <w:r>
        <w:rPr>
          <w:snapToGrid w:val="0"/>
        </w:rPr>
        <w:tab/>
        <w:t xml:space="preserve">include a statement that it is not possible at the relevant date to express the whole of the credit charge as an amount of money; </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shall include a statement that no part of the credit charge (other than the minimum credit charge (if any)) becomes due and payable unless it is an accrued credit charge.</w:t>
      </w:r>
    </w:p>
    <w:p>
      <w:pPr>
        <w:pStyle w:val="ySubsection"/>
        <w:rPr>
          <w:snapToGrid w:val="0"/>
        </w:rPr>
      </w:pPr>
      <w:r>
        <w:rPr>
          <w:snapToGrid w:val="0"/>
        </w:rPr>
        <w:t>2.</w:t>
      </w:r>
      <w:r>
        <w:rPr>
          <w:snapToGrid w:val="0"/>
        </w:rPr>
        <w:tab/>
      </w:r>
      <w:r>
        <w:rPr>
          <w:snapToGrid w:val="0"/>
        </w:rPr>
        <w:tab/>
        <w:t xml:space="preserve">In clause 1, </w:t>
      </w:r>
      <w:r>
        <w:rPr>
          <w:rStyle w:val="CharDefText"/>
        </w:rPr>
        <w:t>relevant date</w:t>
      </w:r>
      <w:r>
        <w:rPr>
          <w:snapToGrid w:val="0"/>
        </w:rPr>
        <w:t xml:space="preserve"> means the date on which the credit sale contract is entered into or, if the credit sale contract is entered into by the acceptance by the credit provider of an offer made by the debtor, the date on which the offer is made.</w:t>
      </w:r>
    </w:p>
    <w:p>
      <w:pPr>
        <w:pStyle w:val="yScheduleHeading"/>
        <w:outlineLvl w:val="0"/>
      </w:pPr>
      <w:bookmarkStart w:id="338" w:name="_Toc378152736"/>
      <w:bookmarkStart w:id="339" w:name="_Toc392496660"/>
      <w:r>
        <w:rPr>
          <w:rStyle w:val="CharSchNo"/>
        </w:rPr>
        <w:t>Schedule 4</w:t>
      </w:r>
      <w:r>
        <w:t> — </w:t>
      </w:r>
      <w:r>
        <w:rPr>
          <w:rStyle w:val="CharSchText"/>
        </w:rPr>
        <w:t>Statement of amount financed in relation to loan contract</w:t>
      </w:r>
      <w:bookmarkEnd w:id="338"/>
      <w:bookmarkEnd w:id="339"/>
    </w:p>
    <w:p>
      <w:pPr>
        <w:pStyle w:val="yShoulderClause"/>
        <w:rPr>
          <w:snapToGrid w:val="0"/>
        </w:rPr>
      </w:pPr>
      <w:r>
        <w:rPr>
          <w:snapToGrid w:val="0"/>
        </w:rPr>
        <w:t>[s. 36]</w:t>
      </w:r>
    </w:p>
    <w:p>
      <w:pPr>
        <w:pStyle w:val="yFootnoteheading"/>
        <w:rPr>
          <w:snapToGrid w:val="0"/>
        </w:rPr>
      </w:pPr>
      <w:r>
        <w:tab/>
        <w:t>[Heading amended by No. 19 of 2010 s. 4.]</w:t>
      </w:r>
    </w:p>
    <w:p>
      <w:pPr>
        <w:pStyle w:val="ySubsection"/>
        <w:rPr>
          <w:snapToGrid w:val="0"/>
        </w:rPr>
      </w:pPr>
      <w:r>
        <w:rPr>
          <w:snapToGrid w:val="0"/>
        </w:rPr>
        <w:t>1.</w:t>
      </w:r>
      <w:r>
        <w:rPr>
          <w:snapToGrid w:val="0"/>
        </w:rPr>
        <w:tab/>
      </w:r>
      <w:r>
        <w:rPr>
          <w:snapToGrid w:val="0"/>
        </w:rPr>
        <w:tab/>
        <w:t>A statement of the amount financed shall state — </w:t>
      </w:r>
    </w:p>
    <w:p>
      <w:pPr>
        <w:pStyle w:val="yIndenta"/>
        <w:rPr>
          <w:snapToGrid w:val="0"/>
        </w:rPr>
      </w:pPr>
      <w:r>
        <w:rPr>
          <w:snapToGrid w:val="0"/>
        </w:rPr>
        <w:tab/>
        <w:t>(a)</w:t>
      </w:r>
      <w:r>
        <w:rPr>
          <w:snapToGrid w:val="0"/>
        </w:rPr>
        <w:tab/>
        <w:t>the amount agreed under the contract to be lent (other than amounts referred to in paragraphs (b) to (f)) — </w:t>
      </w:r>
    </w:p>
    <w:p>
      <w:pPr>
        <w:pStyle w:val="ySubsection"/>
        <w:rPr>
          <w:snapToGrid w:val="0"/>
        </w:rPr>
      </w:pPr>
      <w:r>
        <w:rPr>
          <w:snapToGrid w:val="0"/>
        </w:rPr>
        <w:tab/>
      </w:r>
      <w:r>
        <w:rPr>
          <w:snapToGrid w:val="0"/>
        </w:rPr>
        <w:tab/>
        <w:t>and shall include statements showing separately such amounts as, under the contract, are payable by the debtor to the credit provider (otherwise than as part of the credit charge) whether or not the credit provider pays, or has paid, those amounts to another person and are —</w:t>
      </w:r>
    </w:p>
    <w:p>
      <w:pPr>
        <w:pStyle w:val="yIndenta"/>
        <w:rPr>
          <w:snapToGrid w:val="0"/>
        </w:rPr>
      </w:pPr>
      <w:r>
        <w:rPr>
          <w:snapToGrid w:val="0"/>
        </w:rPr>
        <w:tab/>
        <w:t>(b)</w:t>
      </w:r>
      <w:r>
        <w:rPr>
          <w:snapToGrid w:val="0"/>
        </w:rPr>
        <w:tab/>
        <w:t>amounts payable in respect of contracts of insurance (if any), entered into in relation to the contract showing separately in respect of each contract the name of the insurer and — </w:t>
      </w:r>
    </w:p>
    <w:p>
      <w:pPr>
        <w:rPr>
          <w:snapToGrid w:val="0"/>
        </w:rPr>
      </w:pPr>
      <w:r>
        <w:rPr>
          <w:snapToGrid w:val="0"/>
        </w:rPr>
        <w:tab/>
        <w:t>(i)</w:t>
      </w:r>
      <w:r>
        <w:rPr>
          <w:snapToGrid w:val="0"/>
        </w:rPr>
        <w:tab/>
        <w:t>where there is a mortgage relating to the contract, amounts so payable in respect of insurance of property subject to the mortgage; and</w:t>
      </w:r>
    </w:p>
    <w:p>
      <w:pPr>
        <w:rPr>
          <w:snapToGrid w:val="0"/>
        </w:rPr>
      </w:pPr>
      <w:r>
        <w:rPr>
          <w:snapToGrid w:val="0"/>
        </w:rPr>
        <w:tab/>
        <w:t>(ii)</w:t>
      </w:r>
      <w:r>
        <w:rPr>
          <w:snapToGrid w:val="0"/>
        </w:rPr>
        <w:tab/>
        <w:t>where there is a mortgage relating to the contract, amounts so payable in respect of insurance against loss of the security interest of the mortgagee in any goods subject to the mortgage by reason of any Act; and</w:t>
      </w:r>
    </w:p>
    <w:p>
      <w:pPr>
        <w:rPr>
          <w:snapToGrid w:val="0"/>
        </w:rPr>
      </w:pPr>
      <w:r>
        <w:rPr>
          <w:snapToGrid w:val="0"/>
        </w:rPr>
        <w:tab/>
        <w:t>(iii)</w:t>
      </w:r>
      <w:r>
        <w:rPr>
          <w:snapToGrid w:val="0"/>
        </w:rPr>
        <w:tab/>
        <w:t>amounts so payable in respect of insurance against sickness of, accidental injury to, or disability or death of, the debtor or against unemployment of the debtor, or, where there is more than one debtor, amounts so payable in respect of such insurance in relation to the debtors; and</w:t>
      </w:r>
    </w:p>
    <w:p>
      <w:pPr>
        <w:rPr>
          <w:snapToGrid w:val="0"/>
        </w:rPr>
      </w:pPr>
      <w:r>
        <w:rPr>
          <w:snapToGrid w:val="0"/>
        </w:rPr>
        <w:tab/>
        <w:t>(iv)</w:t>
      </w:r>
      <w:r>
        <w:rPr>
          <w:snapToGrid w:val="0"/>
        </w:rPr>
        <w:tab/>
        <w:t>amounts so payable in respect of life insurance of the debtor or, where there is more than one debtor, amounts so payable in respect of life insurance of the debtors; and</w:t>
      </w:r>
    </w:p>
    <w:p>
      <w:pPr>
        <w:pStyle w:val="yEdnotesubpara"/>
        <w:rPr>
          <w:snapToGrid w:val="0"/>
        </w:rPr>
      </w:pPr>
      <w:r>
        <w:rPr>
          <w:snapToGrid w:val="0"/>
        </w:rPr>
        <w:tab/>
        <w:t>[(v)</w:t>
      </w:r>
      <w:r>
        <w:rPr>
          <w:snapToGrid w:val="0"/>
        </w:rPr>
        <w:tab/>
        <w:t>deleted]</w:t>
      </w:r>
    </w:p>
    <w:p>
      <w:pPr>
        <w:rPr>
          <w:snapToGrid w:val="0"/>
        </w:rPr>
      </w:pPr>
      <w:r>
        <w:rPr>
          <w:snapToGrid w:val="0"/>
        </w:rPr>
        <w:tab/>
        <w:t>(vi)</w:t>
      </w:r>
      <w:r>
        <w:rPr>
          <w:snapToGrid w:val="0"/>
        </w:rPr>
        <w:tab/>
        <w:t>amounts so payable in respect of insurance against loss of profits by the debtor or, where there is more than one debtor, amounts so payable in respect of insurance against loss of profits by the debtors; and</w:t>
      </w:r>
    </w:p>
    <w:p>
      <w:pPr>
        <w:rPr>
          <w:snapToGrid w:val="0"/>
        </w:rPr>
      </w:pPr>
      <w:r>
        <w:rPr>
          <w:snapToGrid w:val="0"/>
        </w:rPr>
        <w:tab/>
        <w:t>(vii)</w:t>
      </w:r>
      <w:r>
        <w:rPr>
          <w:snapToGrid w:val="0"/>
        </w:rPr>
        <w:tab/>
        <w:t>amounts so payable in respect of insurance against such other risks (in any) as are prescribed,</w:t>
      </w:r>
    </w:p>
    <w:p>
      <w:pPr>
        <w:pStyle w:val="yIndenta"/>
        <w:rPr>
          <w:snapToGrid w:val="0"/>
        </w:rPr>
      </w:pPr>
      <w:r>
        <w:rPr>
          <w:snapToGrid w:val="0"/>
        </w:rPr>
        <w:tab/>
      </w:r>
      <w:r>
        <w:rPr>
          <w:snapToGrid w:val="0"/>
        </w:rPr>
        <w:tab/>
        <w:t>or where an amount is payable in respect of a contract of insurance entered into in relation to the contract relating to one or more of the risks referred to in the preceding subparagraphs — that amount and a statement of the risks to which the amount relates; and</w:t>
      </w:r>
    </w:p>
    <w:p>
      <w:pPr>
        <w:pStyle w:val="yIndenta"/>
        <w:rPr>
          <w:snapToGrid w:val="0"/>
        </w:rPr>
      </w:pPr>
      <w:r>
        <w:rPr>
          <w:snapToGrid w:val="0"/>
        </w:rPr>
        <w:tab/>
        <w:t>(c)</w:t>
      </w:r>
      <w:r>
        <w:rPr>
          <w:snapToGrid w:val="0"/>
        </w:rPr>
        <w:tab/>
        <w:t>amounts payable in respect of — </w:t>
      </w:r>
    </w:p>
    <w:p>
      <w:pPr>
        <w:rPr>
          <w:snapToGrid w:val="0"/>
        </w:rPr>
      </w:pPr>
      <w:r>
        <w:rPr>
          <w:snapToGrid w:val="0"/>
        </w:rPr>
        <w:tab/>
        <w:t>(i)</w:t>
      </w:r>
      <w:r>
        <w:rPr>
          <w:snapToGrid w:val="0"/>
        </w:rPr>
        <w:tab/>
        <w:t>stamp duty payable in respect of or in relation to the contract; or</w:t>
      </w:r>
    </w:p>
    <w:p>
      <w:pPr>
        <w:rPr>
          <w:snapToGrid w:val="0"/>
        </w:rPr>
      </w:pPr>
      <w:r>
        <w:rPr>
          <w:snapToGrid w:val="0"/>
        </w:rPr>
        <w:tab/>
        <w:t>(ii)</w:t>
      </w:r>
      <w:r>
        <w:rPr>
          <w:snapToGrid w:val="0"/>
        </w:rPr>
        <w:tab/>
        <w:t>stamp duty payable in respect of or in relation to any mortgage relating to the contract entered into on or before the relevant date; or</w:t>
      </w:r>
    </w:p>
    <w:p>
      <w:pPr>
        <w:rPr>
          <w:snapToGrid w:val="0"/>
        </w:rPr>
      </w:pPr>
      <w:r>
        <w:rPr>
          <w:snapToGrid w:val="0"/>
        </w:rPr>
        <w:tab/>
        <w:t>(iii)</w:t>
      </w:r>
      <w:r>
        <w:rPr>
          <w:snapToGrid w:val="0"/>
        </w:rPr>
        <w:tab/>
        <w:t>fees payable to a duly qualified legal practitioner (not being the credit provider or an employee of the credit provider) authorised to prepare documents for the contract or for a mortgage relating to the contract entered into at or before the time of the making of the contract;</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amounts that are prescribed charges for the purposes</w:t>
      </w:r>
      <w:bookmarkStart w:id="340" w:name="RuleErr_83"/>
      <w:r>
        <w:rPr>
          <w:snapToGrid w:val="0"/>
        </w:rPr>
        <w:t xml:space="preserve"> of this paragraph</w:t>
      </w:r>
      <w:bookmarkEnd w:id="340"/>
      <w:r>
        <w:rPr>
          <w:snapToGrid w:val="0"/>
        </w:rPr>
        <w:t>; and</w:t>
      </w:r>
    </w:p>
    <w:p>
      <w:pPr>
        <w:pStyle w:val="yIndenta"/>
        <w:rPr>
          <w:snapToGrid w:val="0"/>
        </w:rPr>
      </w:pPr>
      <w:r>
        <w:rPr>
          <w:snapToGrid w:val="0"/>
        </w:rPr>
        <w:tab/>
        <w:t>(e)</w:t>
      </w:r>
      <w:r>
        <w:rPr>
          <w:snapToGrid w:val="0"/>
        </w:rPr>
        <w:tab/>
        <w:t>amounts that are the consideration, or part of the consideration, for the discharge of the liability of the debtor to the credit provider under a contract in force before the relevant date, other than consideration referred to in a preceding paragraph; and</w:t>
      </w:r>
    </w:p>
    <w:p>
      <w:pPr>
        <w:pStyle w:val="yIndenta"/>
        <w:rPr>
          <w:snapToGrid w:val="0"/>
        </w:rPr>
      </w:pPr>
      <w:r>
        <w:rPr>
          <w:snapToGrid w:val="0"/>
        </w:rPr>
        <w:tab/>
        <w:t>(f)</w:t>
      </w:r>
      <w:r>
        <w:rPr>
          <w:snapToGrid w:val="0"/>
        </w:rPr>
        <w:tab/>
        <w:t>amounts payable in respect of the value of any consideration provided by the credit provider to the debtor, being consideration of a kind prescribed for the purposes</w:t>
      </w:r>
      <w:bookmarkStart w:id="341" w:name="RuleErr_84"/>
      <w:r>
        <w:rPr>
          <w:snapToGrid w:val="0"/>
        </w:rPr>
        <w:t xml:space="preserve"> of this paragraph</w:t>
      </w:r>
      <w:bookmarkEnd w:id="341"/>
      <w:r>
        <w:rPr>
          <w:snapToGrid w:val="0"/>
        </w:rPr>
        <w:t>, other than consideration referred to in a preceding paragraph,</w:t>
      </w:r>
    </w:p>
    <w:p>
      <w:pPr>
        <w:pStyle w:val="ySubsection"/>
        <w:spacing w:before="120"/>
        <w:rPr>
          <w:snapToGrid w:val="0"/>
        </w:rPr>
      </w:pPr>
      <w:r>
        <w:rPr>
          <w:snapToGrid w:val="0"/>
        </w:rPr>
        <w:tab/>
      </w:r>
      <w:r>
        <w:rPr>
          <w:snapToGrid w:val="0"/>
        </w:rPr>
        <w:tab/>
        <w:t>and shall state the amount financed, being the sum of the amounts referred to in the preceding paragraphs.</w:t>
      </w:r>
    </w:p>
    <w:p>
      <w:pPr>
        <w:pStyle w:val="yFootnotesection"/>
        <w:spacing w:before="80"/>
      </w:pPr>
      <w:r>
        <w:tab/>
        <w:t xml:space="preserve">[Clause 1 amended by No. 58 of 1992 s. 7(b)(i) and (ii).] </w:t>
      </w:r>
    </w:p>
    <w:p>
      <w:pPr>
        <w:pStyle w:val="ySubsection"/>
        <w:rPr>
          <w:snapToGrid w:val="0"/>
        </w:rPr>
      </w:pPr>
      <w:r>
        <w:rPr>
          <w:snapToGrid w:val="0"/>
        </w:rPr>
        <w:t>2.</w:t>
      </w:r>
      <w:r>
        <w:rPr>
          <w:snapToGrid w:val="0"/>
        </w:rPr>
        <w:tab/>
      </w:r>
      <w:r>
        <w:rPr>
          <w:snapToGrid w:val="0"/>
        </w:rPr>
        <w:tab/>
        <w:t xml:space="preserve">In clause 1, </w:t>
      </w:r>
      <w:r>
        <w:rPr>
          <w:rStyle w:val="CharDefText"/>
        </w:rPr>
        <w:t>relevant date</w:t>
      </w:r>
      <w:r>
        <w:rPr>
          <w:snapToGrid w:val="0"/>
        </w:rPr>
        <w:t xml:space="preserve"> means the date on which the loan contract is entered into or, if the loan contract is entered into by the acceptance by the credit provider of an offer made by the debtor, the date on which the offer is made.</w:t>
      </w:r>
    </w:p>
    <w:p>
      <w:pPr>
        <w:pStyle w:val="ySubsection"/>
        <w:rPr>
          <w:snapToGrid w:val="0"/>
        </w:rPr>
      </w:pPr>
      <w:r>
        <w:rPr>
          <w:snapToGrid w:val="0"/>
        </w:rPr>
        <w:t>3.</w:t>
      </w:r>
      <w:r>
        <w:rPr>
          <w:snapToGrid w:val="0"/>
        </w:rPr>
        <w:tab/>
      </w:r>
      <w:r>
        <w:rPr>
          <w:snapToGrid w:val="0"/>
        </w:rPr>
        <w:tab/>
        <w:t>If an amount payable in relation to a contract of life insurance is included in an amount disclosed under clause 1(b)(iii), nothing in this Schedule requires any further disclosure relating to that contract of life insurance.</w:t>
      </w:r>
    </w:p>
    <w:p>
      <w:pPr>
        <w:pStyle w:val="yFootnotesection"/>
      </w:pPr>
      <w:r>
        <w:tab/>
        <w:t xml:space="preserve">[Clause 3 inserted by No. 58 of 1992 s. 7(b)(iii).] </w:t>
      </w:r>
    </w:p>
    <w:p>
      <w:pPr>
        <w:pStyle w:val="yScheduleHeading"/>
        <w:outlineLvl w:val="0"/>
      </w:pPr>
      <w:bookmarkStart w:id="342" w:name="_Toc378152737"/>
      <w:bookmarkStart w:id="343" w:name="_Toc392496661"/>
      <w:r>
        <w:rPr>
          <w:rStyle w:val="CharSchNo"/>
        </w:rPr>
        <w:t>Schedule 5</w:t>
      </w:r>
      <w:r>
        <w:t> — </w:t>
      </w:r>
      <w:r>
        <w:rPr>
          <w:rStyle w:val="CharSchText"/>
        </w:rPr>
        <w:t>Statement of credit charge in relation to loan contract</w:t>
      </w:r>
      <w:bookmarkEnd w:id="342"/>
      <w:bookmarkEnd w:id="343"/>
    </w:p>
    <w:p>
      <w:pPr>
        <w:pStyle w:val="yShoulderClause"/>
        <w:rPr>
          <w:snapToGrid w:val="0"/>
        </w:rPr>
      </w:pPr>
      <w:r>
        <w:rPr>
          <w:snapToGrid w:val="0"/>
        </w:rPr>
        <w:t>[s. 36]</w:t>
      </w:r>
    </w:p>
    <w:p>
      <w:pPr>
        <w:pStyle w:val="yFootnoteheading"/>
        <w:rPr>
          <w:snapToGrid w:val="0"/>
        </w:rPr>
      </w:pPr>
      <w:r>
        <w:tab/>
        <w:t>[Heading amended by No. 19 of 2010 s. 4.]</w:t>
      </w:r>
    </w:p>
    <w:p>
      <w:pPr>
        <w:pStyle w:val="ySubsection"/>
        <w:rPr>
          <w:snapToGrid w:val="0"/>
        </w:rPr>
      </w:pPr>
      <w:r>
        <w:rPr>
          <w:snapToGrid w:val="0"/>
        </w:rPr>
        <w:t>1.</w:t>
      </w:r>
      <w:r>
        <w:rPr>
          <w:snapToGrid w:val="0"/>
        </w:rPr>
        <w:tab/>
      </w:r>
      <w:r>
        <w:rPr>
          <w:snapToGrid w:val="0"/>
        </w:rPr>
        <w:tab/>
        <w:t>A statement in a loan contract of the credit charge — </w:t>
      </w:r>
    </w:p>
    <w:p>
      <w:pPr>
        <w:pStyle w:val="yIndenta"/>
        <w:rPr>
          <w:snapToGrid w:val="0"/>
        </w:rPr>
      </w:pPr>
      <w:r>
        <w:rPr>
          <w:snapToGrid w:val="0"/>
        </w:rPr>
        <w:tab/>
        <w:t>(a)</w:t>
      </w:r>
      <w:r>
        <w:rPr>
          <w:snapToGrid w:val="0"/>
        </w:rPr>
        <w:tab/>
        <w:t>shall, where at the relevant date it is possible to express the whole or any part of the credit charge as an amount of money, state separately — </w:t>
      </w:r>
    </w:p>
    <w:p>
      <w:pPr>
        <w:rPr>
          <w:snapToGrid w:val="0"/>
        </w:rPr>
      </w:pPr>
      <w:r>
        <w:rPr>
          <w:snapToGrid w:val="0"/>
        </w:rPr>
        <w:tab/>
        <w:t>(i)</w:t>
      </w:r>
      <w:r>
        <w:rPr>
          <w:snapToGrid w:val="0"/>
        </w:rPr>
        <w:tab/>
        <w:t>the amount of the minimum credit charge (if any); and</w:t>
      </w:r>
    </w:p>
    <w:p>
      <w:pPr>
        <w:rPr>
          <w:snapToGrid w:val="0"/>
        </w:rPr>
      </w:pPr>
      <w:r>
        <w:rPr>
          <w:snapToGrid w:val="0"/>
        </w:rPr>
        <w:tab/>
        <w:t>(ii)</w:t>
      </w:r>
      <w:r>
        <w:rPr>
          <w:snapToGrid w:val="0"/>
        </w:rPr>
        <w:tab/>
        <w:t>the amount of the pre</w:t>
      </w:r>
      <w:r>
        <w:rPr>
          <w:snapToGrid w:val="0"/>
        </w:rPr>
        <w:noBreakHyphen/>
        <w:t xml:space="preserve">determined credit charge (if any); and </w:t>
      </w:r>
    </w:p>
    <w:p>
      <w:pPr>
        <w:rPr>
          <w:snapToGrid w:val="0"/>
        </w:rPr>
      </w:pPr>
      <w:r>
        <w:rPr>
          <w:snapToGrid w:val="0"/>
        </w:rPr>
        <w:tab/>
        <w:t>(iii)</w:t>
      </w:r>
      <w:r>
        <w:rPr>
          <w:snapToGrid w:val="0"/>
        </w:rPr>
        <w:tab/>
        <w:t>the amount of the estimated credit charge (if any) that can be so expressed at the relevant date;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shall, where at the relevant date it is not possible to express the whole of the credit charge as an amount of money — </w:t>
      </w:r>
    </w:p>
    <w:p>
      <w:pPr>
        <w:rPr>
          <w:snapToGrid w:val="0"/>
        </w:rPr>
      </w:pPr>
      <w:r>
        <w:rPr>
          <w:snapToGrid w:val="0"/>
        </w:rPr>
        <w:tab/>
        <w:t>(i)</w:t>
      </w:r>
      <w:r>
        <w:rPr>
          <w:snapToGrid w:val="0"/>
        </w:rPr>
        <w:tab/>
        <w:t>state the method by which the amount of the estimated credit charge that cannot be so expressed is to be ascertained; and</w:t>
      </w:r>
    </w:p>
    <w:p>
      <w:pPr>
        <w:rPr>
          <w:snapToGrid w:val="0"/>
        </w:rPr>
      </w:pPr>
      <w:r>
        <w:rPr>
          <w:snapToGrid w:val="0"/>
        </w:rPr>
        <w:tab/>
        <w:t>(ii)</w:t>
      </w:r>
      <w:r>
        <w:rPr>
          <w:snapToGrid w:val="0"/>
        </w:rPr>
        <w:tab/>
        <w:t xml:space="preserve">include a statement that it is not possible at the relevant date to express the whole of the credit charge as an amount of money; </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shall include a statement that no part of the credit charge (other than the minimum credit charge (if any)) becomes due and payable unless it is an accrued credit charge.</w:t>
      </w:r>
    </w:p>
    <w:p>
      <w:pPr>
        <w:pStyle w:val="ySubsection"/>
        <w:rPr>
          <w:snapToGrid w:val="0"/>
        </w:rPr>
      </w:pPr>
      <w:r>
        <w:rPr>
          <w:snapToGrid w:val="0"/>
        </w:rPr>
        <w:t>2.</w:t>
      </w:r>
      <w:r>
        <w:rPr>
          <w:snapToGrid w:val="0"/>
        </w:rPr>
        <w:tab/>
      </w:r>
      <w:r>
        <w:rPr>
          <w:snapToGrid w:val="0"/>
        </w:rPr>
        <w:tab/>
        <w:t xml:space="preserve">In clause 1, </w:t>
      </w:r>
      <w:r>
        <w:rPr>
          <w:rStyle w:val="CharDefText"/>
        </w:rPr>
        <w:t>relevant date</w:t>
      </w:r>
      <w:r>
        <w:rPr>
          <w:snapToGrid w:val="0"/>
        </w:rPr>
        <w:t xml:space="preserve"> means the date on which the loan contract is entered into or, if the loan contract is entered into by the acceptance by the credit provider of an offer made by the debtor, the date on which the offer is made.</w:t>
      </w:r>
    </w:p>
    <w:p>
      <w:pPr>
        <w:pStyle w:val="yScheduleHeading"/>
        <w:outlineLvl w:val="0"/>
      </w:pPr>
      <w:bookmarkStart w:id="344" w:name="_Toc378152738"/>
      <w:bookmarkStart w:id="345" w:name="_Toc392496662"/>
      <w:r>
        <w:rPr>
          <w:rStyle w:val="CharSchNo"/>
        </w:rPr>
        <w:t>Schedule 6</w:t>
      </w:r>
      <w:r>
        <w:t> — </w:t>
      </w:r>
      <w:r>
        <w:rPr>
          <w:rStyle w:val="CharSchText"/>
        </w:rPr>
        <w:t>Annual percentage rate</w:t>
      </w:r>
      <w:bookmarkEnd w:id="344"/>
      <w:bookmarkEnd w:id="345"/>
    </w:p>
    <w:p>
      <w:pPr>
        <w:pStyle w:val="yShoulderClause"/>
        <w:rPr>
          <w:snapToGrid w:val="0"/>
        </w:rPr>
      </w:pPr>
      <w:r>
        <w:rPr>
          <w:snapToGrid w:val="0"/>
        </w:rPr>
        <w:t>[s. 38]</w:t>
      </w:r>
    </w:p>
    <w:p>
      <w:pPr>
        <w:pStyle w:val="yFootnoteheading"/>
        <w:spacing w:before="60"/>
        <w:rPr>
          <w:snapToGrid w:val="0"/>
        </w:rPr>
      </w:pPr>
      <w:r>
        <w:tab/>
        <w:t>[Heading amended by No. 19 of 2010 s. 4.]</w:t>
      </w:r>
    </w:p>
    <w:p>
      <w:pPr>
        <w:pStyle w:val="ySubsection"/>
        <w:rPr>
          <w:snapToGrid w:val="0"/>
        </w:rPr>
      </w:pPr>
      <w:r>
        <w:rPr>
          <w:snapToGrid w:val="0"/>
        </w:rPr>
        <w:t>1.</w:t>
      </w:r>
      <w:r>
        <w:rPr>
          <w:snapToGrid w:val="0"/>
        </w:rPr>
        <w:tab/>
      </w:r>
      <w:r>
        <w:rPr>
          <w:snapToGrid w:val="0"/>
        </w:rPr>
        <w:tab/>
        <w:t>This Schedule applies to a credit sale contract or a loan contract, where — </w:t>
      </w:r>
    </w:p>
    <w:p>
      <w:pPr>
        <w:pStyle w:val="yIndenta"/>
        <w:spacing w:before="60"/>
        <w:rPr>
          <w:snapToGrid w:val="0"/>
        </w:rPr>
      </w:pPr>
      <w:r>
        <w:rPr>
          <w:snapToGrid w:val="0"/>
        </w:rPr>
        <w:tab/>
        <w:t>(a)</w:t>
      </w:r>
      <w:r>
        <w:rPr>
          <w:snapToGrid w:val="0"/>
        </w:rPr>
        <w:tab/>
        <w:t>the whole of the credit charge is a pre</w:t>
      </w:r>
      <w:r>
        <w:rPr>
          <w:snapToGrid w:val="0"/>
        </w:rPr>
        <w:noBreakHyphen/>
        <w:t>determined credit charge;</w:t>
      </w:r>
      <w:r>
        <w:rPr>
          <w:noProof/>
        </w:rPr>
        <w:t xml:space="preserve"> and</w:t>
      </w:r>
    </w:p>
    <w:p>
      <w:pPr>
        <w:pStyle w:val="yIndenta"/>
        <w:spacing w:before="60"/>
        <w:rPr>
          <w:snapToGrid w:val="0"/>
        </w:rPr>
      </w:pPr>
      <w:r>
        <w:rPr>
          <w:snapToGrid w:val="0"/>
        </w:rPr>
        <w:tab/>
        <w:t>(b)</w:t>
      </w:r>
      <w:r>
        <w:rPr>
          <w:snapToGrid w:val="0"/>
        </w:rPr>
        <w:tab/>
        <w:t>the whole of the amount financed is, or is to be, provided on the same day; and</w:t>
      </w:r>
    </w:p>
    <w:p>
      <w:pPr>
        <w:pStyle w:val="yIndenta"/>
        <w:spacing w:before="60"/>
        <w:rPr>
          <w:snapToGrid w:val="0"/>
        </w:rPr>
      </w:pPr>
      <w:r>
        <w:rPr>
          <w:snapToGrid w:val="0"/>
        </w:rPr>
        <w:tab/>
        <w:t>(c)</w:t>
      </w:r>
      <w:r>
        <w:rPr>
          <w:snapToGrid w:val="0"/>
        </w:rPr>
        <w:tab/>
        <w:t>the amount financed and the pre</w:t>
      </w:r>
      <w:r>
        <w:rPr>
          <w:snapToGrid w:val="0"/>
        </w:rPr>
        <w:noBreakHyphen/>
        <w:t>determined credit charge are payable by equal instalments at equal intervals, the first interval commencing on the date on which the amount financed is provided.</w:t>
      </w:r>
    </w:p>
    <w:p>
      <w:pPr>
        <w:pStyle w:val="ySubsection"/>
        <w:rPr>
          <w:snapToGrid w:val="0"/>
        </w:rPr>
      </w:pPr>
      <w:r>
        <w:rPr>
          <w:snapToGrid w:val="0"/>
        </w:rPr>
        <w:t>2.</w:t>
      </w:r>
      <w:r>
        <w:rPr>
          <w:snapToGrid w:val="0"/>
        </w:rPr>
        <w:tab/>
      </w:r>
      <w:r>
        <w:rPr>
          <w:snapToGrid w:val="0"/>
        </w:rPr>
        <w:tab/>
        <w:t>Where this Schedule applies to a contract, the annual percentage rate may be determined in accordance with the formula — </w:t>
      </w:r>
    </w:p>
    <w:p>
      <w:pPr>
        <w:pStyle w:val="Equation"/>
        <w:jc w:val="center"/>
        <w:rPr>
          <w:snapToGrid w:val="0"/>
        </w:rPr>
      </w:pPr>
      <w:r>
        <w:rPr>
          <w:position w:val="-30"/>
        </w:rPr>
        <w:object w:dxaOrig="3000" w:dyaOrig="680">
          <v:shape id="_x0000_i1027" type="#_x0000_t75" style="width:150pt;height:33.75pt" o:ole="" fillcolor="window">
            <v:imagedata r:id="rId31" o:title=""/>
          </v:shape>
          <o:OLEObject Type="Embed" ProgID="Equation.3" ShapeID="_x0000_i1027" DrawAspect="Content" ObjectID="_1643192527" r:id="rId32"/>
        </w:object>
      </w:r>
    </w:p>
    <w:p>
      <w:pPr>
        <w:pStyle w:val="ySubsection"/>
        <w:spacing w:before="120"/>
        <w:rPr>
          <w:snapToGrid w:val="0"/>
        </w:rPr>
      </w:pPr>
      <w:r>
        <w:rPr>
          <w:snapToGrid w:val="0"/>
        </w:rPr>
        <w:tab/>
      </w:r>
      <w:r>
        <w:rPr>
          <w:snapToGrid w:val="0"/>
        </w:rPr>
        <w:tab/>
        <w:t>where — </w:t>
      </w:r>
    </w:p>
    <w:p>
      <w:pPr>
        <w:pStyle w:val="yIndenta"/>
        <w:spacing w:before="60"/>
        <w:rPr>
          <w:snapToGrid w:val="0"/>
        </w:rPr>
      </w:pPr>
      <w:r>
        <w:rPr>
          <w:snapToGrid w:val="0"/>
        </w:rPr>
        <w:tab/>
        <w:t xml:space="preserve">N </w:t>
      </w:r>
      <w:r>
        <w:rPr>
          <w:snapToGrid w:val="0"/>
        </w:rPr>
        <w:tab/>
        <w:t>is the total number of instalments; and</w:t>
      </w:r>
    </w:p>
    <w:p>
      <w:pPr>
        <w:pStyle w:val="yIndenta"/>
        <w:spacing w:before="60"/>
        <w:rPr>
          <w:snapToGrid w:val="0"/>
        </w:rPr>
      </w:pPr>
      <w:r>
        <w:rPr>
          <w:snapToGrid w:val="0"/>
        </w:rPr>
        <w:tab/>
        <w:t>C</w:t>
      </w:r>
      <w:r>
        <w:rPr>
          <w:snapToGrid w:val="0"/>
        </w:rPr>
        <w:tab/>
        <w:t>is the number of instalments that, under the contract, will be paid in one year or, where the contract is to be completed in less than one year, the number of instalments that would be paid in one year if instalments continued to be paid at the same intervals; and</w:t>
      </w:r>
    </w:p>
    <w:p>
      <w:pPr>
        <w:pStyle w:val="yIndenta"/>
        <w:keepNext/>
        <w:spacing w:before="60"/>
        <w:rPr>
          <w:snapToGrid w:val="0"/>
        </w:rPr>
      </w:pPr>
      <w:r>
        <w:rPr>
          <w:snapToGrid w:val="0"/>
        </w:rPr>
        <w:tab/>
        <w:t xml:space="preserve">F </w:t>
      </w:r>
      <w:r>
        <w:rPr>
          <w:snapToGrid w:val="0"/>
        </w:rPr>
        <w:tab/>
        <w:t>is an amount determined in accordance with the formula — </w:t>
      </w:r>
    </w:p>
    <w:p>
      <w:pPr>
        <w:pStyle w:val="Equation"/>
        <w:jc w:val="center"/>
        <w:rPr>
          <w:snapToGrid w:val="0"/>
        </w:rPr>
      </w:pPr>
      <w:r>
        <w:rPr>
          <w:position w:val="-30"/>
        </w:rPr>
        <w:object w:dxaOrig="1340" w:dyaOrig="680">
          <v:shape id="_x0000_i1028" type="#_x0000_t75" style="width:66.75pt;height:33.75pt" o:ole="" fillcolor="window">
            <v:imagedata r:id="rId33" o:title=""/>
          </v:shape>
          <o:OLEObject Type="Embed" ProgID="Equation.3" ShapeID="_x0000_i1028" DrawAspect="Content" ObjectID="_1643192528" r:id="rId34"/>
        </w:object>
      </w:r>
    </w:p>
    <w:p>
      <w:pPr>
        <w:pStyle w:val="yIndenta"/>
        <w:rPr>
          <w:snapToGrid w:val="0"/>
        </w:rPr>
      </w:pPr>
      <w:r>
        <w:rPr>
          <w:snapToGrid w:val="0"/>
        </w:rPr>
        <w:tab/>
      </w:r>
      <w:r>
        <w:rPr>
          <w:snapToGrid w:val="0"/>
        </w:rPr>
        <w:tab/>
        <w:t>where — </w:t>
      </w:r>
    </w:p>
    <w:p>
      <w:pPr>
        <w:spacing w:before="60"/>
        <w:rPr>
          <w:snapToGrid w:val="0"/>
        </w:rPr>
      </w:pPr>
      <w:r>
        <w:rPr>
          <w:snapToGrid w:val="0"/>
        </w:rPr>
        <w:tab/>
        <w:t xml:space="preserve">C </w:t>
      </w:r>
      <w:r>
        <w:rPr>
          <w:snapToGrid w:val="0"/>
        </w:rPr>
        <w:tab/>
        <w:t>is the same number as in the first</w:t>
      </w:r>
      <w:r>
        <w:rPr>
          <w:snapToGrid w:val="0"/>
        </w:rPr>
        <w:noBreakHyphen/>
      </w:r>
      <w:bookmarkStart w:id="346" w:name="RuleErr_155"/>
      <w:r>
        <w:rPr>
          <w:snapToGrid w:val="0"/>
        </w:rPr>
        <w:t>mentioned</w:t>
      </w:r>
      <w:bookmarkEnd w:id="346"/>
      <w:r>
        <w:rPr>
          <w:snapToGrid w:val="0"/>
        </w:rPr>
        <w:t xml:space="preserve"> formula; and</w:t>
      </w:r>
    </w:p>
    <w:p>
      <w:pPr>
        <w:spacing w:before="60"/>
        <w:rPr>
          <w:snapToGrid w:val="0"/>
        </w:rPr>
      </w:pPr>
      <w:r>
        <w:rPr>
          <w:snapToGrid w:val="0"/>
        </w:rPr>
        <w:tab/>
        <w:t xml:space="preserve">T </w:t>
      </w:r>
      <w:r>
        <w:rPr>
          <w:snapToGrid w:val="0"/>
        </w:rPr>
        <w:tab/>
        <w:t>is the total amount of the pre</w:t>
      </w:r>
      <w:r>
        <w:rPr>
          <w:snapToGrid w:val="0"/>
        </w:rPr>
        <w:noBreakHyphen/>
        <w:t>determined credit charge; and</w:t>
      </w:r>
    </w:p>
    <w:p>
      <w:pPr>
        <w:spacing w:before="60"/>
        <w:rPr>
          <w:snapToGrid w:val="0"/>
        </w:rPr>
      </w:pPr>
      <w:r>
        <w:rPr>
          <w:snapToGrid w:val="0"/>
        </w:rPr>
        <w:tab/>
        <w:t xml:space="preserve">N </w:t>
      </w:r>
      <w:r>
        <w:rPr>
          <w:snapToGrid w:val="0"/>
        </w:rPr>
        <w:tab/>
        <w:t>is the total number of instalments; and</w:t>
      </w:r>
    </w:p>
    <w:p>
      <w:pPr>
        <w:spacing w:before="60"/>
        <w:rPr>
          <w:snapToGrid w:val="0"/>
        </w:rPr>
      </w:pPr>
      <w:r>
        <w:rPr>
          <w:snapToGrid w:val="0"/>
        </w:rPr>
        <w:tab/>
        <w:t xml:space="preserve">A </w:t>
      </w:r>
      <w:r>
        <w:rPr>
          <w:snapToGrid w:val="0"/>
        </w:rPr>
        <w:tab/>
        <w:t>is the amount financed.</w:t>
      </w:r>
    </w:p>
    <w:p>
      <w:pPr>
        <w:pStyle w:val="ySubsection"/>
        <w:rPr>
          <w:snapToGrid w:val="0"/>
        </w:rPr>
      </w:pPr>
      <w:r>
        <w:rPr>
          <w:snapToGrid w:val="0"/>
        </w:rPr>
        <w:t>3.</w:t>
      </w:r>
      <w:r>
        <w:rPr>
          <w:snapToGrid w:val="0"/>
        </w:rPr>
        <w:tab/>
      </w:r>
      <w:r>
        <w:rPr>
          <w:snapToGrid w:val="0"/>
        </w:rPr>
        <w:tab/>
        <w:t>For the purposes</w:t>
      </w:r>
      <w:bookmarkStart w:id="347" w:name="RuleErr_33"/>
      <w:r>
        <w:rPr>
          <w:snapToGrid w:val="0"/>
        </w:rPr>
        <w:t xml:space="preserve"> of this Schedule</w:t>
      </w:r>
      <w:bookmarkEnd w:id="347"/>
      <w:r>
        <w:rPr>
          <w:snapToGrid w:val="0"/>
        </w:rPr>
        <w:t> — </w:t>
      </w:r>
    </w:p>
    <w:p>
      <w:pPr>
        <w:pStyle w:val="yIndenta"/>
        <w:rPr>
          <w:snapToGrid w:val="0"/>
        </w:rPr>
      </w:pPr>
      <w:r>
        <w:rPr>
          <w:snapToGrid w:val="0"/>
        </w:rPr>
        <w:tab/>
        <w:t>(a)</w:t>
      </w:r>
      <w:r>
        <w:rPr>
          <w:snapToGrid w:val="0"/>
        </w:rPr>
        <w:tab/>
        <w:t>instalments shall be deemed to be equal if all the instalments except one are of the same amount and the difference between the amount of that one instalment and the amount of each of the other instalments is not more than $5 or 5% of the amount of each of the other instalments, whichever is the greater; and</w:t>
      </w:r>
    </w:p>
    <w:p>
      <w:pPr>
        <w:pStyle w:val="yIndenta"/>
        <w:rPr>
          <w:snapToGrid w:val="0"/>
        </w:rPr>
      </w:pPr>
      <w:r>
        <w:rPr>
          <w:snapToGrid w:val="0"/>
        </w:rPr>
        <w:tab/>
        <w:t>(b)</w:t>
      </w:r>
      <w:r>
        <w:rPr>
          <w:snapToGrid w:val="0"/>
        </w:rPr>
        <w:tab/>
        <w:t>monthly intervals shall be deemed to be equal intervals; and</w:t>
      </w:r>
    </w:p>
    <w:p>
      <w:pPr>
        <w:pStyle w:val="yIndenta"/>
        <w:rPr>
          <w:snapToGrid w:val="0"/>
        </w:rPr>
      </w:pPr>
      <w:r>
        <w:rPr>
          <w:snapToGrid w:val="0"/>
        </w:rPr>
        <w:tab/>
        <w:t>(c)</w:t>
      </w:r>
      <w:r>
        <w:rPr>
          <w:snapToGrid w:val="0"/>
        </w:rPr>
        <w:tab/>
        <w:t>intervals shall be deemed to be equal if all the intervals except one are of the same length and the difference between the length of that one interval and the length of each of the other intervals is not more than 5% of the length of each of the other intervals.</w:t>
      </w:r>
    </w:p>
    <w:p>
      <w:pPr>
        <w:pStyle w:val="yScheduleHeading"/>
        <w:outlineLvl w:val="0"/>
      </w:pPr>
      <w:bookmarkStart w:id="348" w:name="_Toc378152739"/>
      <w:bookmarkStart w:id="349" w:name="_Toc392496663"/>
      <w:r>
        <w:rPr>
          <w:rStyle w:val="CharSchNo"/>
        </w:rPr>
        <w:t>Schedule 7</w:t>
      </w:r>
      <w:r>
        <w:t> — </w:t>
      </w:r>
      <w:r>
        <w:rPr>
          <w:rStyle w:val="CharSchText"/>
        </w:rPr>
        <w:t>Statement of account in relation to continuing credit contract</w:t>
      </w:r>
      <w:bookmarkEnd w:id="348"/>
      <w:bookmarkEnd w:id="349"/>
    </w:p>
    <w:p>
      <w:pPr>
        <w:pStyle w:val="yShoulderClause"/>
        <w:rPr>
          <w:snapToGrid w:val="0"/>
        </w:rPr>
      </w:pPr>
      <w:r>
        <w:rPr>
          <w:snapToGrid w:val="0"/>
        </w:rPr>
        <w:t>[s. 61]</w:t>
      </w:r>
    </w:p>
    <w:p>
      <w:pPr>
        <w:pStyle w:val="yFootnoteheading"/>
        <w:rPr>
          <w:snapToGrid w:val="0"/>
        </w:rPr>
      </w:pPr>
      <w:r>
        <w:tab/>
        <w:t>[Heading amended by No. 19 of 2010 s. 4.]</w:t>
      </w:r>
    </w:p>
    <w:p>
      <w:pPr>
        <w:pStyle w:val="ySubsection"/>
        <w:rPr>
          <w:snapToGrid w:val="0"/>
        </w:rPr>
      </w:pPr>
      <w:r>
        <w:rPr>
          <w:snapToGrid w:val="0"/>
        </w:rPr>
        <w:t>1.</w:t>
      </w:r>
      <w:r>
        <w:rPr>
          <w:snapToGrid w:val="0"/>
        </w:rPr>
        <w:tab/>
      </w:r>
      <w:r>
        <w:rPr>
          <w:snapToGrid w:val="0"/>
        </w:rPr>
        <w:tab/>
        <w:t>A statement of account for a continuing credit contract shall include a statement of — </w:t>
      </w:r>
    </w:p>
    <w:p>
      <w:pPr>
        <w:pStyle w:val="yIndenta"/>
        <w:rPr>
          <w:snapToGrid w:val="0"/>
        </w:rPr>
      </w:pPr>
      <w:r>
        <w:rPr>
          <w:snapToGrid w:val="0"/>
        </w:rPr>
        <w:tab/>
        <w:t>(a)</w:t>
      </w:r>
      <w:r>
        <w:rPr>
          <w:snapToGrid w:val="0"/>
        </w:rPr>
        <w:tab/>
        <w:t>the date of the last day of the billing cycle; and</w:t>
      </w:r>
    </w:p>
    <w:p>
      <w:pPr>
        <w:pStyle w:val="yIndenta"/>
        <w:rPr>
          <w:snapToGrid w:val="0"/>
        </w:rPr>
      </w:pPr>
      <w:r>
        <w:rPr>
          <w:snapToGrid w:val="0"/>
        </w:rPr>
        <w:tab/>
        <w:t>(b)</w:t>
      </w:r>
      <w:r>
        <w:rPr>
          <w:snapToGrid w:val="0"/>
        </w:rPr>
        <w:tab/>
        <w:t>the amount owed by the debtor under the contract on the first day of the billing cycle; and</w:t>
      </w:r>
    </w:p>
    <w:p>
      <w:pPr>
        <w:pStyle w:val="yIndenta"/>
        <w:rPr>
          <w:snapToGrid w:val="0"/>
        </w:rPr>
      </w:pPr>
      <w:r>
        <w:rPr>
          <w:snapToGrid w:val="0"/>
        </w:rPr>
        <w:tab/>
        <w:t>(c)</w:t>
      </w:r>
      <w:r>
        <w:rPr>
          <w:snapToGrid w:val="0"/>
        </w:rPr>
        <w:tab/>
        <w:t>the amount owed by the debtor under the contract on the last day of the billing cycle; and</w:t>
      </w:r>
    </w:p>
    <w:p>
      <w:pPr>
        <w:pStyle w:val="yIndenta"/>
        <w:rPr>
          <w:snapToGrid w:val="0"/>
        </w:rPr>
      </w:pPr>
      <w:r>
        <w:rPr>
          <w:snapToGrid w:val="0"/>
        </w:rPr>
        <w:tab/>
        <w:t>(d)</w:t>
      </w:r>
      <w:r>
        <w:rPr>
          <w:snapToGrid w:val="0"/>
        </w:rPr>
        <w:tab/>
        <w:t>the date of purchase and cash price of goods or services supplied by the credit provider during the billing cycle in respect of payment for which credit is provided under the contract and such a description of each transaction as will enable it to be identified; and</w:t>
      </w:r>
    </w:p>
    <w:p>
      <w:pPr>
        <w:pStyle w:val="yIndenta"/>
        <w:rPr>
          <w:snapToGrid w:val="0"/>
        </w:rPr>
      </w:pPr>
      <w:r>
        <w:rPr>
          <w:snapToGrid w:val="0"/>
        </w:rPr>
        <w:tab/>
        <w:t>(e)</w:t>
      </w:r>
      <w:r>
        <w:rPr>
          <w:snapToGrid w:val="0"/>
        </w:rPr>
        <w:tab/>
        <w:t>particulars, including the amount, of each amount of cash supplied by the credit provider during the billing cycle in respect of the supply of which credit is provided under the contract; and</w:t>
      </w:r>
    </w:p>
    <w:p>
      <w:pPr>
        <w:pStyle w:val="yIndenta"/>
        <w:rPr>
          <w:snapToGrid w:val="0"/>
        </w:rPr>
      </w:pPr>
      <w:r>
        <w:rPr>
          <w:snapToGrid w:val="0"/>
        </w:rPr>
        <w:tab/>
        <w:t>(f)</w:t>
      </w:r>
      <w:r>
        <w:rPr>
          <w:snapToGrid w:val="0"/>
        </w:rPr>
        <w:tab/>
        <w:t>particulars of each amount in respect of which, under the contract, credit is provided to the debtor during the billing cycle in respect of goods or services or cash supplied by a person other than the credit provider and in relation to each such amount particulars of the suppliers of the goods or services or of the cash to which the amount relates; and</w:t>
      </w:r>
    </w:p>
    <w:p>
      <w:pPr>
        <w:pStyle w:val="yIndenta"/>
        <w:rPr>
          <w:snapToGrid w:val="0"/>
        </w:rPr>
      </w:pPr>
      <w:r>
        <w:rPr>
          <w:snapToGrid w:val="0"/>
        </w:rPr>
        <w:tab/>
        <w:t>(g)</w:t>
      </w:r>
      <w:r>
        <w:rPr>
          <w:snapToGrid w:val="0"/>
        </w:rPr>
        <w:tab/>
        <w:t>particulars of each amount paid by the debtor to the credit provider under the contract during the billing cycle; and</w:t>
      </w:r>
    </w:p>
    <w:p>
      <w:pPr>
        <w:pStyle w:val="yIndenta"/>
        <w:rPr>
          <w:snapToGrid w:val="0"/>
        </w:rPr>
      </w:pPr>
      <w:r>
        <w:rPr>
          <w:snapToGrid w:val="0"/>
        </w:rPr>
        <w:tab/>
        <w:t>(h)</w:t>
      </w:r>
      <w:r>
        <w:rPr>
          <w:snapToGrid w:val="0"/>
        </w:rPr>
        <w:tab/>
        <w:t>each amount (not being a payment by the debtor to the credit provider) by way of refund or allowance given to the debtor during the billing cycle; and</w:t>
      </w:r>
    </w:p>
    <w:p>
      <w:pPr>
        <w:pStyle w:val="yIndenta"/>
        <w:rPr>
          <w:snapToGrid w:val="0"/>
        </w:rPr>
      </w:pPr>
      <w:r>
        <w:rPr>
          <w:snapToGrid w:val="0"/>
        </w:rPr>
        <w:tab/>
        <w:t>(i)</w:t>
      </w:r>
      <w:r>
        <w:rPr>
          <w:snapToGrid w:val="0"/>
        </w:rPr>
        <w:tab/>
        <w:t>particulars of each amount (not being a payment by the debtor to the credit provider) by reason of which an amount included in an amount referred to in paragraph (d), (e), (f), (j), (k) or (l) is cancelled or reduced by reason of an amount by way of refund or allowance given to the debtor during the billing cycle; and</w:t>
      </w:r>
    </w:p>
    <w:p>
      <w:pPr>
        <w:pStyle w:val="yIndenta"/>
        <w:rPr>
          <w:snapToGrid w:val="0"/>
        </w:rPr>
      </w:pPr>
      <w:r>
        <w:rPr>
          <w:snapToGrid w:val="0"/>
        </w:rPr>
        <w:tab/>
        <w:t>(j)</w:t>
      </w:r>
      <w:r>
        <w:rPr>
          <w:snapToGrid w:val="0"/>
        </w:rPr>
        <w:tab/>
        <w:t>where the statement of account includes a statement under paragraph (d) of amounts relating to goods — particulars, so far as they are known or can be ascertained, of amounts included in that amount in respect of — </w:t>
      </w:r>
    </w:p>
    <w:p>
      <w:pPr>
        <w:rPr>
          <w:snapToGrid w:val="0"/>
        </w:rPr>
      </w:pPr>
      <w:r>
        <w:rPr>
          <w:snapToGrid w:val="0"/>
        </w:rPr>
        <w:tab/>
        <w:t>(i)</w:t>
      </w:r>
      <w:r>
        <w:rPr>
          <w:snapToGrid w:val="0"/>
        </w:rPr>
        <w:tab/>
        <w:t>charges for installation of the goods; or</w:t>
      </w:r>
    </w:p>
    <w:p>
      <w:pPr>
        <w:rPr>
          <w:snapToGrid w:val="0"/>
        </w:rPr>
      </w:pPr>
      <w:r>
        <w:rPr>
          <w:snapToGrid w:val="0"/>
        </w:rPr>
        <w:tab/>
        <w:t>(ii)</w:t>
      </w:r>
      <w:r>
        <w:rPr>
          <w:snapToGrid w:val="0"/>
        </w:rPr>
        <w:tab/>
        <w:t>charges for maintenance of the goods; or</w:t>
      </w:r>
    </w:p>
    <w:p>
      <w:pPr>
        <w:rPr>
          <w:snapToGrid w:val="0"/>
        </w:rPr>
      </w:pPr>
      <w:r>
        <w:rPr>
          <w:snapToGrid w:val="0"/>
        </w:rPr>
        <w:tab/>
        <w:t>(iii)</w:t>
      </w:r>
      <w:r>
        <w:rPr>
          <w:snapToGrid w:val="0"/>
        </w:rPr>
        <w:tab/>
        <w:t>charges for delivery of the goods to the debtor,</w:t>
      </w:r>
    </w:p>
    <w:p>
      <w:pPr>
        <w:pStyle w:val="yIndenta"/>
        <w:rPr>
          <w:snapToGrid w:val="0"/>
        </w:rPr>
      </w:pPr>
      <w:r>
        <w:rPr>
          <w:snapToGrid w:val="0"/>
        </w:rPr>
        <w:tab/>
      </w:r>
      <w:r>
        <w:rPr>
          <w:snapToGrid w:val="0"/>
        </w:rPr>
        <w:tab/>
        <w:t>unless included in the cash price of the goods under paragraph (d); and</w:t>
      </w:r>
    </w:p>
    <w:p>
      <w:pPr>
        <w:pStyle w:val="yIndenta"/>
        <w:rPr>
          <w:snapToGrid w:val="0"/>
        </w:rPr>
      </w:pPr>
      <w:r>
        <w:rPr>
          <w:snapToGrid w:val="0"/>
        </w:rPr>
        <w:tab/>
        <w:t>(k)</w:t>
      </w:r>
      <w:r>
        <w:rPr>
          <w:snapToGrid w:val="0"/>
        </w:rPr>
        <w:tab/>
        <w:t>particulars of amounts that, during the billing cycle, are added to the amount payable under the contract by the debtor to the credit provider, whether or not the credit provider pays, or has paid, those amounts to another person, in respect of contracts of insurance (if any) entered into in relation to the contract showing separately in respect of each such contract the name of the insurer and — </w:t>
      </w:r>
    </w:p>
    <w:p>
      <w:pPr>
        <w:rPr>
          <w:snapToGrid w:val="0"/>
        </w:rPr>
      </w:pPr>
      <w:r>
        <w:rPr>
          <w:snapToGrid w:val="0"/>
        </w:rPr>
        <w:tab/>
        <w:t>(i)</w:t>
      </w:r>
      <w:r>
        <w:rPr>
          <w:snapToGrid w:val="0"/>
        </w:rPr>
        <w:tab/>
        <w:t>where there is a mortgage relating to the contract, amounts so payable in respect of insurance of property subject to the mortgage; and</w:t>
      </w:r>
    </w:p>
    <w:p>
      <w:pPr>
        <w:rPr>
          <w:snapToGrid w:val="0"/>
        </w:rPr>
      </w:pPr>
      <w:r>
        <w:rPr>
          <w:snapToGrid w:val="0"/>
        </w:rPr>
        <w:tab/>
        <w:t>(ii)</w:t>
      </w:r>
      <w:r>
        <w:rPr>
          <w:snapToGrid w:val="0"/>
        </w:rPr>
        <w:tab/>
        <w:t>where there is a mortgage relating to the contract, amounts so payable in respect of insurance against loss of the security interest of the mortgagee in any goods subject to the mortgage by reason of any Act; and</w:t>
      </w:r>
    </w:p>
    <w:p>
      <w:pPr>
        <w:rPr>
          <w:snapToGrid w:val="0"/>
        </w:rPr>
      </w:pPr>
      <w:r>
        <w:rPr>
          <w:snapToGrid w:val="0"/>
        </w:rPr>
        <w:tab/>
        <w:t>(iii)</w:t>
      </w:r>
      <w:r>
        <w:rPr>
          <w:snapToGrid w:val="0"/>
        </w:rPr>
        <w:tab/>
        <w:t>amounts so payable in respect of insurance against sickness of, accidental injury to, or disability or death of, the debtor or against unemployment of the debtor or, where there is more than one debtor, amounts so payable in respect of such insurance in relation to the debtors; and</w:t>
      </w:r>
    </w:p>
    <w:p>
      <w:pPr>
        <w:rPr>
          <w:snapToGrid w:val="0"/>
        </w:rPr>
      </w:pPr>
      <w:r>
        <w:rPr>
          <w:snapToGrid w:val="0"/>
        </w:rPr>
        <w:tab/>
        <w:t>(iv)</w:t>
      </w:r>
      <w:r>
        <w:rPr>
          <w:snapToGrid w:val="0"/>
        </w:rPr>
        <w:tab/>
        <w:t>amounts so payable in respect of life insurance of the debtor or, where there is more than one debtor, amounts so payable in respect of life insurance of the debtors; and</w:t>
      </w:r>
    </w:p>
    <w:p>
      <w:pPr>
        <w:pStyle w:val="yEdnotesubpara"/>
        <w:rPr>
          <w:snapToGrid w:val="0"/>
        </w:rPr>
      </w:pPr>
      <w:r>
        <w:rPr>
          <w:snapToGrid w:val="0"/>
        </w:rPr>
        <w:tab/>
        <w:t>[(v)</w:t>
      </w:r>
      <w:r>
        <w:rPr>
          <w:snapToGrid w:val="0"/>
        </w:rPr>
        <w:tab/>
        <w:t>deleted]</w:t>
      </w:r>
    </w:p>
    <w:p>
      <w:pPr>
        <w:rPr>
          <w:snapToGrid w:val="0"/>
        </w:rPr>
      </w:pPr>
      <w:r>
        <w:rPr>
          <w:snapToGrid w:val="0"/>
        </w:rPr>
        <w:tab/>
        <w:t>(vi)</w:t>
      </w:r>
      <w:r>
        <w:rPr>
          <w:snapToGrid w:val="0"/>
        </w:rPr>
        <w:tab/>
        <w:t>amounts so payable in respect of insurance against loss of profits by the debtor or, where there is more than one debtor, amounts so payable in respect of insurance against loss of profits, by the debtors; and</w:t>
      </w:r>
    </w:p>
    <w:p>
      <w:pPr>
        <w:rPr>
          <w:snapToGrid w:val="0"/>
        </w:rPr>
      </w:pPr>
      <w:r>
        <w:rPr>
          <w:snapToGrid w:val="0"/>
        </w:rPr>
        <w:tab/>
        <w:t>(vii)</w:t>
      </w:r>
      <w:r>
        <w:rPr>
          <w:snapToGrid w:val="0"/>
        </w:rPr>
        <w:tab/>
        <w:t>amounts so payable in respect of insurance against such other risks (if any) as are prescribed,</w:t>
      </w:r>
    </w:p>
    <w:p>
      <w:pPr>
        <w:pStyle w:val="yIndenta"/>
        <w:rPr>
          <w:snapToGrid w:val="0"/>
        </w:rPr>
      </w:pPr>
      <w:r>
        <w:rPr>
          <w:snapToGrid w:val="0"/>
        </w:rPr>
        <w:tab/>
      </w:r>
      <w:r>
        <w:rPr>
          <w:snapToGrid w:val="0"/>
        </w:rPr>
        <w:tab/>
        <w:t>or, where an amount is payable in respect of a contract of insurance entered into in relation to the contract relating to one or more of the risks referred to in the preceding subparagraphs — that amount and a statement of the risks to which the amount relates; and</w:t>
      </w:r>
    </w:p>
    <w:p>
      <w:pPr>
        <w:pStyle w:val="yIndenta"/>
        <w:rPr>
          <w:snapToGrid w:val="0"/>
        </w:rPr>
      </w:pPr>
      <w:r>
        <w:rPr>
          <w:snapToGrid w:val="0"/>
        </w:rPr>
        <w:tab/>
        <w:t>(l)</w:t>
      </w:r>
      <w:r>
        <w:rPr>
          <w:snapToGrid w:val="0"/>
        </w:rPr>
        <w:tab/>
        <w:t>amounts that during the billing cycle are added to the amount payable under the contract by the debtor to the credit provider in respect of — </w:t>
      </w:r>
    </w:p>
    <w:p>
      <w:pPr>
        <w:rPr>
          <w:snapToGrid w:val="0"/>
        </w:rPr>
      </w:pPr>
      <w:r>
        <w:rPr>
          <w:snapToGrid w:val="0"/>
        </w:rPr>
        <w:tab/>
        <w:t>(i)</w:t>
      </w:r>
      <w:r>
        <w:rPr>
          <w:snapToGrid w:val="0"/>
        </w:rPr>
        <w:tab/>
        <w:t>stamp duty payable in respect of or in relation to the contract; or</w:t>
      </w:r>
    </w:p>
    <w:p>
      <w:pPr>
        <w:rPr>
          <w:snapToGrid w:val="0"/>
        </w:rPr>
      </w:pPr>
      <w:r>
        <w:rPr>
          <w:snapToGrid w:val="0"/>
        </w:rPr>
        <w:tab/>
        <w:t>(ii)</w:t>
      </w:r>
      <w:r>
        <w:rPr>
          <w:snapToGrid w:val="0"/>
        </w:rPr>
        <w:tab/>
        <w:t>stamp duty payable in respect of or in relation to any mortgage relating to the contract entered into during the billing cycle;</w:t>
      </w:r>
    </w:p>
    <w:p>
      <w:pPr>
        <w:pStyle w:val="yIndenta"/>
        <w:rPr>
          <w:snapToGrid w:val="0"/>
        </w:rPr>
      </w:pPr>
      <w:r>
        <w:rPr>
          <w:snapToGrid w:val="0"/>
        </w:rPr>
        <w:tab/>
      </w:r>
      <w:r>
        <w:rPr>
          <w:snapToGrid w:val="0"/>
        </w:rPr>
        <w:tab/>
        <w:t>and</w:t>
      </w:r>
    </w:p>
    <w:p>
      <w:pPr>
        <w:pStyle w:val="yIndenta"/>
        <w:rPr>
          <w:snapToGrid w:val="0"/>
        </w:rPr>
      </w:pPr>
      <w:r>
        <w:rPr>
          <w:snapToGrid w:val="0"/>
        </w:rPr>
        <w:tab/>
        <w:t>(m)</w:t>
      </w:r>
      <w:r>
        <w:rPr>
          <w:snapToGrid w:val="0"/>
        </w:rPr>
        <w:tab/>
        <w:t>the amount of the credit charge in respect of the billing cycle; and</w:t>
      </w:r>
    </w:p>
    <w:p>
      <w:pPr>
        <w:pStyle w:val="yIndenta"/>
        <w:rPr>
          <w:snapToGrid w:val="0"/>
        </w:rPr>
      </w:pPr>
      <w:r>
        <w:rPr>
          <w:snapToGrid w:val="0"/>
        </w:rPr>
        <w:tab/>
        <w:t>(n)</w:t>
      </w:r>
      <w:r>
        <w:rPr>
          <w:snapToGrid w:val="0"/>
        </w:rPr>
        <w:tab/>
        <w:t>the annual percentage rate in respect of the contract and the manner of its application to the contract; and</w:t>
      </w:r>
    </w:p>
    <w:p>
      <w:pPr>
        <w:pStyle w:val="yIndenta"/>
        <w:rPr>
          <w:snapToGrid w:val="0"/>
        </w:rPr>
      </w:pPr>
      <w:r>
        <w:rPr>
          <w:snapToGrid w:val="0"/>
        </w:rPr>
        <w:tab/>
        <w:t>(o)</w:t>
      </w:r>
      <w:r>
        <w:rPr>
          <w:snapToGrid w:val="0"/>
        </w:rPr>
        <w:tab/>
        <w:t>where the statement of account includes a request for payment of an amount by the debtor — </w:t>
      </w:r>
    </w:p>
    <w:p>
      <w:pPr>
        <w:rPr>
          <w:snapToGrid w:val="0"/>
        </w:rPr>
      </w:pPr>
      <w:r>
        <w:rPr>
          <w:snapToGrid w:val="0"/>
        </w:rPr>
        <w:tab/>
        <w:t>(i)</w:t>
      </w:r>
      <w:r>
        <w:rPr>
          <w:snapToGrid w:val="0"/>
        </w:rPr>
        <w:tab/>
        <w:t>the amount payable or the manner in which it may be ascertained from the statement; and</w:t>
      </w:r>
    </w:p>
    <w:p>
      <w:pPr>
        <w:rPr>
          <w:snapToGrid w:val="0"/>
        </w:rPr>
      </w:pPr>
      <w:r>
        <w:rPr>
          <w:snapToGrid w:val="0"/>
        </w:rPr>
        <w:tab/>
        <w:t>(ii)</w:t>
      </w:r>
      <w:r>
        <w:rPr>
          <w:snapToGrid w:val="0"/>
        </w:rPr>
        <w:tab/>
        <w:t>the person to whom and the place at which the amount is payable; and</w:t>
      </w:r>
    </w:p>
    <w:p>
      <w:pPr>
        <w:rPr>
          <w:snapToGrid w:val="0"/>
        </w:rPr>
      </w:pPr>
      <w:r>
        <w:rPr>
          <w:snapToGrid w:val="0"/>
        </w:rPr>
        <w:tab/>
        <w:t>(iii)</w:t>
      </w:r>
      <w:r>
        <w:rPr>
          <w:snapToGrid w:val="0"/>
        </w:rPr>
        <w:tab/>
        <w:t>the date before which the amount is to be paid;</w:t>
      </w:r>
    </w:p>
    <w:p>
      <w:pPr>
        <w:pStyle w:val="yIndenta"/>
        <w:rPr>
          <w:snapToGrid w:val="0"/>
        </w:rPr>
      </w:pPr>
      <w:r>
        <w:rPr>
          <w:snapToGrid w:val="0"/>
        </w:rPr>
        <w:tab/>
      </w:r>
      <w:r>
        <w:rPr>
          <w:snapToGrid w:val="0"/>
        </w:rPr>
        <w:tab/>
        <w:t>and</w:t>
      </w:r>
    </w:p>
    <w:p>
      <w:pPr>
        <w:pStyle w:val="yIndenta"/>
        <w:rPr>
          <w:snapToGrid w:val="0"/>
        </w:rPr>
      </w:pPr>
      <w:r>
        <w:rPr>
          <w:snapToGrid w:val="0"/>
        </w:rPr>
        <w:tab/>
        <w:t>(p)</w:t>
      </w:r>
      <w:r>
        <w:rPr>
          <w:snapToGrid w:val="0"/>
        </w:rPr>
        <w:tab/>
        <w:t>particulars of amounts that during the billing cycle are added to the amount payable under the contract by the debtor to the credit provider and are the consideration, or part of the consideration, for the discharge of the liability of the debtor to the credit provider under a contract in force before the first day of the billing cycle other than consideration referred to in a preceding paragraph; and</w:t>
      </w:r>
    </w:p>
    <w:p>
      <w:pPr>
        <w:pStyle w:val="yIndenta"/>
        <w:rPr>
          <w:snapToGrid w:val="0"/>
        </w:rPr>
      </w:pPr>
      <w:r>
        <w:rPr>
          <w:snapToGrid w:val="0"/>
        </w:rPr>
        <w:tab/>
        <w:t>(q)</w:t>
      </w:r>
      <w:r>
        <w:rPr>
          <w:snapToGrid w:val="0"/>
        </w:rPr>
        <w:tab/>
        <w:t>particulars of any amount transferred to or from the account to which the statement relates from or to any other account maintained under the contract; and</w:t>
      </w:r>
    </w:p>
    <w:p>
      <w:pPr>
        <w:pStyle w:val="yIndenta"/>
        <w:rPr>
          <w:snapToGrid w:val="0"/>
        </w:rPr>
      </w:pPr>
      <w:r>
        <w:rPr>
          <w:snapToGrid w:val="0"/>
        </w:rPr>
        <w:tab/>
        <w:t>(r)</w:t>
      </w:r>
      <w:r>
        <w:rPr>
          <w:snapToGrid w:val="0"/>
        </w:rPr>
        <w:tab/>
        <w:t>particulars of amounts that during the billing cycle are added to the amount payable under the contract by the debtor to the credit provider in respect of the value of any consideration provided by the credit provider to the debtor, being consideration of a kind prescribed for the purposes</w:t>
      </w:r>
      <w:bookmarkStart w:id="350" w:name="RuleErr_85"/>
      <w:r>
        <w:rPr>
          <w:snapToGrid w:val="0"/>
        </w:rPr>
        <w:t xml:space="preserve"> of this paragraph</w:t>
      </w:r>
      <w:bookmarkEnd w:id="350"/>
      <w:r>
        <w:rPr>
          <w:snapToGrid w:val="0"/>
        </w:rPr>
        <w:t>, other than consideration referred to in a preceding paragraph.</w:t>
      </w:r>
    </w:p>
    <w:p>
      <w:pPr>
        <w:pStyle w:val="yFootnotesection"/>
      </w:pPr>
      <w:r>
        <w:tab/>
        <w:t xml:space="preserve">[Clause 1 amended by No. 58 of 1992 s. 7(c)(i) and (ii).] </w:t>
      </w:r>
    </w:p>
    <w:p>
      <w:pPr>
        <w:pStyle w:val="ySubsection"/>
        <w:rPr>
          <w:snapToGrid w:val="0"/>
        </w:rPr>
      </w:pPr>
      <w:r>
        <w:rPr>
          <w:snapToGrid w:val="0"/>
        </w:rPr>
        <w:t>2.</w:t>
      </w:r>
      <w:r>
        <w:rPr>
          <w:snapToGrid w:val="0"/>
        </w:rPr>
        <w:tab/>
      </w:r>
      <w:r>
        <w:rPr>
          <w:snapToGrid w:val="0"/>
        </w:rPr>
        <w:tab/>
        <w:t>In clause 1 — </w:t>
      </w:r>
    </w:p>
    <w:p>
      <w:pPr>
        <w:pStyle w:val="yIndenta"/>
        <w:rPr>
          <w:snapToGrid w:val="0"/>
        </w:rPr>
      </w:pPr>
      <w:r>
        <w:rPr>
          <w:snapToGrid w:val="0"/>
        </w:rPr>
        <w:tab/>
        <w:t>(a)</w:t>
      </w:r>
      <w:r>
        <w:rPr>
          <w:snapToGrid w:val="0"/>
        </w:rPr>
        <w:tab/>
        <w:t>a reference to an amount paid, or owed by or supplied to, or in respect of which credit is provided to or given by way of refund or allowance to, a debtor under a continuing credit contract at a particular time or during a particular period — </w:t>
      </w:r>
    </w:p>
    <w:p>
      <w:pPr>
        <w:rPr>
          <w:snapToGrid w:val="0"/>
        </w:rPr>
      </w:pPr>
      <w:r>
        <w:rPr>
          <w:snapToGrid w:val="0"/>
        </w:rPr>
        <w:tab/>
        <w:t>(i)</w:t>
      </w:r>
      <w:r>
        <w:rPr>
          <w:snapToGrid w:val="0"/>
        </w:rPr>
        <w:tab/>
        <w:t>does not include a reference to an amount paid or owed by, or supplied to, or in respect of which credit is provided to, or given by way of refund or allowance to, the debtor at that time or during that period that is not at that time or during that period entered in an account of the debtor kept by the credit provider; and</w:t>
      </w:r>
    </w:p>
    <w:p>
      <w:pPr>
        <w:rPr>
          <w:snapToGrid w:val="0"/>
        </w:rPr>
      </w:pPr>
      <w:r>
        <w:rPr>
          <w:snapToGrid w:val="0"/>
        </w:rPr>
        <w:tab/>
        <w:t>(ii)</w:t>
      </w:r>
      <w:r>
        <w:rPr>
          <w:snapToGrid w:val="0"/>
        </w:rPr>
        <w:tab/>
        <w:t xml:space="preserve">includes a reference to an amount paid or owed by or supplied to, or in respect of which credit is provided to, or given by way of refund or allowance to, the debtor before that time or period that has not been included in an earlier statement of account under the contract;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 reference to goods or services supplied to a debtor during a billing cycle — </w:t>
      </w:r>
    </w:p>
    <w:p>
      <w:pPr>
        <w:rPr>
          <w:snapToGrid w:val="0"/>
        </w:rPr>
      </w:pPr>
      <w:r>
        <w:rPr>
          <w:snapToGrid w:val="0"/>
        </w:rPr>
        <w:tab/>
        <w:t>(i)</w:t>
      </w:r>
      <w:r>
        <w:rPr>
          <w:snapToGrid w:val="0"/>
        </w:rPr>
        <w:tab/>
        <w:t>does not include a reference to goods or services supplied to a debtor during a billing cycle but in respect of which an amount is not during the billing cycle entered in an account of the debtor kept by the credit provider; and</w:t>
      </w:r>
    </w:p>
    <w:p>
      <w:pPr>
        <w:rPr>
          <w:snapToGrid w:val="0"/>
        </w:rPr>
      </w:pPr>
      <w:r>
        <w:rPr>
          <w:snapToGrid w:val="0"/>
        </w:rPr>
        <w:tab/>
        <w:t>(ii)</w:t>
      </w:r>
      <w:r>
        <w:rPr>
          <w:snapToGrid w:val="0"/>
        </w:rPr>
        <w:tab/>
        <w:t>includes a reference to goods or services supplied before the commencement of the billing cycle but have not been included in an earlier statement of account under the contract.</w:t>
      </w:r>
    </w:p>
    <w:p>
      <w:pPr>
        <w:pStyle w:val="ySubsection"/>
        <w:rPr>
          <w:snapToGrid w:val="0"/>
        </w:rPr>
      </w:pPr>
      <w:r>
        <w:rPr>
          <w:snapToGrid w:val="0"/>
        </w:rPr>
        <w:t>3.</w:t>
      </w:r>
      <w:r>
        <w:rPr>
          <w:snapToGrid w:val="0"/>
        </w:rPr>
        <w:tab/>
      </w:r>
      <w:r>
        <w:rPr>
          <w:snapToGrid w:val="0"/>
        </w:rPr>
        <w:tab/>
        <w:t>If an amount payable in relation to a contract of life insurance is included in an amount disclosed under clause 1(k)(iii), nothing in this Schedule requires any further disclosure relating to that contract of life insurance.</w:t>
      </w:r>
    </w:p>
    <w:p>
      <w:pPr>
        <w:pStyle w:val="yFootnotesection"/>
      </w:pPr>
      <w:r>
        <w:tab/>
        <w:t xml:space="preserve">[Clause 3 inserted by No. 58 of 1992 s. 7(c)(iii).] </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6"/>
          <w:headerReference w:type="default" r:id="rId37"/>
          <w:headerReference w:type="first" r:id="rId38"/>
          <w:pgSz w:w="11906" w:h="16838" w:code="9"/>
          <w:pgMar w:top="2381" w:right="2409" w:bottom="3543" w:left="2409" w:header="720" w:footer="3380" w:gutter="0"/>
          <w:cols w:space="720"/>
          <w:noEndnote/>
          <w:docGrid w:linePitch="326"/>
        </w:sectPr>
      </w:pPr>
    </w:p>
    <w:p>
      <w:pPr>
        <w:pStyle w:val="nHeading2"/>
        <w:outlineLvl w:val="0"/>
      </w:pPr>
      <w:bookmarkStart w:id="351" w:name="_Toc378152740"/>
      <w:bookmarkStart w:id="352" w:name="_Toc392496664"/>
      <w:r>
        <w:t>Notes</w:t>
      </w:r>
      <w:bookmarkEnd w:id="351"/>
      <w:bookmarkEnd w:id="352"/>
    </w:p>
    <w:p>
      <w:pPr>
        <w:pStyle w:val="nSubsection"/>
        <w:rPr>
          <w:snapToGrid w:val="0"/>
        </w:rPr>
      </w:pPr>
      <w:r>
        <w:rPr>
          <w:snapToGrid w:val="0"/>
          <w:vertAlign w:val="superscript"/>
        </w:rPr>
        <w:t>1</w:t>
      </w:r>
      <w:r>
        <w:rPr>
          <w:snapToGrid w:val="0"/>
        </w:rPr>
        <w:tab/>
        <w:t xml:space="preserve">This is a compilation of the </w:t>
      </w:r>
      <w:r>
        <w:rPr>
          <w:i/>
          <w:noProof/>
          <w:snapToGrid w:val="0"/>
        </w:rPr>
        <w:t>Credit Act 1984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353" w:name="_Toc392496665"/>
      <w:r>
        <w:t>Compilation table</w:t>
      </w:r>
      <w:bookmarkEnd w:id="353"/>
    </w:p>
    <w:tbl>
      <w:tblPr>
        <w:tblW w:w="7093" w:type="dxa"/>
        <w:tblInd w:w="34" w:type="dxa"/>
        <w:tblLayout w:type="fixed"/>
        <w:tblCellMar>
          <w:left w:w="56" w:type="dxa"/>
          <w:right w:w="56" w:type="dxa"/>
        </w:tblCellMar>
        <w:tblLook w:val="0000" w:firstRow="0" w:lastRow="0" w:firstColumn="0" w:lastColumn="0" w:noHBand="0" w:noVBand="0"/>
      </w:tblPr>
      <w:tblGrid>
        <w:gridCol w:w="6"/>
        <w:gridCol w:w="2261"/>
        <w:gridCol w:w="7"/>
        <w:gridCol w:w="1126"/>
        <w:gridCol w:w="7"/>
        <w:gridCol w:w="1127"/>
        <w:gridCol w:w="7"/>
        <w:gridCol w:w="2545"/>
        <w:gridCol w:w="7"/>
      </w:tblGrid>
      <w:tr>
        <w:trPr>
          <w:gridAfter w:val="1"/>
          <w:wAfter w:w="7" w:type="dxa"/>
          <w:cantSplit/>
          <w:tblHeader/>
        </w:trPr>
        <w:tc>
          <w:tcPr>
            <w:tcW w:w="2267"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3"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7" w:type="dxa"/>
          <w:cantSplit/>
        </w:trPr>
        <w:tc>
          <w:tcPr>
            <w:tcW w:w="2267" w:type="dxa"/>
            <w:gridSpan w:val="2"/>
          </w:tcPr>
          <w:p>
            <w:pPr>
              <w:pStyle w:val="nTable"/>
              <w:spacing w:after="40"/>
              <w:rPr>
                <w:sz w:val="19"/>
              </w:rPr>
            </w:pPr>
            <w:r>
              <w:rPr>
                <w:i/>
                <w:sz w:val="19"/>
              </w:rPr>
              <w:t>Credit Act 1984</w:t>
            </w:r>
          </w:p>
        </w:tc>
        <w:tc>
          <w:tcPr>
            <w:tcW w:w="1133" w:type="dxa"/>
            <w:gridSpan w:val="2"/>
          </w:tcPr>
          <w:p>
            <w:pPr>
              <w:pStyle w:val="nTable"/>
              <w:spacing w:after="40"/>
              <w:rPr>
                <w:sz w:val="19"/>
              </w:rPr>
            </w:pPr>
            <w:r>
              <w:rPr>
                <w:sz w:val="19"/>
              </w:rPr>
              <w:t>99 of 1984</w:t>
            </w:r>
          </w:p>
        </w:tc>
        <w:tc>
          <w:tcPr>
            <w:tcW w:w="1134" w:type="dxa"/>
            <w:gridSpan w:val="2"/>
          </w:tcPr>
          <w:p>
            <w:pPr>
              <w:pStyle w:val="nTable"/>
              <w:spacing w:after="40"/>
              <w:rPr>
                <w:sz w:val="19"/>
              </w:rPr>
            </w:pPr>
            <w:r>
              <w:rPr>
                <w:sz w:val="19"/>
              </w:rPr>
              <w:t>27 Dec 1984</w:t>
            </w:r>
          </w:p>
        </w:tc>
        <w:tc>
          <w:tcPr>
            <w:tcW w:w="2552" w:type="dxa"/>
            <w:gridSpan w:val="2"/>
          </w:tcPr>
          <w:p>
            <w:pPr>
              <w:pStyle w:val="nTable"/>
              <w:spacing w:after="40"/>
              <w:rPr>
                <w:sz w:val="19"/>
              </w:rPr>
            </w:pPr>
            <w:r>
              <w:rPr>
                <w:sz w:val="19"/>
              </w:rPr>
              <w:t>s. 1 and 2: 27 Dec 1984;</w:t>
            </w:r>
            <w:r>
              <w:rPr>
                <w:sz w:val="19"/>
              </w:rPr>
              <w:br/>
              <w:t>Act other than s. 1, 2 and 91(3): 31 Mar 198</w:t>
            </w:r>
            <w:bookmarkStart w:id="354" w:name="RuleErr_4"/>
            <w:r>
              <w:rPr>
                <w:sz w:val="19"/>
              </w:rPr>
              <w:t>5 (</w:t>
            </w:r>
            <w:bookmarkEnd w:id="354"/>
            <w:r>
              <w:rPr>
                <w:sz w:val="19"/>
              </w:rPr>
              <w:t xml:space="preserve">see s. 2 and </w:t>
            </w:r>
            <w:r>
              <w:rPr>
                <w:i/>
                <w:sz w:val="19"/>
              </w:rPr>
              <w:t>Gazette</w:t>
            </w:r>
            <w:r>
              <w:rPr>
                <w:sz w:val="19"/>
              </w:rPr>
              <w:t xml:space="preserve"> 8 Mar 1985 p. 867); s. 91(3) deleted by No. 8 of 2009 s. 44(2)</w:t>
            </w:r>
          </w:p>
        </w:tc>
      </w:tr>
      <w:tr>
        <w:trPr>
          <w:gridAfter w:val="1"/>
          <w:wAfter w:w="7" w:type="dxa"/>
          <w:cantSplit/>
        </w:trPr>
        <w:tc>
          <w:tcPr>
            <w:tcW w:w="2267" w:type="dxa"/>
            <w:gridSpan w:val="2"/>
          </w:tcPr>
          <w:p>
            <w:pPr>
              <w:pStyle w:val="nTable"/>
              <w:spacing w:after="40"/>
              <w:rPr>
                <w:sz w:val="19"/>
              </w:rPr>
            </w:pPr>
            <w:r>
              <w:rPr>
                <w:i/>
                <w:sz w:val="19"/>
              </w:rPr>
              <w:t>Acts Amendment (Credit) Act 1989</w:t>
            </w:r>
            <w:r>
              <w:rPr>
                <w:sz w:val="19"/>
              </w:rPr>
              <w:t xml:space="preserve"> Pt. 2 </w:t>
            </w:r>
            <w:r>
              <w:rPr>
                <w:sz w:val="19"/>
                <w:vertAlign w:val="superscript"/>
              </w:rPr>
              <w:t>7</w:t>
            </w:r>
          </w:p>
        </w:tc>
        <w:tc>
          <w:tcPr>
            <w:tcW w:w="1133" w:type="dxa"/>
            <w:gridSpan w:val="2"/>
          </w:tcPr>
          <w:p>
            <w:pPr>
              <w:pStyle w:val="nTable"/>
              <w:spacing w:after="40"/>
              <w:rPr>
                <w:sz w:val="19"/>
              </w:rPr>
            </w:pPr>
            <w:r>
              <w:rPr>
                <w:sz w:val="19"/>
              </w:rPr>
              <w:t>47 of 1989</w:t>
            </w:r>
          </w:p>
        </w:tc>
        <w:tc>
          <w:tcPr>
            <w:tcW w:w="1134" w:type="dxa"/>
            <w:gridSpan w:val="2"/>
          </w:tcPr>
          <w:p>
            <w:pPr>
              <w:pStyle w:val="nTable"/>
              <w:spacing w:after="40"/>
              <w:rPr>
                <w:sz w:val="19"/>
              </w:rPr>
            </w:pPr>
            <w:r>
              <w:rPr>
                <w:sz w:val="19"/>
              </w:rPr>
              <w:t>9 Jan 1990</w:t>
            </w:r>
          </w:p>
        </w:tc>
        <w:tc>
          <w:tcPr>
            <w:tcW w:w="2552" w:type="dxa"/>
            <w:gridSpan w:val="2"/>
          </w:tcPr>
          <w:p>
            <w:pPr>
              <w:pStyle w:val="nTable"/>
              <w:spacing w:after="40"/>
              <w:rPr>
                <w:sz w:val="19"/>
              </w:rPr>
            </w:pPr>
            <w:r>
              <w:rPr>
                <w:sz w:val="19"/>
              </w:rPr>
              <w:t xml:space="preserve">s. 3: 31 Mar 1985 (see s. 2(2) and </w:t>
            </w:r>
            <w:r>
              <w:rPr>
                <w:i/>
                <w:sz w:val="19"/>
              </w:rPr>
              <w:t>Gazette</w:t>
            </w:r>
            <w:r>
              <w:rPr>
                <w:sz w:val="19"/>
              </w:rPr>
              <w:t xml:space="preserve"> 8 Mar 1985 p. 867);</w:t>
            </w:r>
            <w:r>
              <w:rPr>
                <w:sz w:val="19"/>
              </w:rPr>
              <w:br/>
              <w:t>s. 4 and 5: 9 Jan 199</w:t>
            </w:r>
            <w:bookmarkStart w:id="355" w:name="RuleErr_5"/>
            <w:r>
              <w:rPr>
                <w:sz w:val="19"/>
              </w:rPr>
              <w:t>0 (</w:t>
            </w:r>
            <w:bookmarkEnd w:id="355"/>
            <w:r>
              <w:rPr>
                <w:sz w:val="19"/>
              </w:rPr>
              <w:t>see s. 2(1))</w:t>
            </w:r>
          </w:p>
        </w:tc>
      </w:tr>
      <w:tr>
        <w:trPr>
          <w:gridAfter w:val="1"/>
          <w:wAfter w:w="7" w:type="dxa"/>
          <w:cantSplit/>
        </w:trPr>
        <w:tc>
          <w:tcPr>
            <w:tcW w:w="2267" w:type="dxa"/>
            <w:gridSpan w:val="2"/>
          </w:tcPr>
          <w:p>
            <w:pPr>
              <w:pStyle w:val="nTable"/>
              <w:spacing w:after="40"/>
              <w:rPr>
                <w:sz w:val="19"/>
              </w:rPr>
            </w:pPr>
            <w:r>
              <w:rPr>
                <w:i/>
                <w:sz w:val="19"/>
              </w:rPr>
              <w:t>Credit Amendment Act 1992</w:t>
            </w:r>
          </w:p>
        </w:tc>
        <w:tc>
          <w:tcPr>
            <w:tcW w:w="1133" w:type="dxa"/>
            <w:gridSpan w:val="2"/>
          </w:tcPr>
          <w:p>
            <w:pPr>
              <w:pStyle w:val="nTable"/>
              <w:spacing w:after="40"/>
              <w:rPr>
                <w:sz w:val="19"/>
              </w:rPr>
            </w:pPr>
            <w:r>
              <w:rPr>
                <w:sz w:val="19"/>
              </w:rPr>
              <w:t>58 of 1992</w:t>
            </w:r>
          </w:p>
        </w:tc>
        <w:tc>
          <w:tcPr>
            <w:tcW w:w="1134" w:type="dxa"/>
            <w:gridSpan w:val="2"/>
          </w:tcPr>
          <w:p>
            <w:pPr>
              <w:pStyle w:val="nTable"/>
              <w:spacing w:after="40"/>
              <w:rPr>
                <w:sz w:val="19"/>
              </w:rPr>
            </w:pPr>
            <w:r>
              <w:rPr>
                <w:sz w:val="19"/>
              </w:rPr>
              <w:t>11 Dec 1992</w:t>
            </w:r>
          </w:p>
        </w:tc>
        <w:tc>
          <w:tcPr>
            <w:tcW w:w="2552" w:type="dxa"/>
            <w:gridSpan w:val="2"/>
          </w:tcPr>
          <w:p>
            <w:pPr>
              <w:pStyle w:val="nTable"/>
              <w:spacing w:after="40"/>
              <w:rPr>
                <w:sz w:val="19"/>
              </w:rPr>
            </w:pPr>
            <w:r>
              <w:rPr>
                <w:sz w:val="19"/>
              </w:rPr>
              <w:t>s. 1 and 2: 11 Dec 1992;</w:t>
            </w:r>
            <w:r>
              <w:rPr>
                <w:sz w:val="19"/>
              </w:rPr>
              <w:br/>
              <w:t>Act other than s. 1 and 2: 11 Jan 199</w:t>
            </w:r>
            <w:bookmarkStart w:id="356" w:name="RuleErr_7"/>
            <w:r>
              <w:rPr>
                <w:sz w:val="19"/>
              </w:rPr>
              <w:t>3 (</w:t>
            </w:r>
            <w:bookmarkEnd w:id="356"/>
            <w:r>
              <w:rPr>
                <w:sz w:val="19"/>
              </w:rPr>
              <w:t xml:space="preserve">see s. 2 and </w:t>
            </w:r>
            <w:r>
              <w:rPr>
                <w:i/>
                <w:sz w:val="19"/>
              </w:rPr>
              <w:t>Gazette</w:t>
            </w:r>
            <w:r>
              <w:rPr>
                <w:sz w:val="19"/>
              </w:rPr>
              <w:t xml:space="preserve"> 8 Jan 1993 p. 25)</w:t>
            </w:r>
          </w:p>
        </w:tc>
      </w:tr>
      <w:tr>
        <w:trPr>
          <w:gridAfter w:val="1"/>
          <w:wAfter w:w="7" w:type="dxa"/>
          <w:cantSplit/>
        </w:trPr>
        <w:tc>
          <w:tcPr>
            <w:tcW w:w="2267" w:type="dxa"/>
            <w:gridSpan w:val="2"/>
          </w:tcPr>
          <w:p>
            <w:pPr>
              <w:pStyle w:val="nTable"/>
              <w:spacing w:after="40"/>
              <w:rPr>
                <w:sz w:val="19"/>
              </w:rPr>
            </w:pPr>
            <w:r>
              <w:rPr>
                <w:i/>
                <w:sz w:val="19"/>
              </w:rPr>
              <w:t>Consumer Credit (</w:t>
            </w:r>
            <w:smartTag w:uri="urn:schemas-microsoft-com:office:smarttags" w:element="place">
              <w:smartTag w:uri="urn:schemas-microsoft-com:office:smarttags" w:element="State">
                <w:r>
                  <w:rPr>
                    <w:i/>
                    <w:sz w:val="19"/>
                  </w:rPr>
                  <w:t>Western Australia</w:t>
                </w:r>
              </w:smartTag>
            </w:smartTag>
            <w:r>
              <w:rPr>
                <w:i/>
                <w:sz w:val="19"/>
              </w:rPr>
              <w:t>) Act 1996</w:t>
            </w:r>
            <w:r>
              <w:rPr>
                <w:sz w:val="19"/>
              </w:rPr>
              <w:t xml:space="preserve"> s. 13</w:t>
            </w:r>
          </w:p>
        </w:tc>
        <w:tc>
          <w:tcPr>
            <w:tcW w:w="1133" w:type="dxa"/>
            <w:gridSpan w:val="2"/>
          </w:tcPr>
          <w:p>
            <w:pPr>
              <w:pStyle w:val="nTable"/>
              <w:spacing w:after="40"/>
              <w:rPr>
                <w:sz w:val="19"/>
              </w:rPr>
            </w:pPr>
            <w:r>
              <w:rPr>
                <w:sz w:val="19"/>
              </w:rPr>
              <w:t>30 of 1996</w:t>
            </w:r>
          </w:p>
        </w:tc>
        <w:tc>
          <w:tcPr>
            <w:tcW w:w="1134" w:type="dxa"/>
            <w:gridSpan w:val="2"/>
          </w:tcPr>
          <w:p>
            <w:pPr>
              <w:pStyle w:val="nTable"/>
              <w:spacing w:after="40"/>
              <w:rPr>
                <w:sz w:val="19"/>
              </w:rPr>
            </w:pPr>
            <w:r>
              <w:rPr>
                <w:sz w:val="19"/>
              </w:rPr>
              <w:t>10 Sep 1996</w:t>
            </w:r>
          </w:p>
        </w:tc>
        <w:tc>
          <w:tcPr>
            <w:tcW w:w="2552" w:type="dxa"/>
            <w:gridSpan w:val="2"/>
          </w:tcPr>
          <w:p>
            <w:pPr>
              <w:pStyle w:val="nTable"/>
              <w:spacing w:after="40"/>
              <w:rPr>
                <w:sz w:val="19"/>
              </w:rPr>
            </w:pPr>
            <w:r>
              <w:rPr>
                <w:sz w:val="19"/>
              </w:rPr>
              <w:t>1 Nov 199</w:t>
            </w:r>
            <w:bookmarkStart w:id="357" w:name="RuleErr_8"/>
            <w:r>
              <w:rPr>
                <w:sz w:val="19"/>
              </w:rPr>
              <w:t>6 (</w:t>
            </w:r>
            <w:bookmarkEnd w:id="357"/>
            <w:r>
              <w:rPr>
                <w:sz w:val="19"/>
              </w:rPr>
              <w:t>see s. 2)</w:t>
            </w:r>
          </w:p>
        </w:tc>
      </w:tr>
      <w:tr>
        <w:trPr>
          <w:gridAfter w:val="1"/>
          <w:wAfter w:w="7" w:type="dxa"/>
          <w:cantSplit/>
        </w:trPr>
        <w:tc>
          <w:tcPr>
            <w:tcW w:w="2267" w:type="dxa"/>
            <w:gridSpan w:val="2"/>
          </w:tcPr>
          <w:p>
            <w:pPr>
              <w:pStyle w:val="nTable"/>
              <w:spacing w:after="40"/>
              <w:rPr>
                <w:sz w:val="19"/>
              </w:rPr>
            </w:pPr>
            <w:r>
              <w:rPr>
                <w:i/>
                <w:sz w:val="19"/>
              </w:rPr>
              <w:t>Statutes (Repeals and Minor Amendments) Act 1997</w:t>
            </w:r>
            <w:r>
              <w:rPr>
                <w:sz w:val="19"/>
              </w:rPr>
              <w:t xml:space="preserve"> s. 39(10)</w:t>
            </w:r>
          </w:p>
        </w:tc>
        <w:tc>
          <w:tcPr>
            <w:tcW w:w="1133"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w:t>
            </w:r>
            <w:bookmarkStart w:id="358" w:name="RuleErr_9"/>
            <w:r>
              <w:rPr>
                <w:sz w:val="19"/>
              </w:rPr>
              <w:t>7 (</w:t>
            </w:r>
            <w:bookmarkEnd w:id="358"/>
            <w:r>
              <w:rPr>
                <w:sz w:val="19"/>
              </w:rPr>
              <w:t>see s. 2(1))</w:t>
            </w:r>
          </w:p>
        </w:tc>
      </w:tr>
      <w:tr>
        <w:trPr>
          <w:gridAfter w:val="1"/>
          <w:wAfter w:w="7" w:type="dxa"/>
          <w:cantSplit/>
        </w:trPr>
        <w:tc>
          <w:tcPr>
            <w:tcW w:w="2267" w:type="dxa"/>
            <w:gridSpan w:val="2"/>
          </w:tcPr>
          <w:p>
            <w:pPr>
              <w:pStyle w:val="nTable"/>
              <w:spacing w:after="40"/>
              <w:rPr>
                <w:sz w:val="19"/>
              </w:rPr>
            </w:pPr>
            <w:r>
              <w:rPr>
                <w:i/>
                <w:sz w:val="19"/>
              </w:rPr>
              <w:t>Acts Amendment and Repeal (Financial Sector Reform) Act 1999</w:t>
            </w:r>
            <w:r>
              <w:rPr>
                <w:sz w:val="19"/>
              </w:rPr>
              <w:t xml:space="preserve"> s. 70</w:t>
            </w:r>
          </w:p>
        </w:tc>
        <w:tc>
          <w:tcPr>
            <w:tcW w:w="1133" w:type="dxa"/>
            <w:gridSpan w:val="2"/>
          </w:tcPr>
          <w:p>
            <w:pPr>
              <w:pStyle w:val="nTable"/>
              <w:spacing w:after="40"/>
              <w:rPr>
                <w:sz w:val="19"/>
              </w:rPr>
            </w:pPr>
            <w:r>
              <w:rPr>
                <w:sz w:val="19"/>
              </w:rPr>
              <w:t>26 of 1999</w:t>
            </w:r>
          </w:p>
        </w:tc>
        <w:tc>
          <w:tcPr>
            <w:tcW w:w="1134" w:type="dxa"/>
            <w:gridSpan w:val="2"/>
          </w:tcPr>
          <w:p>
            <w:pPr>
              <w:pStyle w:val="nTable"/>
              <w:spacing w:after="40"/>
              <w:rPr>
                <w:sz w:val="19"/>
              </w:rPr>
            </w:pPr>
            <w:r>
              <w:rPr>
                <w:sz w:val="19"/>
              </w:rPr>
              <w:t>29 Jun 1999</w:t>
            </w:r>
          </w:p>
        </w:tc>
        <w:tc>
          <w:tcPr>
            <w:tcW w:w="2552" w:type="dxa"/>
            <w:gridSpan w:val="2"/>
          </w:tcPr>
          <w:p>
            <w:pPr>
              <w:pStyle w:val="nTable"/>
              <w:spacing w:after="40"/>
              <w:rPr>
                <w:sz w:val="19"/>
              </w:rPr>
            </w:pPr>
            <w:r>
              <w:rPr>
                <w:sz w:val="19"/>
              </w:rPr>
              <w:t>1 Jul 199</w:t>
            </w:r>
            <w:bookmarkStart w:id="359" w:name="RuleErr_10"/>
            <w:r>
              <w:rPr>
                <w:sz w:val="19"/>
              </w:rPr>
              <w:t>9 (</w:t>
            </w:r>
            <w:bookmarkEnd w:id="359"/>
            <w:r>
              <w:rPr>
                <w:sz w:val="19"/>
              </w:rPr>
              <w:t xml:space="preserve">see s. 2(1) and </w:t>
            </w:r>
            <w:r>
              <w:rPr>
                <w:i/>
                <w:sz w:val="19"/>
              </w:rPr>
              <w:t>Gazette</w:t>
            </w:r>
            <w:r>
              <w:rPr>
                <w:sz w:val="19"/>
              </w:rPr>
              <w:t xml:space="preserve"> 30 Jun 1999 p. 2905)</w:t>
            </w:r>
          </w:p>
        </w:tc>
      </w:tr>
      <w:tr>
        <w:trPr>
          <w:gridAfter w:val="1"/>
          <w:wAfter w:w="7" w:type="dxa"/>
          <w:cantSplit/>
        </w:trPr>
        <w:tc>
          <w:tcPr>
            <w:tcW w:w="2267" w:type="dxa"/>
            <w:gridSpan w:val="2"/>
          </w:tcPr>
          <w:p>
            <w:pPr>
              <w:pStyle w:val="nTable"/>
              <w:keepNext/>
              <w:keepLines/>
              <w:spacing w:after="40"/>
              <w:rPr>
                <w:i/>
                <w:sz w:val="19"/>
              </w:rPr>
            </w:pPr>
            <w:r>
              <w:rPr>
                <w:i/>
                <w:sz w:val="19"/>
              </w:rPr>
              <w:t>Statutes (Repeals and Minor Amendments) Act 2000</w:t>
            </w:r>
            <w:r>
              <w:rPr>
                <w:sz w:val="19"/>
              </w:rPr>
              <w:t xml:space="preserve"> s. 49</w:t>
            </w:r>
          </w:p>
        </w:tc>
        <w:tc>
          <w:tcPr>
            <w:tcW w:w="1133" w:type="dxa"/>
            <w:gridSpan w:val="2"/>
          </w:tcPr>
          <w:p>
            <w:pPr>
              <w:pStyle w:val="nTable"/>
              <w:keepNext/>
              <w:keepLines/>
              <w:spacing w:after="40"/>
              <w:rPr>
                <w:sz w:val="19"/>
              </w:rPr>
            </w:pPr>
            <w:r>
              <w:rPr>
                <w:sz w:val="19"/>
              </w:rPr>
              <w:t>24 of 2000</w:t>
            </w:r>
          </w:p>
        </w:tc>
        <w:tc>
          <w:tcPr>
            <w:tcW w:w="1134" w:type="dxa"/>
            <w:gridSpan w:val="2"/>
          </w:tcPr>
          <w:p>
            <w:pPr>
              <w:pStyle w:val="nTable"/>
              <w:keepNext/>
              <w:keepLines/>
              <w:spacing w:after="40"/>
              <w:rPr>
                <w:sz w:val="19"/>
              </w:rPr>
            </w:pPr>
            <w:r>
              <w:rPr>
                <w:sz w:val="19"/>
              </w:rPr>
              <w:t>4 Jul 2000</w:t>
            </w:r>
          </w:p>
        </w:tc>
        <w:tc>
          <w:tcPr>
            <w:tcW w:w="2552" w:type="dxa"/>
            <w:gridSpan w:val="2"/>
          </w:tcPr>
          <w:p>
            <w:pPr>
              <w:pStyle w:val="nTable"/>
              <w:keepNext/>
              <w:keepLines/>
              <w:spacing w:after="40"/>
              <w:rPr>
                <w:sz w:val="19"/>
              </w:rPr>
            </w:pPr>
            <w:r>
              <w:rPr>
                <w:sz w:val="19"/>
              </w:rPr>
              <w:t>4 Jul 200</w:t>
            </w:r>
            <w:bookmarkStart w:id="360" w:name="RuleErr_11"/>
            <w:r>
              <w:rPr>
                <w:sz w:val="19"/>
              </w:rPr>
              <w:t>0 (</w:t>
            </w:r>
            <w:bookmarkEnd w:id="360"/>
            <w:r>
              <w:rPr>
                <w:sz w:val="19"/>
              </w:rPr>
              <w:t>see s. 2)</w:t>
            </w:r>
          </w:p>
        </w:tc>
      </w:tr>
      <w:tr>
        <w:trPr>
          <w:gridAfter w:val="1"/>
          <w:wAfter w:w="7" w:type="dxa"/>
          <w:cantSplit/>
        </w:trPr>
        <w:tc>
          <w:tcPr>
            <w:tcW w:w="7086" w:type="dxa"/>
            <w:gridSpan w:val="8"/>
          </w:tcPr>
          <w:p>
            <w:pPr>
              <w:pStyle w:val="nTable"/>
              <w:keepNext/>
              <w:keepLines/>
              <w:spacing w:after="40"/>
              <w:rPr>
                <w:sz w:val="19"/>
              </w:rPr>
            </w:pPr>
            <w:r>
              <w:rPr>
                <w:b/>
                <w:bCs/>
                <w:sz w:val="19"/>
              </w:rPr>
              <w:t xml:space="preserve">Reprint of the </w:t>
            </w:r>
            <w:r>
              <w:rPr>
                <w:b/>
                <w:bCs/>
                <w:i/>
                <w:sz w:val="19"/>
              </w:rPr>
              <w:t>Credit Act 1984</w:t>
            </w:r>
            <w:r>
              <w:rPr>
                <w:b/>
                <w:bCs/>
                <w:sz w:val="19"/>
              </w:rPr>
              <w:t xml:space="preserve"> as at 6 Apr 200</w:t>
            </w:r>
            <w:bookmarkStart w:id="361" w:name="RuleErr_12"/>
            <w:r>
              <w:rPr>
                <w:b/>
                <w:bCs/>
                <w:sz w:val="19"/>
              </w:rPr>
              <w:t>1</w:t>
            </w:r>
            <w:r>
              <w:rPr>
                <w:sz w:val="19"/>
              </w:rPr>
              <w:t xml:space="preserve"> (</w:t>
            </w:r>
            <w:bookmarkEnd w:id="361"/>
            <w:r>
              <w:rPr>
                <w:sz w:val="19"/>
              </w:rPr>
              <w:t>includes amendments listed above)</w:t>
            </w:r>
          </w:p>
        </w:tc>
      </w:tr>
      <w:tr>
        <w:trPr>
          <w:gridAfter w:val="1"/>
          <w:wAfter w:w="7" w:type="dxa"/>
          <w:cantSplit/>
        </w:trPr>
        <w:tc>
          <w:tcPr>
            <w:tcW w:w="2267" w:type="dxa"/>
            <w:gridSpan w:val="2"/>
          </w:tcPr>
          <w:p>
            <w:pPr>
              <w:pStyle w:val="nTable"/>
              <w:spacing w:after="40"/>
              <w:rPr>
                <w:i/>
                <w:sz w:val="19"/>
              </w:rPr>
            </w:pPr>
            <w:r>
              <w:rPr>
                <w:i/>
                <w:sz w:val="19"/>
              </w:rPr>
              <w:t xml:space="preserve">Corporations (Consequential Amendments) Act 2001 </w:t>
            </w:r>
            <w:r>
              <w:rPr>
                <w:sz w:val="19"/>
              </w:rPr>
              <w:t>Pt. 17</w:t>
            </w:r>
          </w:p>
        </w:tc>
        <w:tc>
          <w:tcPr>
            <w:tcW w:w="1133" w:type="dxa"/>
            <w:gridSpan w:val="2"/>
          </w:tcPr>
          <w:p>
            <w:pPr>
              <w:pStyle w:val="nTable"/>
              <w:keepNext/>
              <w:keepLines/>
              <w:spacing w:after="40"/>
              <w:rPr>
                <w:sz w:val="19"/>
              </w:rPr>
            </w:pPr>
            <w:r>
              <w:rPr>
                <w:sz w:val="19"/>
              </w:rPr>
              <w:t>10 of 2001</w:t>
            </w:r>
          </w:p>
        </w:tc>
        <w:tc>
          <w:tcPr>
            <w:tcW w:w="1134" w:type="dxa"/>
            <w:gridSpan w:val="2"/>
          </w:tcPr>
          <w:p>
            <w:pPr>
              <w:pStyle w:val="nTable"/>
              <w:keepNext/>
              <w:keepLines/>
              <w:spacing w:after="40"/>
              <w:rPr>
                <w:sz w:val="19"/>
              </w:rPr>
            </w:pPr>
            <w:r>
              <w:rPr>
                <w:sz w:val="19"/>
              </w:rPr>
              <w:t>28 Jun 2001</w:t>
            </w:r>
          </w:p>
        </w:tc>
        <w:tc>
          <w:tcPr>
            <w:tcW w:w="2552" w:type="dxa"/>
            <w:gridSpan w:val="2"/>
          </w:tcPr>
          <w:p>
            <w:pPr>
              <w:pStyle w:val="nTable"/>
              <w:keepNext/>
              <w:keepLines/>
              <w:spacing w:after="40"/>
              <w:rPr>
                <w:sz w:val="19"/>
              </w:rPr>
            </w:pPr>
            <w:r>
              <w:rPr>
                <w:sz w:val="19"/>
              </w:rPr>
              <w:t>15 Jul 200</w:t>
            </w:r>
            <w:bookmarkStart w:id="362" w:name="RuleErr_13"/>
            <w:r>
              <w:rPr>
                <w:sz w:val="19"/>
              </w:rPr>
              <w:t>1 (</w:t>
            </w:r>
            <w:bookmarkEnd w:id="362"/>
            <w:r>
              <w:rPr>
                <w:sz w:val="19"/>
              </w:rPr>
              <w:t xml:space="preserve">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7" w:type="dxa"/>
          <w:cantSplit/>
        </w:trPr>
        <w:tc>
          <w:tcPr>
            <w:tcW w:w="2267" w:type="dxa"/>
            <w:gridSpan w:val="2"/>
          </w:tcPr>
          <w:p>
            <w:pPr>
              <w:pStyle w:val="nTable"/>
              <w:spacing w:after="40"/>
              <w:rPr>
                <w:sz w:val="19"/>
              </w:rPr>
            </w:pPr>
            <w:r>
              <w:rPr>
                <w:i/>
                <w:sz w:val="19"/>
              </w:rPr>
              <w:t xml:space="preserve">Building Societies Amendment Act 2001 </w:t>
            </w:r>
            <w:r>
              <w:rPr>
                <w:sz w:val="19"/>
              </w:rPr>
              <w:t>s. 51</w:t>
            </w:r>
          </w:p>
        </w:tc>
        <w:tc>
          <w:tcPr>
            <w:tcW w:w="1133" w:type="dxa"/>
            <w:gridSpan w:val="2"/>
          </w:tcPr>
          <w:p>
            <w:pPr>
              <w:pStyle w:val="nTable"/>
              <w:keepNext/>
              <w:keepLines/>
              <w:spacing w:after="40"/>
              <w:rPr>
                <w:sz w:val="19"/>
              </w:rPr>
            </w:pPr>
            <w:r>
              <w:rPr>
                <w:sz w:val="19"/>
              </w:rPr>
              <w:t>12 of 2001</w:t>
            </w:r>
          </w:p>
        </w:tc>
        <w:tc>
          <w:tcPr>
            <w:tcW w:w="1134" w:type="dxa"/>
            <w:gridSpan w:val="2"/>
          </w:tcPr>
          <w:p>
            <w:pPr>
              <w:pStyle w:val="nTable"/>
              <w:keepNext/>
              <w:keepLines/>
              <w:spacing w:after="40"/>
              <w:rPr>
                <w:sz w:val="19"/>
              </w:rPr>
            </w:pPr>
            <w:r>
              <w:rPr>
                <w:sz w:val="19"/>
              </w:rPr>
              <w:t>13 Jul 2001</w:t>
            </w:r>
          </w:p>
        </w:tc>
        <w:tc>
          <w:tcPr>
            <w:tcW w:w="2552" w:type="dxa"/>
            <w:gridSpan w:val="2"/>
          </w:tcPr>
          <w:p>
            <w:pPr>
              <w:pStyle w:val="nTable"/>
              <w:keepNext/>
              <w:keepLines/>
              <w:spacing w:after="40"/>
              <w:rPr>
                <w:sz w:val="19"/>
              </w:rPr>
            </w:pPr>
            <w:r>
              <w:rPr>
                <w:sz w:val="19"/>
              </w:rPr>
              <w:t>13 Jul 200</w:t>
            </w:r>
            <w:bookmarkStart w:id="363" w:name="RuleErr_14"/>
            <w:r>
              <w:rPr>
                <w:sz w:val="19"/>
              </w:rPr>
              <w:t>1 (</w:t>
            </w:r>
            <w:bookmarkEnd w:id="363"/>
            <w:r>
              <w:rPr>
                <w:sz w:val="19"/>
              </w:rPr>
              <w:t>see s. 2)</w:t>
            </w:r>
          </w:p>
        </w:tc>
      </w:tr>
      <w:tr>
        <w:trPr>
          <w:gridAfter w:val="1"/>
          <w:wAfter w:w="7" w:type="dxa"/>
          <w:cantSplit/>
        </w:trPr>
        <w:tc>
          <w:tcPr>
            <w:tcW w:w="2267" w:type="dxa"/>
            <w:gridSpan w:val="2"/>
          </w:tcPr>
          <w:p>
            <w:pPr>
              <w:pStyle w:val="nTable"/>
              <w:spacing w:after="40"/>
              <w:rPr>
                <w:sz w:val="19"/>
              </w:rPr>
            </w:pPr>
            <w:r>
              <w:rPr>
                <w:i/>
                <w:sz w:val="19"/>
              </w:rPr>
              <w:t>Acts Amendment (Equality of Status) Act 2003</w:t>
            </w:r>
            <w:r>
              <w:rPr>
                <w:sz w:val="19"/>
              </w:rPr>
              <w:t xml:space="preserve"> Pt. 11</w:t>
            </w:r>
          </w:p>
        </w:tc>
        <w:tc>
          <w:tcPr>
            <w:tcW w:w="1133" w:type="dxa"/>
            <w:gridSpan w:val="2"/>
          </w:tcPr>
          <w:p>
            <w:pPr>
              <w:pStyle w:val="nTable"/>
              <w:keepNext/>
              <w:keepLines/>
              <w:spacing w:after="40"/>
              <w:rPr>
                <w:sz w:val="19"/>
              </w:rPr>
            </w:pPr>
            <w:r>
              <w:rPr>
                <w:sz w:val="19"/>
              </w:rPr>
              <w:t>28 of 2003</w:t>
            </w:r>
          </w:p>
        </w:tc>
        <w:tc>
          <w:tcPr>
            <w:tcW w:w="1134" w:type="dxa"/>
            <w:gridSpan w:val="2"/>
          </w:tcPr>
          <w:p>
            <w:pPr>
              <w:pStyle w:val="nTable"/>
              <w:keepNext/>
              <w:keepLines/>
              <w:spacing w:after="40"/>
              <w:rPr>
                <w:sz w:val="19"/>
              </w:rPr>
            </w:pPr>
            <w:r>
              <w:rPr>
                <w:sz w:val="19"/>
              </w:rPr>
              <w:t>22 May 2003</w:t>
            </w:r>
          </w:p>
        </w:tc>
        <w:tc>
          <w:tcPr>
            <w:tcW w:w="2552" w:type="dxa"/>
            <w:gridSpan w:val="2"/>
          </w:tcPr>
          <w:p>
            <w:pPr>
              <w:pStyle w:val="nTable"/>
              <w:keepNext/>
              <w:keepLines/>
              <w:spacing w:after="40"/>
              <w:rPr>
                <w:sz w:val="19"/>
              </w:rPr>
            </w:pPr>
            <w:r>
              <w:rPr>
                <w:sz w:val="19"/>
              </w:rPr>
              <w:t>1 Jul 200</w:t>
            </w:r>
            <w:bookmarkStart w:id="364" w:name="RuleErr_15"/>
            <w:r>
              <w:rPr>
                <w:sz w:val="19"/>
              </w:rPr>
              <w:t>3 (</w:t>
            </w:r>
            <w:bookmarkEnd w:id="364"/>
            <w:r>
              <w:rPr>
                <w:sz w:val="19"/>
              </w:rPr>
              <w:t xml:space="preserve">see s. 2 and </w:t>
            </w:r>
            <w:r>
              <w:rPr>
                <w:i/>
                <w:sz w:val="19"/>
              </w:rPr>
              <w:t xml:space="preserve">Gazette </w:t>
            </w:r>
            <w:r>
              <w:rPr>
                <w:sz w:val="19"/>
              </w:rPr>
              <w:t>30 Jun 2003 p. 2579)</w:t>
            </w:r>
          </w:p>
        </w:tc>
      </w:tr>
      <w:tr>
        <w:trPr>
          <w:gridAfter w:val="1"/>
          <w:wAfter w:w="7" w:type="dxa"/>
          <w:cantSplit/>
        </w:trPr>
        <w:tc>
          <w:tcPr>
            <w:tcW w:w="2267" w:type="dxa"/>
            <w:gridSpan w:val="2"/>
          </w:tcPr>
          <w:p>
            <w:pPr>
              <w:pStyle w:val="nTable"/>
              <w:spacing w:after="40"/>
              <w:rPr>
                <w:i/>
                <w:sz w:val="19"/>
              </w:rPr>
            </w:pPr>
            <w:r>
              <w:rPr>
                <w:i/>
                <w:iCs/>
                <w:snapToGrid w:val="0"/>
                <w:sz w:val="19"/>
              </w:rPr>
              <w:t>Workers’ Compensation Reform Act 2004</w:t>
            </w:r>
            <w:r>
              <w:rPr>
                <w:snapToGrid w:val="0"/>
                <w:sz w:val="19"/>
              </w:rPr>
              <w:t xml:space="preserve"> s. 174</w:t>
            </w:r>
          </w:p>
        </w:tc>
        <w:tc>
          <w:tcPr>
            <w:tcW w:w="1133" w:type="dxa"/>
            <w:gridSpan w:val="2"/>
          </w:tcPr>
          <w:p>
            <w:pPr>
              <w:pStyle w:val="nTable"/>
              <w:keepNext/>
              <w:keepLines/>
              <w:spacing w:after="40"/>
              <w:rPr>
                <w:sz w:val="19"/>
              </w:rPr>
            </w:pPr>
            <w:r>
              <w:rPr>
                <w:snapToGrid w:val="0"/>
                <w:sz w:val="19"/>
              </w:rPr>
              <w:t>42 of 2004</w:t>
            </w:r>
          </w:p>
        </w:tc>
        <w:tc>
          <w:tcPr>
            <w:tcW w:w="1134" w:type="dxa"/>
            <w:gridSpan w:val="2"/>
          </w:tcPr>
          <w:p>
            <w:pPr>
              <w:pStyle w:val="nTable"/>
              <w:keepNext/>
              <w:keepLines/>
              <w:spacing w:after="40"/>
              <w:rPr>
                <w:sz w:val="19"/>
              </w:rPr>
            </w:pPr>
            <w:r>
              <w:rPr>
                <w:sz w:val="19"/>
              </w:rPr>
              <w:t>9 Nov 2004</w:t>
            </w:r>
          </w:p>
        </w:tc>
        <w:tc>
          <w:tcPr>
            <w:tcW w:w="2552" w:type="dxa"/>
            <w:gridSpan w:val="2"/>
          </w:tcPr>
          <w:p>
            <w:pPr>
              <w:pStyle w:val="nTable"/>
              <w:keepNext/>
              <w:keepLines/>
              <w:spacing w:after="40"/>
              <w:rPr>
                <w:sz w:val="19"/>
              </w:rPr>
            </w:pPr>
            <w:r>
              <w:rPr>
                <w:iCs/>
                <w:spacing w:val="-2"/>
                <w:sz w:val="19"/>
              </w:rPr>
              <w:t>4 Jan 200</w:t>
            </w:r>
            <w:bookmarkStart w:id="365" w:name="RuleErr_16"/>
            <w:r>
              <w:rPr>
                <w:iCs/>
                <w:spacing w:val="-2"/>
                <w:sz w:val="19"/>
              </w:rPr>
              <w:t>5 (</w:t>
            </w:r>
            <w:bookmarkEnd w:id="365"/>
            <w:r>
              <w:rPr>
                <w:iCs/>
                <w:spacing w:val="-2"/>
                <w:sz w:val="19"/>
              </w:rPr>
              <w:t xml:space="preserve">see s. 2 and </w:t>
            </w:r>
            <w:r>
              <w:rPr>
                <w:i/>
                <w:iCs/>
                <w:spacing w:val="-2"/>
                <w:sz w:val="19"/>
              </w:rPr>
              <w:t>Gazette</w:t>
            </w:r>
            <w:r>
              <w:rPr>
                <w:iCs/>
                <w:spacing w:val="-2"/>
                <w:sz w:val="19"/>
              </w:rPr>
              <w:t xml:space="preserve"> 31 Dec 2004 p. 7131)</w:t>
            </w:r>
          </w:p>
        </w:tc>
      </w:tr>
      <w:tr>
        <w:trPr>
          <w:gridAfter w:val="1"/>
          <w:wAfter w:w="7" w:type="dxa"/>
          <w:cantSplit/>
        </w:trPr>
        <w:tc>
          <w:tcPr>
            <w:tcW w:w="2267" w:type="dxa"/>
            <w:gridSpan w:val="2"/>
          </w:tcPr>
          <w:p>
            <w:pPr>
              <w:pStyle w:val="nTable"/>
              <w:spacing w:after="40"/>
              <w:rPr>
                <w:i/>
                <w:iCs/>
                <w:snapToGrid w:val="0"/>
                <w:sz w:val="19"/>
              </w:rPr>
            </w:pPr>
            <w:r>
              <w:rPr>
                <w:i/>
                <w:iCs/>
                <w:snapToGrid w:val="0"/>
                <w:sz w:val="19"/>
              </w:rPr>
              <w:t>Courts Legislation Amendment and Repeal Act 2004</w:t>
            </w:r>
            <w:r>
              <w:rPr>
                <w:snapToGrid w:val="0"/>
                <w:sz w:val="19"/>
              </w:rPr>
              <w:t xml:space="preserve"> s. 141</w:t>
            </w:r>
          </w:p>
        </w:tc>
        <w:tc>
          <w:tcPr>
            <w:tcW w:w="1133" w:type="dxa"/>
            <w:gridSpan w:val="2"/>
          </w:tcPr>
          <w:p>
            <w:pPr>
              <w:pStyle w:val="nTable"/>
              <w:keepNext/>
              <w:keepLines/>
              <w:spacing w:after="40"/>
              <w:rPr>
                <w:snapToGrid w:val="0"/>
                <w:sz w:val="19"/>
              </w:rPr>
            </w:pPr>
            <w:r>
              <w:rPr>
                <w:snapToGrid w:val="0"/>
                <w:sz w:val="19"/>
              </w:rPr>
              <w:t>59 of 2004</w:t>
            </w:r>
          </w:p>
        </w:tc>
        <w:tc>
          <w:tcPr>
            <w:tcW w:w="1134" w:type="dxa"/>
            <w:gridSpan w:val="2"/>
          </w:tcPr>
          <w:p>
            <w:pPr>
              <w:pStyle w:val="nTable"/>
              <w:keepNext/>
              <w:keepLines/>
              <w:spacing w:after="40"/>
              <w:rPr>
                <w:sz w:val="19"/>
              </w:rPr>
            </w:pPr>
            <w:r>
              <w:rPr>
                <w:sz w:val="19"/>
              </w:rPr>
              <w:t>23 Nov 2004</w:t>
            </w:r>
          </w:p>
        </w:tc>
        <w:tc>
          <w:tcPr>
            <w:tcW w:w="2552" w:type="dxa"/>
            <w:gridSpan w:val="2"/>
          </w:tcPr>
          <w:p>
            <w:pPr>
              <w:pStyle w:val="nTable"/>
              <w:keepNext/>
              <w:keepLines/>
              <w:spacing w:after="40"/>
              <w:rPr>
                <w:iCs/>
                <w:spacing w:val="-2"/>
                <w:sz w:val="19"/>
              </w:rPr>
            </w:pPr>
            <w:r>
              <w:rPr>
                <w:snapToGrid w:val="0"/>
                <w:sz w:val="19"/>
              </w:rPr>
              <w:t>1 May 200</w:t>
            </w:r>
            <w:bookmarkStart w:id="366" w:name="RuleErr_17"/>
            <w:r>
              <w:rPr>
                <w:snapToGrid w:val="0"/>
                <w:sz w:val="19"/>
              </w:rPr>
              <w:t>5 (</w:t>
            </w:r>
            <w:bookmarkEnd w:id="366"/>
            <w:r>
              <w:rPr>
                <w:snapToGrid w:val="0"/>
                <w:sz w:val="19"/>
              </w:rPr>
              <w:t xml:space="preserve">see s. 2 and </w:t>
            </w:r>
            <w:r>
              <w:rPr>
                <w:i/>
                <w:iCs/>
                <w:snapToGrid w:val="0"/>
                <w:sz w:val="19"/>
              </w:rPr>
              <w:t>Gazette</w:t>
            </w:r>
            <w:r>
              <w:rPr>
                <w:snapToGrid w:val="0"/>
                <w:sz w:val="19"/>
              </w:rPr>
              <w:t xml:space="preserve"> 31 Dec 2004 p. 7128)</w:t>
            </w:r>
          </w:p>
        </w:tc>
      </w:tr>
      <w:tr>
        <w:trPr>
          <w:gridAfter w:val="1"/>
          <w:wAfter w:w="7" w:type="dxa"/>
          <w:cantSplit/>
        </w:trPr>
        <w:tc>
          <w:tcPr>
            <w:tcW w:w="2267" w:type="dxa"/>
            <w:gridSpan w:val="2"/>
          </w:tcPr>
          <w:p>
            <w:pPr>
              <w:pStyle w:val="nTable"/>
              <w:spacing w:after="40"/>
              <w:rPr>
                <w:i/>
                <w:sz w:val="19"/>
              </w:rPr>
            </w:pPr>
            <w:r>
              <w:rPr>
                <w:bCs/>
                <w:i/>
                <w:snapToGrid w:val="0"/>
                <w:sz w:val="19"/>
              </w:rPr>
              <w:t>State Administrative Tribunal (Conferral of Jurisdiction) Amendment and Repeal Act 2004</w:t>
            </w:r>
            <w:r>
              <w:rPr>
                <w:bCs/>
                <w:i/>
                <w:iCs/>
                <w:snapToGrid w:val="0"/>
                <w:sz w:val="19"/>
              </w:rPr>
              <w:t xml:space="preserve"> </w:t>
            </w:r>
            <w:r>
              <w:rPr>
                <w:bCs/>
                <w:snapToGrid w:val="0"/>
                <w:sz w:val="19"/>
              </w:rPr>
              <w:t>Pt. 2 Div. 30</w:t>
            </w:r>
            <w:r>
              <w:rPr>
                <w:bCs/>
                <w:snapToGrid w:val="0"/>
                <w:sz w:val="19"/>
                <w:vertAlign w:val="superscript"/>
              </w:rPr>
              <w:t> 8</w:t>
            </w:r>
          </w:p>
        </w:tc>
        <w:tc>
          <w:tcPr>
            <w:tcW w:w="1133" w:type="dxa"/>
            <w:gridSpan w:val="2"/>
          </w:tcPr>
          <w:p>
            <w:pPr>
              <w:pStyle w:val="nTable"/>
              <w:keepNext/>
              <w:keepLines/>
              <w:spacing w:after="40"/>
              <w:rPr>
                <w:sz w:val="19"/>
              </w:rPr>
            </w:pPr>
            <w:r>
              <w:rPr>
                <w:bCs/>
                <w:sz w:val="19"/>
              </w:rPr>
              <w:t>55 of 2004</w:t>
            </w:r>
          </w:p>
        </w:tc>
        <w:tc>
          <w:tcPr>
            <w:tcW w:w="1134" w:type="dxa"/>
            <w:gridSpan w:val="2"/>
          </w:tcPr>
          <w:p>
            <w:pPr>
              <w:pStyle w:val="nTable"/>
              <w:keepNext/>
              <w:keepLines/>
              <w:spacing w:after="40"/>
              <w:rPr>
                <w:sz w:val="19"/>
              </w:rPr>
            </w:pPr>
            <w:r>
              <w:rPr>
                <w:bCs/>
                <w:sz w:val="19"/>
              </w:rPr>
              <w:t>24 Nov 2004</w:t>
            </w:r>
          </w:p>
        </w:tc>
        <w:tc>
          <w:tcPr>
            <w:tcW w:w="2552" w:type="dxa"/>
            <w:gridSpan w:val="2"/>
          </w:tcPr>
          <w:p>
            <w:pPr>
              <w:pStyle w:val="nTable"/>
              <w:keepNext/>
              <w:keepLines/>
              <w:spacing w:after="40"/>
              <w:rPr>
                <w:sz w:val="19"/>
              </w:rPr>
            </w:pPr>
            <w:r>
              <w:rPr>
                <w:sz w:val="19"/>
              </w:rPr>
              <w:t>1 Jan 200</w:t>
            </w:r>
            <w:bookmarkStart w:id="367" w:name="RuleErr_18"/>
            <w:r>
              <w:rPr>
                <w:sz w:val="19"/>
              </w:rPr>
              <w:t>5 (</w:t>
            </w:r>
            <w:bookmarkEnd w:id="367"/>
            <w:r>
              <w:rPr>
                <w:sz w:val="19"/>
              </w:rPr>
              <w:t xml:space="preserve">see s. 2 and </w:t>
            </w:r>
            <w:r>
              <w:rPr>
                <w:i/>
                <w:iCs/>
                <w:sz w:val="19"/>
              </w:rPr>
              <w:t>Gazette</w:t>
            </w:r>
            <w:r>
              <w:rPr>
                <w:sz w:val="19"/>
              </w:rPr>
              <w:t xml:space="preserve"> 31 Dec 2004 p. 7130)</w:t>
            </w:r>
          </w:p>
        </w:tc>
      </w:tr>
      <w:tr>
        <w:trPr>
          <w:gridAfter w:val="1"/>
          <w:wAfter w:w="7" w:type="dxa"/>
          <w:cantSplit/>
        </w:trPr>
        <w:tc>
          <w:tcPr>
            <w:tcW w:w="2267" w:type="dxa"/>
            <w:gridSpan w:val="2"/>
          </w:tcPr>
          <w:p>
            <w:pPr>
              <w:pStyle w:val="nTable"/>
              <w:spacing w:after="40"/>
              <w:rPr>
                <w:bCs/>
                <w:i/>
                <w:snapToGrid w:val="0"/>
                <w:sz w:val="19"/>
              </w:rPr>
            </w:pPr>
            <w:r>
              <w:rPr>
                <w:i/>
                <w:iCs/>
                <w:snapToGrid w:val="0"/>
                <w:sz w:val="19"/>
              </w:rPr>
              <w:t>Criminal Procedure and Appeals (Consequential and Other Provisions) Act 2004</w:t>
            </w:r>
            <w:r>
              <w:rPr>
                <w:snapToGrid w:val="0"/>
                <w:sz w:val="19"/>
              </w:rPr>
              <w:t xml:space="preserve"> s. 82</w:t>
            </w:r>
          </w:p>
        </w:tc>
        <w:tc>
          <w:tcPr>
            <w:tcW w:w="1133" w:type="dxa"/>
            <w:gridSpan w:val="2"/>
          </w:tcPr>
          <w:p>
            <w:pPr>
              <w:pStyle w:val="nTable"/>
              <w:keepNext/>
              <w:keepLines/>
              <w:spacing w:after="40"/>
              <w:rPr>
                <w:bCs/>
                <w:sz w:val="19"/>
              </w:rPr>
            </w:pPr>
            <w:r>
              <w:rPr>
                <w:snapToGrid w:val="0"/>
                <w:sz w:val="19"/>
              </w:rPr>
              <w:t>84 of 2004</w:t>
            </w:r>
          </w:p>
        </w:tc>
        <w:tc>
          <w:tcPr>
            <w:tcW w:w="1134" w:type="dxa"/>
            <w:gridSpan w:val="2"/>
          </w:tcPr>
          <w:p>
            <w:pPr>
              <w:pStyle w:val="nTable"/>
              <w:keepNext/>
              <w:keepLines/>
              <w:spacing w:after="40"/>
              <w:rPr>
                <w:bCs/>
                <w:sz w:val="19"/>
              </w:rPr>
            </w:pPr>
            <w:r>
              <w:rPr>
                <w:sz w:val="19"/>
              </w:rPr>
              <w:t>16 Dec 2004</w:t>
            </w:r>
          </w:p>
        </w:tc>
        <w:tc>
          <w:tcPr>
            <w:tcW w:w="2552" w:type="dxa"/>
            <w:gridSpan w:val="2"/>
          </w:tcPr>
          <w:p>
            <w:pPr>
              <w:pStyle w:val="nTable"/>
              <w:keepNext/>
              <w:keepLines/>
              <w:spacing w:after="40"/>
              <w:rPr>
                <w:sz w:val="19"/>
              </w:rPr>
            </w:pPr>
            <w:r>
              <w:rPr>
                <w:snapToGrid w:val="0"/>
                <w:sz w:val="19"/>
              </w:rPr>
              <w:t>2 May 200</w:t>
            </w:r>
            <w:bookmarkStart w:id="368" w:name="RuleErr_19"/>
            <w:r>
              <w:rPr>
                <w:snapToGrid w:val="0"/>
                <w:sz w:val="19"/>
              </w:rPr>
              <w:t>5 (</w:t>
            </w:r>
            <w:bookmarkEnd w:id="368"/>
            <w:r>
              <w:rPr>
                <w:snapToGrid w:val="0"/>
                <w:sz w:val="19"/>
              </w:rPr>
              <w:t xml:space="preserve">see s. 2 and </w:t>
            </w:r>
            <w:r>
              <w:rPr>
                <w:i/>
                <w:iCs/>
                <w:snapToGrid w:val="0"/>
                <w:sz w:val="19"/>
              </w:rPr>
              <w:t>Gazette</w:t>
            </w:r>
            <w:r>
              <w:rPr>
                <w:snapToGrid w:val="0"/>
                <w:sz w:val="19"/>
              </w:rPr>
              <w:t xml:space="preserve"> 31 Dec 2004 p. 712</w:t>
            </w:r>
            <w:bookmarkStart w:id="369" w:name="RuleErr_20"/>
            <w:r>
              <w:rPr>
                <w:snapToGrid w:val="0"/>
                <w:sz w:val="19"/>
              </w:rPr>
              <w:t>9 (</w:t>
            </w:r>
            <w:bookmarkEnd w:id="369"/>
            <w:r>
              <w:rPr>
                <w:snapToGrid w:val="0"/>
                <w:sz w:val="19"/>
              </w:rPr>
              <w:t xml:space="preserve">correction in </w:t>
            </w:r>
            <w:r>
              <w:rPr>
                <w:i/>
                <w:iCs/>
                <w:snapToGrid w:val="0"/>
                <w:sz w:val="19"/>
              </w:rPr>
              <w:t>Gazette</w:t>
            </w:r>
            <w:r>
              <w:rPr>
                <w:snapToGrid w:val="0"/>
                <w:sz w:val="19"/>
              </w:rPr>
              <w:t xml:space="preserve"> 7 Jan 2005 p. 53))</w:t>
            </w:r>
          </w:p>
        </w:tc>
      </w:tr>
      <w:tr>
        <w:trPr>
          <w:gridAfter w:val="1"/>
          <w:wAfter w:w="7" w:type="dxa"/>
          <w:cantSplit/>
        </w:trPr>
        <w:tc>
          <w:tcPr>
            <w:tcW w:w="7086" w:type="dxa"/>
            <w:gridSpan w:val="8"/>
          </w:tcPr>
          <w:p>
            <w:pPr>
              <w:pStyle w:val="nTable"/>
              <w:keepNext/>
              <w:keepLines/>
              <w:spacing w:after="40"/>
              <w:rPr>
                <w:snapToGrid w:val="0"/>
                <w:sz w:val="19"/>
              </w:rPr>
            </w:pPr>
            <w:r>
              <w:rPr>
                <w:b/>
                <w:bCs/>
                <w:sz w:val="19"/>
              </w:rPr>
              <w:t xml:space="preserve">Reprint 2: The </w:t>
            </w:r>
            <w:r>
              <w:rPr>
                <w:b/>
                <w:bCs/>
                <w:i/>
                <w:sz w:val="19"/>
              </w:rPr>
              <w:t>Credit Act 1984</w:t>
            </w:r>
            <w:r>
              <w:rPr>
                <w:b/>
                <w:bCs/>
                <w:sz w:val="19"/>
              </w:rPr>
              <w:t xml:space="preserve"> as at 24 Jun 200</w:t>
            </w:r>
            <w:bookmarkStart w:id="370" w:name="RuleErr_21"/>
            <w:r>
              <w:rPr>
                <w:b/>
                <w:bCs/>
                <w:sz w:val="19"/>
              </w:rPr>
              <w:t>5</w:t>
            </w:r>
            <w:r>
              <w:rPr>
                <w:sz w:val="19"/>
              </w:rPr>
              <w:t xml:space="preserve"> (</w:t>
            </w:r>
            <w:bookmarkEnd w:id="370"/>
            <w:r>
              <w:rPr>
                <w:sz w:val="19"/>
              </w:rPr>
              <w:t>includes amendments listed above)</w:t>
            </w:r>
          </w:p>
        </w:tc>
      </w:tr>
      <w:tr>
        <w:trPr>
          <w:gridAfter w:val="1"/>
          <w:wAfter w:w="7" w:type="dxa"/>
          <w:cantSplit/>
        </w:trPr>
        <w:tc>
          <w:tcPr>
            <w:tcW w:w="2267" w:type="dxa"/>
            <w:gridSpan w:val="2"/>
          </w:tcPr>
          <w:p>
            <w:pPr>
              <w:pStyle w:val="nTable"/>
              <w:keepNext/>
              <w:keepLines/>
              <w:spacing w:after="40"/>
              <w:rPr>
                <w:b/>
                <w:bCs/>
                <w:sz w:val="19"/>
              </w:rPr>
            </w:pPr>
            <w:r>
              <w:rPr>
                <w:i/>
                <w:iCs/>
                <w:sz w:val="19"/>
              </w:rPr>
              <w:t>Housing Societies Repeal Act 2005</w:t>
            </w:r>
            <w:r>
              <w:rPr>
                <w:sz w:val="19"/>
              </w:rPr>
              <w:t xml:space="preserve"> s. 24 </w:t>
            </w:r>
          </w:p>
        </w:tc>
        <w:tc>
          <w:tcPr>
            <w:tcW w:w="1133" w:type="dxa"/>
            <w:gridSpan w:val="2"/>
          </w:tcPr>
          <w:p>
            <w:pPr>
              <w:spacing w:before="40" w:after="40"/>
              <w:rPr>
                <w:sz w:val="19"/>
              </w:rPr>
            </w:pPr>
            <w:r>
              <w:rPr>
                <w:sz w:val="19"/>
              </w:rPr>
              <w:t>17 of 2005</w:t>
            </w:r>
          </w:p>
        </w:tc>
        <w:tc>
          <w:tcPr>
            <w:tcW w:w="1134" w:type="dxa"/>
            <w:gridSpan w:val="2"/>
          </w:tcPr>
          <w:p>
            <w:pPr>
              <w:spacing w:before="40" w:after="40"/>
              <w:rPr>
                <w:sz w:val="19"/>
              </w:rPr>
            </w:pPr>
            <w:r>
              <w:rPr>
                <w:sz w:val="19"/>
              </w:rPr>
              <w:t>5 Oct 2005</w:t>
            </w:r>
          </w:p>
        </w:tc>
        <w:tc>
          <w:tcPr>
            <w:tcW w:w="2552" w:type="dxa"/>
            <w:gridSpan w:val="2"/>
          </w:tcPr>
          <w:p>
            <w:pPr>
              <w:spacing w:before="40" w:after="40"/>
              <w:rPr>
                <w:sz w:val="19"/>
              </w:rPr>
            </w:pPr>
            <w:r>
              <w:rPr>
                <w:sz w:val="19"/>
              </w:rPr>
              <w:t>10 Jul 201</w:t>
            </w:r>
            <w:bookmarkStart w:id="371" w:name="RuleErr_22"/>
            <w:r>
              <w:rPr>
                <w:sz w:val="19"/>
              </w:rPr>
              <w:t>0 (</w:t>
            </w:r>
            <w:bookmarkEnd w:id="371"/>
            <w:r>
              <w:rPr>
                <w:sz w:val="19"/>
              </w:rPr>
              <w:t xml:space="preserve">see s. 2(3) and </w:t>
            </w:r>
            <w:r>
              <w:rPr>
                <w:i/>
                <w:iCs/>
                <w:sz w:val="19"/>
              </w:rPr>
              <w:t>Gazette</w:t>
            </w:r>
            <w:r>
              <w:rPr>
                <w:sz w:val="19"/>
              </w:rPr>
              <w:t xml:space="preserve"> 9 Jul 2010 p. 3239)</w:t>
            </w:r>
          </w:p>
        </w:tc>
      </w:tr>
      <w:tr>
        <w:trPr>
          <w:gridAfter w:val="1"/>
          <w:wAfter w:w="7" w:type="dxa"/>
          <w:cantSplit/>
        </w:trPr>
        <w:tc>
          <w:tcPr>
            <w:tcW w:w="2267" w:type="dxa"/>
            <w:gridSpan w:val="2"/>
          </w:tcPr>
          <w:p>
            <w:pPr>
              <w:pStyle w:val="nTable"/>
              <w:spacing w:after="40"/>
              <w:rPr>
                <w:bCs/>
                <w:i/>
                <w:snapToGrid w:val="0"/>
                <w:sz w:val="19"/>
              </w:rPr>
            </w:pPr>
            <w:r>
              <w:rPr>
                <w:bCs/>
                <w:i/>
                <w:snapToGrid w:val="0"/>
                <w:sz w:val="19"/>
              </w:rPr>
              <w:t>Machinery of Government (Miscellaneous Amendments) Act 2006</w:t>
            </w:r>
            <w:r>
              <w:rPr>
                <w:bCs/>
                <w:i/>
                <w:iCs/>
                <w:snapToGrid w:val="0"/>
                <w:sz w:val="19"/>
              </w:rPr>
              <w:t xml:space="preserve"> </w:t>
            </w:r>
            <w:r>
              <w:rPr>
                <w:bCs/>
                <w:snapToGrid w:val="0"/>
                <w:sz w:val="19"/>
              </w:rPr>
              <w:t xml:space="preserve">Pt. 4 Div. 9 </w:t>
            </w:r>
            <w:r>
              <w:rPr>
                <w:bCs/>
                <w:snapToGrid w:val="0"/>
                <w:sz w:val="19"/>
                <w:vertAlign w:val="superscript"/>
              </w:rPr>
              <w:t>9</w:t>
            </w:r>
          </w:p>
        </w:tc>
        <w:tc>
          <w:tcPr>
            <w:tcW w:w="1133" w:type="dxa"/>
            <w:gridSpan w:val="2"/>
          </w:tcPr>
          <w:p>
            <w:pPr>
              <w:pStyle w:val="nTable"/>
              <w:keepNext/>
              <w:keepLines/>
              <w:spacing w:after="40"/>
              <w:rPr>
                <w:bCs/>
                <w:sz w:val="19"/>
              </w:rPr>
            </w:pPr>
            <w:r>
              <w:rPr>
                <w:bCs/>
                <w:sz w:val="19"/>
              </w:rPr>
              <w:t>28 of 2006</w:t>
            </w:r>
          </w:p>
        </w:tc>
        <w:tc>
          <w:tcPr>
            <w:tcW w:w="1134" w:type="dxa"/>
            <w:gridSpan w:val="2"/>
          </w:tcPr>
          <w:p>
            <w:pPr>
              <w:pStyle w:val="nTable"/>
              <w:keepNext/>
              <w:keepLines/>
              <w:spacing w:after="40"/>
              <w:rPr>
                <w:bCs/>
                <w:sz w:val="19"/>
              </w:rPr>
            </w:pPr>
            <w:r>
              <w:rPr>
                <w:bCs/>
                <w:sz w:val="19"/>
              </w:rPr>
              <w:t>26 Jun 2006</w:t>
            </w:r>
          </w:p>
        </w:tc>
        <w:tc>
          <w:tcPr>
            <w:tcW w:w="2552" w:type="dxa"/>
            <w:gridSpan w:val="2"/>
          </w:tcPr>
          <w:p>
            <w:pPr>
              <w:pStyle w:val="nTable"/>
              <w:keepNext/>
              <w:keepLines/>
              <w:spacing w:after="40"/>
              <w:rPr>
                <w:sz w:val="19"/>
              </w:rPr>
            </w:pPr>
            <w:r>
              <w:rPr>
                <w:sz w:val="19"/>
              </w:rPr>
              <w:t>1 Jul 200</w:t>
            </w:r>
            <w:bookmarkStart w:id="372" w:name="RuleErr_23"/>
            <w:r>
              <w:rPr>
                <w:sz w:val="19"/>
              </w:rPr>
              <w:t>6 (</w:t>
            </w:r>
            <w:bookmarkEnd w:id="372"/>
            <w:r>
              <w:rPr>
                <w:sz w:val="19"/>
              </w:rPr>
              <w:t xml:space="preserve">see s. 2 and </w:t>
            </w:r>
            <w:r>
              <w:rPr>
                <w:i/>
                <w:iCs/>
                <w:sz w:val="19"/>
              </w:rPr>
              <w:t>Gazette</w:t>
            </w:r>
            <w:r>
              <w:rPr>
                <w:sz w:val="19"/>
              </w:rPr>
              <w:t xml:space="preserve"> 27 Jun 2006 p. 2347)</w:t>
            </w:r>
          </w:p>
        </w:tc>
      </w:tr>
      <w:tr>
        <w:trPr>
          <w:gridAfter w:val="1"/>
          <w:wAfter w:w="7" w:type="dxa"/>
          <w:cantSplit/>
        </w:trPr>
        <w:tc>
          <w:tcPr>
            <w:tcW w:w="2267" w:type="dxa"/>
            <w:gridSpan w:val="2"/>
          </w:tcPr>
          <w:p>
            <w:pPr>
              <w:pStyle w:val="nTable"/>
              <w:spacing w:after="40"/>
              <w:rPr>
                <w:iCs/>
                <w:sz w:val="19"/>
                <w:vertAlign w:val="superscript"/>
              </w:rPr>
            </w:pPr>
            <w:r>
              <w:rPr>
                <w:i/>
                <w:sz w:val="19"/>
              </w:rPr>
              <w:t>Duties Legislation Amendment Act 2008</w:t>
            </w:r>
            <w:r>
              <w:rPr>
                <w:iCs/>
                <w:sz w:val="19"/>
              </w:rPr>
              <w:t xml:space="preserve"> Sch. 1 cl. 6</w:t>
            </w:r>
          </w:p>
        </w:tc>
        <w:tc>
          <w:tcPr>
            <w:tcW w:w="1133" w:type="dxa"/>
            <w:gridSpan w:val="2"/>
          </w:tcPr>
          <w:p>
            <w:pPr>
              <w:pStyle w:val="nTable"/>
              <w:spacing w:after="40"/>
              <w:rPr>
                <w:sz w:val="19"/>
              </w:rPr>
            </w:pPr>
            <w:r>
              <w:rPr>
                <w:sz w:val="19"/>
              </w:rPr>
              <w:t>12 of 2008</w:t>
            </w:r>
          </w:p>
        </w:tc>
        <w:tc>
          <w:tcPr>
            <w:tcW w:w="1134" w:type="dxa"/>
            <w:gridSpan w:val="2"/>
          </w:tcPr>
          <w:p>
            <w:pPr>
              <w:pStyle w:val="nTable"/>
              <w:spacing w:after="40"/>
              <w:rPr>
                <w:sz w:val="19"/>
              </w:rPr>
            </w:pPr>
            <w:r>
              <w:rPr>
                <w:sz w:val="19"/>
              </w:rPr>
              <w:t>14 Apr 2008</w:t>
            </w:r>
          </w:p>
        </w:tc>
        <w:tc>
          <w:tcPr>
            <w:tcW w:w="2552" w:type="dxa"/>
            <w:gridSpan w:val="2"/>
          </w:tcPr>
          <w:p>
            <w:pPr>
              <w:pStyle w:val="nTable"/>
              <w:spacing w:after="40"/>
              <w:rPr>
                <w:sz w:val="19"/>
              </w:rPr>
            </w:pPr>
            <w:r>
              <w:rPr>
                <w:sz w:val="19"/>
              </w:rPr>
              <w:t>1 Jul 200</w:t>
            </w:r>
            <w:bookmarkStart w:id="373" w:name="RuleErr_24"/>
            <w:r>
              <w:rPr>
                <w:sz w:val="19"/>
              </w:rPr>
              <w:t>8 (</w:t>
            </w:r>
            <w:bookmarkEnd w:id="373"/>
            <w:r>
              <w:rPr>
                <w:sz w:val="19"/>
              </w:rPr>
              <w:t>see s. 2(d))</w:t>
            </w:r>
          </w:p>
        </w:tc>
      </w:tr>
      <w:tr>
        <w:trPr>
          <w:gridAfter w:val="1"/>
          <w:wAfter w:w="7" w:type="dxa"/>
          <w:cantSplit/>
        </w:trPr>
        <w:tc>
          <w:tcPr>
            <w:tcW w:w="2267" w:type="dxa"/>
            <w:gridSpan w:val="2"/>
          </w:tcPr>
          <w:p>
            <w:pPr>
              <w:pStyle w:val="nTable"/>
              <w:spacing w:after="40"/>
              <w:ind w:right="113"/>
              <w:rPr>
                <w:iCs/>
                <w:sz w:val="19"/>
              </w:rPr>
            </w:pPr>
            <w:r>
              <w:rPr>
                <w:i/>
                <w:sz w:val="19"/>
              </w:rPr>
              <w:t>Statutes (Repeals and Miscellaneous Amendments) Act 2009</w:t>
            </w:r>
            <w:r>
              <w:rPr>
                <w:iCs/>
                <w:sz w:val="19"/>
              </w:rPr>
              <w:t xml:space="preserve"> s. 44</w:t>
            </w:r>
          </w:p>
        </w:tc>
        <w:tc>
          <w:tcPr>
            <w:tcW w:w="1133"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2" w:type="dxa"/>
            <w:gridSpan w:val="2"/>
          </w:tcPr>
          <w:p>
            <w:pPr>
              <w:pStyle w:val="nTable"/>
              <w:spacing w:after="40"/>
              <w:rPr>
                <w:sz w:val="19"/>
              </w:rPr>
            </w:pPr>
            <w:r>
              <w:rPr>
                <w:sz w:val="19"/>
              </w:rPr>
              <w:t>22 May 200</w:t>
            </w:r>
            <w:bookmarkStart w:id="374" w:name="RuleErr_25"/>
            <w:r>
              <w:rPr>
                <w:sz w:val="19"/>
              </w:rPr>
              <w:t>9 (</w:t>
            </w:r>
            <w:bookmarkEnd w:id="374"/>
            <w:r>
              <w:rPr>
                <w:sz w:val="19"/>
              </w:rPr>
              <w:t>see s. 2(b))</w:t>
            </w:r>
          </w:p>
        </w:tc>
      </w:tr>
      <w:tr>
        <w:trPr>
          <w:gridAfter w:val="1"/>
          <w:wAfter w:w="7" w:type="dxa"/>
          <w:cantSplit/>
        </w:trPr>
        <w:tc>
          <w:tcPr>
            <w:tcW w:w="2267" w:type="dxa"/>
            <w:gridSpan w:val="2"/>
          </w:tcPr>
          <w:p>
            <w:pPr>
              <w:pStyle w:val="nTable"/>
              <w:spacing w:after="40"/>
              <w:ind w:right="113"/>
              <w:rPr>
                <w:i/>
                <w:sz w:val="19"/>
              </w:rPr>
            </w:pPr>
            <w:r>
              <w:rPr>
                <w:i/>
                <w:snapToGrid w:val="0"/>
                <w:sz w:val="19"/>
              </w:rPr>
              <w:t>Credit (Commonwealth Powers</w:t>
            </w:r>
            <w:bookmarkStart w:id="375" w:name="RuleErr_31"/>
            <w:r>
              <w:rPr>
                <w:i/>
                <w:snapToGrid w:val="0"/>
                <w:sz w:val="19"/>
              </w:rPr>
              <w:t>) (</w:t>
            </w:r>
            <w:bookmarkEnd w:id="375"/>
            <w:r>
              <w:rPr>
                <w:i/>
                <w:snapToGrid w:val="0"/>
                <w:sz w:val="19"/>
              </w:rPr>
              <w:t>Transitional and Consequential Provisions) Act 2010</w:t>
            </w:r>
            <w:r>
              <w:rPr>
                <w:i/>
                <w:iCs/>
                <w:snapToGrid w:val="0"/>
                <w:sz w:val="19"/>
              </w:rPr>
              <w:t xml:space="preserve"> </w:t>
            </w:r>
            <w:r>
              <w:rPr>
                <w:snapToGrid w:val="0"/>
                <w:sz w:val="19"/>
              </w:rPr>
              <w:t>s. 9 and 36</w:t>
            </w:r>
          </w:p>
        </w:tc>
        <w:tc>
          <w:tcPr>
            <w:tcW w:w="1133" w:type="dxa"/>
            <w:gridSpan w:val="2"/>
          </w:tcPr>
          <w:p>
            <w:pPr>
              <w:pStyle w:val="nTable"/>
              <w:spacing w:after="40"/>
              <w:rPr>
                <w:sz w:val="19"/>
              </w:rPr>
            </w:pPr>
            <w:r>
              <w:rPr>
                <w:sz w:val="19"/>
              </w:rPr>
              <w:t>14 of 2010</w:t>
            </w:r>
          </w:p>
        </w:tc>
        <w:tc>
          <w:tcPr>
            <w:tcW w:w="1134" w:type="dxa"/>
            <w:gridSpan w:val="2"/>
          </w:tcPr>
          <w:p>
            <w:pPr>
              <w:pStyle w:val="nTable"/>
              <w:spacing w:after="40"/>
              <w:rPr>
                <w:sz w:val="19"/>
              </w:rPr>
            </w:pPr>
            <w:r>
              <w:rPr>
                <w:sz w:val="19"/>
              </w:rPr>
              <w:t>25 Jun 2010</w:t>
            </w:r>
          </w:p>
        </w:tc>
        <w:tc>
          <w:tcPr>
            <w:tcW w:w="2552" w:type="dxa"/>
            <w:gridSpan w:val="2"/>
          </w:tcPr>
          <w:p>
            <w:pPr>
              <w:pStyle w:val="nTable"/>
              <w:spacing w:after="40"/>
              <w:rPr>
                <w:sz w:val="19"/>
              </w:rPr>
            </w:pPr>
            <w:r>
              <w:rPr>
                <w:sz w:val="19"/>
              </w:rPr>
              <w:t>1 Jul 201</w:t>
            </w:r>
            <w:bookmarkStart w:id="376" w:name="RuleErr_26"/>
            <w:r>
              <w:rPr>
                <w:sz w:val="19"/>
              </w:rPr>
              <w:t>0 (</w:t>
            </w:r>
            <w:bookmarkEnd w:id="376"/>
            <w:r>
              <w:rPr>
                <w:sz w:val="19"/>
              </w:rPr>
              <w:t xml:space="preserve">see s. 2(b) and </w:t>
            </w:r>
            <w:r>
              <w:rPr>
                <w:i/>
                <w:iCs/>
                <w:sz w:val="19"/>
              </w:rPr>
              <w:t xml:space="preserve">Gazette </w:t>
            </w:r>
            <w:r>
              <w:rPr>
                <w:sz w:val="19"/>
              </w:rPr>
              <w:t>30 Jun 2010 p. 3185)</w:t>
            </w:r>
          </w:p>
        </w:tc>
      </w:tr>
      <w:tr>
        <w:trPr>
          <w:gridBefore w:val="1"/>
          <w:wBefore w:w="6" w:type="dxa"/>
          <w:cantSplit/>
        </w:trPr>
        <w:tc>
          <w:tcPr>
            <w:tcW w:w="2268" w:type="dxa"/>
            <w:gridSpan w:val="2"/>
          </w:tcPr>
          <w:p>
            <w:pPr>
              <w:pStyle w:val="nTable"/>
              <w:spacing w:after="40"/>
              <w:ind w:right="113"/>
              <w:rPr>
                <w:iCs/>
                <w:snapToGrid w:val="0"/>
                <w:sz w:val="19"/>
              </w:rPr>
            </w:pPr>
            <w:r>
              <w:rPr>
                <w:i/>
                <w:snapToGrid w:val="0"/>
                <w:sz w:val="19"/>
              </w:rPr>
              <w:t>Standardisation of Formatting Act 2010</w:t>
            </w:r>
            <w:r>
              <w:rPr>
                <w:iCs/>
                <w:snapToGrid w:val="0"/>
                <w:sz w:val="19"/>
              </w:rPr>
              <w:t xml:space="preserve"> s. 4</w:t>
            </w:r>
          </w:p>
        </w:tc>
        <w:tc>
          <w:tcPr>
            <w:tcW w:w="1133" w:type="dxa"/>
            <w:gridSpan w:val="2"/>
          </w:tcPr>
          <w:p>
            <w:pPr>
              <w:pStyle w:val="nTable"/>
              <w:spacing w:after="40"/>
              <w:rPr>
                <w:snapToGrid w:val="0"/>
                <w:sz w:val="19"/>
              </w:rPr>
            </w:pPr>
            <w:r>
              <w:rPr>
                <w:snapToGrid w:val="0"/>
                <w:sz w:val="19"/>
              </w:rPr>
              <w:t>19 of 2010</w:t>
            </w:r>
          </w:p>
        </w:tc>
        <w:tc>
          <w:tcPr>
            <w:tcW w:w="1134" w:type="dxa"/>
            <w:gridSpan w:val="2"/>
          </w:tcPr>
          <w:p>
            <w:pPr>
              <w:pStyle w:val="nTable"/>
              <w:spacing w:after="40"/>
              <w:rPr>
                <w:snapToGrid w:val="0"/>
                <w:sz w:val="19"/>
              </w:rPr>
            </w:pPr>
            <w:r>
              <w:rPr>
                <w:snapToGrid w:val="0"/>
                <w:sz w:val="19"/>
              </w:rPr>
              <w:t>28 Jun 2010</w:t>
            </w:r>
          </w:p>
        </w:tc>
        <w:tc>
          <w:tcPr>
            <w:tcW w:w="2552" w:type="dxa"/>
            <w:gridSpan w:val="2"/>
          </w:tcPr>
          <w:p>
            <w:pPr>
              <w:pStyle w:val="nTable"/>
              <w:spacing w:after="40"/>
              <w:rPr>
                <w:snapToGrid w:val="0"/>
                <w:sz w:val="19"/>
              </w:rPr>
            </w:pPr>
            <w:r>
              <w:rPr>
                <w:snapToGrid w:val="0"/>
                <w:sz w:val="19"/>
              </w:rPr>
              <w:t>11 Sep 201</w:t>
            </w:r>
            <w:bookmarkStart w:id="377" w:name="RuleErr_27"/>
            <w:r>
              <w:rPr>
                <w:snapToGrid w:val="0"/>
                <w:sz w:val="19"/>
              </w:rPr>
              <w:t>0 (</w:t>
            </w:r>
            <w:bookmarkEnd w:id="377"/>
            <w:r>
              <w:rPr>
                <w:snapToGrid w:val="0"/>
                <w:sz w:val="19"/>
              </w:rPr>
              <w:t xml:space="preserve">see s. 2(b) and </w:t>
            </w:r>
            <w:r>
              <w:rPr>
                <w:i/>
                <w:iCs/>
                <w:snapToGrid w:val="0"/>
                <w:sz w:val="19"/>
              </w:rPr>
              <w:t>Gazette</w:t>
            </w:r>
            <w:r>
              <w:rPr>
                <w:snapToGrid w:val="0"/>
                <w:sz w:val="19"/>
              </w:rPr>
              <w:t xml:space="preserve"> 10 Sep 2010 p. 4341)</w:t>
            </w:r>
          </w:p>
        </w:tc>
      </w:tr>
      <w:tr>
        <w:trPr>
          <w:gridBefore w:val="1"/>
          <w:wBefore w:w="6" w:type="dxa"/>
          <w:cantSplit/>
        </w:trPr>
        <w:tc>
          <w:tcPr>
            <w:tcW w:w="7087" w:type="dxa"/>
            <w:gridSpan w:val="8"/>
            <w:tcBorders>
              <w:bottom w:val="single" w:sz="8" w:space="0" w:color="auto"/>
            </w:tcBorders>
          </w:tcPr>
          <w:p>
            <w:pPr>
              <w:pStyle w:val="nTable"/>
              <w:spacing w:after="40"/>
              <w:rPr>
                <w:snapToGrid w:val="0"/>
                <w:sz w:val="19"/>
              </w:rPr>
            </w:pPr>
            <w:r>
              <w:rPr>
                <w:b/>
                <w:bCs/>
                <w:sz w:val="19"/>
              </w:rPr>
              <w:t xml:space="preserve">Reprint 3: The </w:t>
            </w:r>
            <w:r>
              <w:rPr>
                <w:b/>
                <w:bCs/>
                <w:i/>
                <w:sz w:val="19"/>
              </w:rPr>
              <w:t>Credit Act 1984</w:t>
            </w:r>
            <w:r>
              <w:rPr>
                <w:b/>
                <w:bCs/>
                <w:sz w:val="19"/>
              </w:rPr>
              <w:t xml:space="preserve"> as at 11 Mar 2011</w:t>
            </w:r>
            <w:r>
              <w:rPr>
                <w:sz w:val="19"/>
              </w:rPr>
              <w:t xml:space="preserve"> (includes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78" w:name="_Toc392496666"/>
      <w:r>
        <w:t>Provisions that have not come into operation</w:t>
      </w:r>
      <w:bookmarkEnd w:id="37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615"/>
      </w:tblGrid>
      <w:tr>
        <w:tc>
          <w:tcPr>
            <w:tcW w:w="2268" w:type="dxa"/>
            <w:tcBorders>
              <w:bottom w:val="single" w:sz="4" w:space="0" w:color="auto"/>
            </w:tcBorders>
          </w:tcPr>
          <w:p>
            <w:pPr>
              <w:pStyle w:val="nTable"/>
              <w:spacing w:after="40"/>
              <w:rPr>
                <w:b/>
                <w:snapToGrid w:val="0"/>
                <w:sz w:val="19"/>
                <w:szCs w:val="19"/>
              </w:rPr>
            </w:pPr>
            <w:r>
              <w:rPr>
                <w:b/>
                <w:snapToGrid w:val="0"/>
                <w:sz w:val="19"/>
                <w:szCs w:val="19"/>
              </w:rPr>
              <w:t>Short title</w:t>
            </w:r>
          </w:p>
        </w:tc>
        <w:tc>
          <w:tcPr>
            <w:tcW w:w="1118" w:type="dxa"/>
            <w:tcBorders>
              <w:bottom w:val="single" w:sz="4" w:space="0" w:color="auto"/>
            </w:tcBorders>
          </w:tcPr>
          <w:p>
            <w:pPr>
              <w:pStyle w:val="nTable"/>
              <w:spacing w:after="40"/>
              <w:rPr>
                <w:b/>
                <w:snapToGrid w:val="0"/>
                <w:sz w:val="19"/>
                <w:szCs w:val="19"/>
              </w:rPr>
            </w:pPr>
            <w:r>
              <w:rPr>
                <w:b/>
                <w:snapToGrid w:val="0"/>
                <w:sz w:val="19"/>
                <w:szCs w:val="19"/>
              </w:rPr>
              <w:t>Number and year</w:t>
            </w:r>
          </w:p>
        </w:tc>
        <w:tc>
          <w:tcPr>
            <w:tcW w:w="1134" w:type="dxa"/>
            <w:tcBorders>
              <w:bottom w:val="single" w:sz="4" w:space="0" w:color="auto"/>
            </w:tcBorders>
          </w:tcPr>
          <w:p>
            <w:pPr>
              <w:pStyle w:val="nTable"/>
              <w:spacing w:after="40"/>
              <w:rPr>
                <w:b/>
                <w:snapToGrid w:val="0"/>
                <w:sz w:val="19"/>
                <w:szCs w:val="19"/>
              </w:rPr>
            </w:pPr>
            <w:r>
              <w:rPr>
                <w:b/>
                <w:snapToGrid w:val="0"/>
                <w:sz w:val="19"/>
                <w:szCs w:val="19"/>
              </w:rPr>
              <w:t>Assent</w:t>
            </w:r>
          </w:p>
        </w:tc>
        <w:tc>
          <w:tcPr>
            <w:tcW w:w="2552" w:type="dxa"/>
            <w:tcBorders>
              <w:bottom w:val="single" w:sz="4" w:space="0" w:color="auto"/>
            </w:tcBorders>
          </w:tcPr>
          <w:p>
            <w:pPr>
              <w:pStyle w:val="nTable"/>
              <w:spacing w:after="40"/>
              <w:rPr>
                <w:b/>
                <w:snapToGrid w:val="0"/>
                <w:sz w:val="19"/>
                <w:szCs w:val="19"/>
              </w:rPr>
            </w:pPr>
            <w:r>
              <w:rPr>
                <w:b/>
                <w:snapToGrid w:val="0"/>
                <w:sz w:val="19"/>
                <w:szCs w:val="19"/>
              </w:rPr>
              <w:t>Commencement</w:t>
            </w:r>
          </w:p>
        </w:tc>
      </w:tr>
      <w:tr>
        <w:tc>
          <w:tcPr>
            <w:tcW w:w="2268" w:type="dxa"/>
            <w:tcBorders>
              <w:top w:val="single" w:sz="4" w:space="0" w:color="auto"/>
              <w:bottom w:val="nil"/>
            </w:tcBorders>
          </w:tcPr>
          <w:p>
            <w:pPr>
              <w:pStyle w:val="nTable"/>
              <w:spacing w:after="40"/>
              <w:rPr>
                <w:snapToGrid w:val="0"/>
                <w:sz w:val="19"/>
                <w:szCs w:val="19"/>
                <w:vertAlign w:val="superscript"/>
              </w:rPr>
            </w:pPr>
            <w:r>
              <w:rPr>
                <w:i/>
                <w:snapToGrid w:val="0"/>
                <w:sz w:val="19"/>
                <w:szCs w:val="19"/>
              </w:rPr>
              <w:t xml:space="preserve">Road Traffic Legislation Amendment Act 2012 </w:t>
            </w:r>
            <w:r>
              <w:rPr>
                <w:snapToGrid w:val="0"/>
                <w:sz w:val="19"/>
                <w:szCs w:val="19"/>
              </w:rPr>
              <w:t>Pt. 4 Div. 12</w:t>
            </w:r>
            <w:r>
              <w:rPr>
                <w:snapToGrid w:val="0"/>
                <w:sz w:val="19"/>
                <w:szCs w:val="19"/>
                <w:vertAlign w:val="superscript"/>
              </w:rPr>
              <w:t> 10</w:t>
            </w:r>
          </w:p>
        </w:tc>
        <w:tc>
          <w:tcPr>
            <w:tcW w:w="1118" w:type="dxa"/>
            <w:tcBorders>
              <w:top w:val="single" w:sz="4" w:space="0" w:color="auto"/>
              <w:bottom w:val="nil"/>
            </w:tcBorders>
          </w:tcPr>
          <w:p>
            <w:pPr>
              <w:pStyle w:val="nTable"/>
              <w:spacing w:after="40"/>
              <w:rPr>
                <w:snapToGrid w:val="0"/>
                <w:sz w:val="19"/>
                <w:szCs w:val="19"/>
              </w:rPr>
            </w:pPr>
            <w:r>
              <w:rPr>
                <w:snapToGrid w:val="0"/>
                <w:sz w:val="19"/>
                <w:szCs w:val="19"/>
              </w:rPr>
              <w:t>8 of 2012</w:t>
            </w:r>
          </w:p>
        </w:tc>
        <w:tc>
          <w:tcPr>
            <w:tcW w:w="1134" w:type="dxa"/>
            <w:tcBorders>
              <w:top w:val="single" w:sz="4" w:space="0" w:color="auto"/>
              <w:bottom w:val="nil"/>
            </w:tcBorders>
          </w:tcPr>
          <w:p>
            <w:pPr>
              <w:pStyle w:val="nTable"/>
              <w:spacing w:after="40"/>
              <w:rPr>
                <w:snapToGrid w:val="0"/>
                <w:sz w:val="19"/>
                <w:szCs w:val="19"/>
              </w:rPr>
            </w:pPr>
            <w:r>
              <w:rPr>
                <w:sz w:val="19"/>
                <w:szCs w:val="19"/>
              </w:rPr>
              <w:t>21 May 2012</w:t>
            </w:r>
          </w:p>
        </w:tc>
        <w:tc>
          <w:tcPr>
            <w:tcW w:w="2552" w:type="dxa"/>
            <w:tcBorders>
              <w:top w:val="single" w:sz="4" w:space="0" w:color="auto"/>
              <w:bottom w:val="nil"/>
            </w:tcBorders>
          </w:tcPr>
          <w:p>
            <w:pPr>
              <w:pStyle w:val="nTable"/>
              <w:spacing w:after="40"/>
              <w:rPr>
                <w:snapToGrid w:val="0"/>
                <w:sz w:val="19"/>
                <w:szCs w:val="19"/>
              </w:rPr>
            </w:pPr>
            <w:r>
              <w:rPr>
                <w:snapToGrid w:val="0"/>
                <w:sz w:val="19"/>
                <w:szCs w:val="19"/>
              </w:rPr>
              <w:t xml:space="preserve">Operative on commencement of the </w:t>
            </w:r>
            <w:r>
              <w:rPr>
                <w:i/>
                <w:snapToGrid w:val="0"/>
                <w:sz w:val="19"/>
                <w:szCs w:val="19"/>
              </w:rPr>
              <w:t>Road Traffic (Administration) Act 2008</w:t>
            </w:r>
            <w:r>
              <w:rPr>
                <w:snapToGrid w:val="0"/>
                <w:sz w:val="19"/>
                <w:szCs w:val="19"/>
              </w:rPr>
              <w:t xml:space="preserve"> (see s. 2(d))</w:t>
            </w:r>
          </w:p>
        </w:tc>
      </w:tr>
      <w:tr>
        <w:tc>
          <w:tcPr>
            <w:tcW w:w="2268" w:type="dxa"/>
            <w:tcBorders>
              <w:top w:val="nil"/>
              <w:bottom w:val="single" w:sz="4" w:space="0" w:color="auto"/>
            </w:tcBorders>
          </w:tcPr>
          <w:p>
            <w:pPr>
              <w:pStyle w:val="nSubsection"/>
              <w:tabs>
                <w:tab w:val="clear" w:pos="454"/>
              </w:tabs>
              <w:spacing w:before="40" w:after="40"/>
              <w:ind w:left="0" w:firstLine="0"/>
              <w:rPr>
                <w:sz w:val="19"/>
                <w:szCs w:val="19"/>
                <w:vertAlign w:val="superscript"/>
              </w:rPr>
            </w:pPr>
            <w:r>
              <w:rPr>
                <w:i/>
                <w:snapToGrid w:val="0"/>
                <w:sz w:val="19"/>
                <w:szCs w:val="19"/>
              </w:rPr>
              <w:t xml:space="preserve">Statutes (Repeals and Minor Amendments) Act 2014 </w:t>
            </w:r>
            <w:r>
              <w:rPr>
                <w:snapToGrid w:val="0"/>
                <w:sz w:val="19"/>
                <w:szCs w:val="19"/>
              </w:rPr>
              <w:t>s. 20</w:t>
            </w:r>
            <w:r>
              <w:rPr>
                <w:i/>
                <w:snapToGrid w:val="0"/>
                <w:sz w:val="19"/>
                <w:szCs w:val="19"/>
              </w:rPr>
              <w:t> </w:t>
            </w:r>
            <w:r>
              <w:rPr>
                <w:noProof/>
                <w:snapToGrid w:val="0"/>
                <w:sz w:val="19"/>
                <w:szCs w:val="19"/>
                <w:vertAlign w:val="superscript"/>
              </w:rPr>
              <w:t>11</w:t>
            </w:r>
          </w:p>
        </w:tc>
        <w:tc>
          <w:tcPr>
            <w:tcW w:w="1134" w:type="dxa"/>
            <w:tcBorders>
              <w:top w:val="nil"/>
              <w:bottom w:val="single" w:sz="4" w:space="0" w:color="auto"/>
            </w:tcBorders>
          </w:tcPr>
          <w:p>
            <w:pPr>
              <w:pStyle w:val="nTable"/>
              <w:spacing w:after="40"/>
              <w:rPr>
                <w:sz w:val="19"/>
                <w:szCs w:val="19"/>
              </w:rPr>
            </w:pPr>
            <w:r>
              <w:rPr>
                <w:sz w:val="19"/>
                <w:szCs w:val="19"/>
              </w:rPr>
              <w:t>17 of 2014</w:t>
            </w:r>
          </w:p>
        </w:tc>
        <w:tc>
          <w:tcPr>
            <w:tcW w:w="1134" w:type="dxa"/>
            <w:tcBorders>
              <w:top w:val="nil"/>
              <w:bottom w:val="single" w:sz="4" w:space="0" w:color="auto"/>
            </w:tcBorders>
          </w:tcPr>
          <w:p>
            <w:pPr>
              <w:pStyle w:val="nTable"/>
              <w:spacing w:after="40"/>
              <w:rPr>
                <w:sz w:val="19"/>
                <w:szCs w:val="19"/>
              </w:rPr>
            </w:pPr>
            <w:r>
              <w:rPr>
                <w:sz w:val="19"/>
                <w:szCs w:val="19"/>
              </w:rPr>
              <w:t>2 Jul 2014</w:t>
            </w:r>
          </w:p>
        </w:tc>
        <w:tc>
          <w:tcPr>
            <w:tcW w:w="2615" w:type="dxa"/>
            <w:tcBorders>
              <w:top w:val="nil"/>
              <w:bottom w:val="single" w:sz="4" w:space="0" w:color="auto"/>
            </w:tcBorders>
          </w:tcPr>
          <w:p>
            <w:pPr>
              <w:pStyle w:val="nTable"/>
              <w:spacing w:after="40"/>
              <w:rPr>
                <w:snapToGrid w:val="0"/>
                <w:sz w:val="19"/>
                <w:szCs w:val="19"/>
              </w:rPr>
            </w:pPr>
            <w:r>
              <w:rPr>
                <w:snapToGrid w:val="0"/>
                <w:sz w:val="19"/>
                <w:szCs w:val="19"/>
              </w:rPr>
              <w:t>To be proclaimed (see s. 2(b))</w:t>
            </w:r>
          </w:p>
        </w:tc>
      </w:tr>
    </w:tbl>
    <w:p>
      <w:pPr>
        <w:pStyle w:val="nSubsection"/>
        <w:rPr>
          <w:snapToGrid w:val="0"/>
        </w:rPr>
      </w:pPr>
      <w:r>
        <w:rPr>
          <w:snapToGrid w:val="0"/>
          <w:vertAlign w:val="superscript"/>
        </w:rPr>
        <w:t>2</w:t>
      </w:r>
      <w:r>
        <w:rPr>
          <w:snapToGrid w:val="0"/>
        </w:rPr>
        <w:tab/>
        <w:t xml:space="preserve">Repealed by the </w:t>
      </w:r>
      <w:r>
        <w:rPr>
          <w:i/>
          <w:snapToGrid w:val="0"/>
        </w:rPr>
        <w:t>Strata Titles Act 1985</w:t>
      </w:r>
      <w:r>
        <w:rPr>
          <w:snapToGrid w:val="0"/>
        </w:rPr>
        <w:t>.</w:t>
      </w:r>
    </w:p>
    <w:p>
      <w:pPr>
        <w:pStyle w:val="nSubsection"/>
        <w:keepNext/>
        <w:keepLines/>
        <w:rPr>
          <w:snapToGrid w:val="0"/>
        </w:rPr>
      </w:pPr>
      <w:r>
        <w:rPr>
          <w:snapToGrid w:val="0"/>
          <w:vertAlign w:val="superscript"/>
        </w:rPr>
        <w:t>3</w:t>
      </w:r>
      <w:r>
        <w:rPr>
          <w:snapToGrid w:val="0"/>
        </w:rPr>
        <w:tab/>
        <w:t xml:space="preserve">Repealed by the </w:t>
      </w:r>
      <w:r>
        <w:rPr>
          <w:i/>
          <w:snapToGrid w:val="0"/>
        </w:rPr>
        <w:t>Credit (Commonwealth Powers) (Transitional and Consequential Provisions) Act 2010</w:t>
      </w:r>
      <w:r>
        <w:rPr>
          <w:snapToGrid w:val="0"/>
        </w:rPr>
        <w:t>.</w:t>
      </w:r>
    </w:p>
    <w:p>
      <w:pPr>
        <w:pStyle w:val="nSubsection"/>
        <w:rPr>
          <w:snapToGrid w:val="0"/>
        </w:rPr>
      </w:pPr>
      <w:r>
        <w:rPr>
          <w:snapToGrid w:val="0"/>
          <w:vertAlign w:val="superscript"/>
        </w:rPr>
        <w:t>4</w:t>
      </w:r>
      <w:r>
        <w:rPr>
          <w:snapToGrid w:val="0"/>
          <w:vertAlign w:val="superscript"/>
        </w:rPr>
        <w:tab/>
      </w:r>
      <w:r>
        <w:t xml:space="preserve">The </w:t>
      </w:r>
      <w:r>
        <w:rPr>
          <w:i/>
          <w:snapToGrid w:val="0"/>
        </w:rPr>
        <w:t>Credit (Commonwealth Powers) (Transitional and Consequential Provisions) Act 2010</w:t>
      </w:r>
      <w:r>
        <w:rPr>
          <w:snapToGrid w:val="0"/>
        </w:rPr>
        <w:t xml:space="preserve"> was part of a legislative exercise in which the regulation of credit and certain other transactions was referred to the Commonwealth.  As part of that exercise the </w:t>
      </w:r>
      <w:r>
        <w:rPr>
          <w:i/>
          <w:snapToGrid w:val="0"/>
        </w:rPr>
        <w:t>National Consumer Credit Protection Act 2009</w:t>
      </w:r>
      <w:r>
        <w:rPr>
          <w:snapToGrid w:val="0"/>
        </w:rPr>
        <w:t xml:space="preserve"> (Cwlth), which contains the </w:t>
      </w:r>
      <w:r>
        <w:rPr>
          <w:i/>
          <w:snapToGrid w:val="0"/>
        </w:rPr>
        <w:t>National Credit Code</w:t>
      </w:r>
      <w:r>
        <w:rPr>
          <w:snapToGrid w:val="0"/>
        </w:rPr>
        <w:t>, was adopted in WA on 1 July 2010.</w:t>
      </w:r>
    </w:p>
    <w:p>
      <w:pPr>
        <w:pStyle w:val="nSubsection"/>
        <w:rPr>
          <w:snapToGrid w:val="0"/>
        </w:rPr>
      </w:pPr>
      <w:r>
        <w:rPr>
          <w:snapToGrid w:val="0"/>
          <w:vertAlign w:val="superscript"/>
        </w:rPr>
        <w:t>5</w:t>
      </w:r>
      <w:r>
        <w:rPr>
          <w:snapToGrid w:val="0"/>
        </w:rPr>
        <w:tab/>
        <w:t xml:space="preserve">Now see the </w:t>
      </w:r>
      <w:r>
        <w:rPr>
          <w:i/>
          <w:snapToGrid w:val="0"/>
        </w:rPr>
        <w:t>Broadcasting Services Act 1992</w:t>
      </w:r>
      <w:r>
        <w:rPr>
          <w:snapToGrid w:val="0"/>
        </w:rPr>
        <w:t xml:space="preserve"> of the Commonwealth.</w:t>
      </w:r>
    </w:p>
    <w:p>
      <w:pPr>
        <w:pStyle w:val="nSubsection"/>
      </w:pPr>
      <w:r>
        <w:rPr>
          <w:snapToGrid w:val="0"/>
          <w:vertAlign w:val="superscript"/>
        </w:rPr>
        <w:t>6</w:t>
      </w:r>
      <w:r>
        <w:rPr>
          <w:snapToGrid w:val="0"/>
        </w:rPr>
        <w:tab/>
      </w:r>
      <w:r>
        <w:t xml:space="preserve">Repealed by the </w:t>
      </w:r>
      <w:r>
        <w:rPr>
          <w:bCs/>
          <w:i/>
          <w:snapToGrid w:val="0"/>
        </w:rPr>
        <w:t>State Administrative Tribunal (Conferral of Jurisdiction) Amendment and Repeal Act 2004</w:t>
      </w:r>
      <w:r>
        <w:t>.</w:t>
      </w:r>
    </w:p>
    <w:p>
      <w:pPr>
        <w:pStyle w:val="nSubsection"/>
        <w:keepNext/>
        <w:rPr>
          <w:snapToGrid w:val="0"/>
        </w:rPr>
      </w:pPr>
      <w:r>
        <w:rPr>
          <w:snapToGrid w:val="0"/>
          <w:vertAlign w:val="superscript"/>
        </w:rPr>
        <w:t>7</w:t>
      </w:r>
      <w:r>
        <w:rPr>
          <w:snapToGrid w:val="0"/>
        </w:rPr>
        <w:tab/>
        <w:t xml:space="preserve">The </w:t>
      </w:r>
      <w:r>
        <w:rPr>
          <w:i/>
        </w:rPr>
        <w:t>Acts Amendment (Credit) Act 1989</w:t>
      </w:r>
      <w:r>
        <w:t xml:space="preserve"> </w:t>
      </w:r>
      <w:r>
        <w:rPr>
          <w:snapToGrid w:val="0"/>
        </w:rPr>
        <w:t>s. 5(2) reads as follows:</w:t>
      </w:r>
    </w:p>
    <w:p>
      <w:pPr>
        <w:pStyle w:val="BlankOpen"/>
        <w:rPr>
          <w:snapToGrid w:val="0"/>
        </w:rPr>
      </w:pPr>
    </w:p>
    <w:p>
      <w:pPr>
        <w:pStyle w:val="nzSubsection"/>
        <w:rPr>
          <w:snapToGrid w:val="0"/>
        </w:rPr>
      </w:pPr>
      <w:r>
        <w:rPr>
          <w:snapToGrid w:val="0"/>
        </w:rPr>
        <w:tab/>
        <w:t>(2)</w:t>
      </w:r>
      <w:r>
        <w:rPr>
          <w:snapToGrid w:val="0"/>
        </w:rPr>
        <w:tab/>
        <w:t>Nothing in section 86A of the principal Act as enacted by subsection (1) — </w:t>
      </w:r>
    </w:p>
    <w:p>
      <w:pPr>
        <w:pStyle w:val="nzIndenta"/>
        <w:rPr>
          <w:snapToGrid w:val="0"/>
        </w:rPr>
      </w:pPr>
      <w:r>
        <w:rPr>
          <w:snapToGrid w:val="0"/>
        </w:rPr>
        <w:tab/>
        <w:t>(a)</w:t>
      </w:r>
      <w:r>
        <w:rPr>
          <w:snapToGrid w:val="0"/>
        </w:rPr>
        <w:tab/>
        <w:t>applies to any failure, error or misdescription in any regulated contract as defined in the principal Act that is the subject of an application made under section 85 or 86 of the principal Act before the day that this section comes into operation and that is pending on the day;</w:t>
      </w:r>
    </w:p>
    <w:p>
      <w:pPr>
        <w:pStyle w:val="nzIndenta"/>
        <w:rPr>
          <w:snapToGrid w:val="0"/>
        </w:rPr>
      </w:pPr>
      <w:r>
        <w:rPr>
          <w:snapToGrid w:val="0"/>
        </w:rPr>
        <w:tab/>
        <w:t>(b)</w:t>
      </w:r>
      <w:r>
        <w:rPr>
          <w:snapToGrid w:val="0"/>
        </w:rPr>
        <w:tab/>
        <w:t>affects any final order made under section 85 or 86 of the principal Act before the day that this section comes into operation.</w:t>
      </w:r>
    </w:p>
    <w:p>
      <w:pPr>
        <w:pStyle w:val="BlankClose"/>
      </w:pPr>
    </w:p>
    <w:p>
      <w:pPr>
        <w:pStyle w:val="nSubsection"/>
        <w:rPr>
          <w:iCs/>
        </w:rPr>
      </w:pPr>
      <w:r>
        <w:rPr>
          <w:vertAlign w:val="superscript"/>
        </w:rPr>
        <w:t>8</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9</w:t>
      </w:r>
      <w:r>
        <w:tab/>
        <w:t xml:space="preserve">The </w:t>
      </w:r>
      <w:r>
        <w:rPr>
          <w:i/>
          <w:iCs/>
        </w:rPr>
        <w:t>Machinery of Government (Miscellaneous Amendments) Act 2006</w:t>
      </w:r>
      <w:r>
        <w:t xml:space="preserve"> Pt. 4 Div. 23 has transitional provisions some of which may be relevant to this Act.</w:t>
      </w:r>
    </w:p>
    <w:p>
      <w:pPr>
        <w:pStyle w:val="nSubsection"/>
        <w:rPr>
          <w:snapToGrid w:val="0"/>
        </w:rPr>
      </w:pPr>
      <w:bookmarkStart w:id="379" w:name="AutoSch"/>
      <w:bookmarkEnd w:id="379"/>
      <w:r>
        <w:rPr>
          <w:snapToGrid w:val="0"/>
          <w:vertAlign w:val="superscript"/>
        </w:rPr>
        <w:t>10</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12 had not come into operation.  It reads as follows:</w:t>
      </w:r>
    </w:p>
    <w:p>
      <w:pPr>
        <w:pStyle w:val="BlankOpen"/>
        <w:rPr>
          <w:snapToGrid w:val="0"/>
        </w:rPr>
      </w:pPr>
    </w:p>
    <w:p>
      <w:pPr>
        <w:pStyle w:val="nzHeading3"/>
      </w:pPr>
      <w:r>
        <w:rPr>
          <w:rStyle w:val="CharDivNo"/>
        </w:rPr>
        <w:t>Division 12</w:t>
      </w:r>
      <w:r>
        <w:t> — </w:t>
      </w:r>
      <w:r>
        <w:rPr>
          <w:rStyle w:val="CharDivText"/>
          <w:i/>
          <w:iCs/>
        </w:rPr>
        <w:t>Credit Act 1984</w:t>
      </w:r>
      <w:r>
        <w:rPr>
          <w:rStyle w:val="CharDivText"/>
        </w:rPr>
        <w:t> amended</w:t>
      </w:r>
    </w:p>
    <w:p>
      <w:pPr>
        <w:pStyle w:val="nzHeading5"/>
        <w:rPr>
          <w:snapToGrid w:val="0"/>
        </w:rPr>
      </w:pPr>
      <w:r>
        <w:rPr>
          <w:rStyle w:val="CharSectno"/>
        </w:rPr>
        <w:t>72</w:t>
      </w:r>
      <w:r>
        <w:rPr>
          <w:snapToGrid w:val="0"/>
        </w:rPr>
        <w:t>.</w:t>
      </w:r>
      <w:r>
        <w:rPr>
          <w:snapToGrid w:val="0"/>
        </w:rPr>
        <w:tab/>
        <w:t>Act amended</w:t>
      </w:r>
    </w:p>
    <w:p>
      <w:pPr>
        <w:pStyle w:val="nzSubsection"/>
      </w:pPr>
      <w:r>
        <w:tab/>
      </w:r>
      <w:r>
        <w:tab/>
        <w:t xml:space="preserve">This Division amends the </w:t>
      </w:r>
      <w:r>
        <w:rPr>
          <w:i/>
        </w:rPr>
        <w:t>Credit Act 1984</w:t>
      </w:r>
      <w:r>
        <w:t>.</w:t>
      </w:r>
    </w:p>
    <w:p>
      <w:pPr>
        <w:pStyle w:val="nzHeading5"/>
      </w:pPr>
      <w:r>
        <w:rPr>
          <w:rStyle w:val="CharSectno"/>
        </w:rPr>
        <w:t>73</w:t>
      </w:r>
      <w:r>
        <w:t>.</w:t>
      </w:r>
      <w:r>
        <w:tab/>
        <w:t>Section 5 amended</w:t>
      </w:r>
    </w:p>
    <w:p>
      <w:pPr>
        <w:pStyle w:val="nzSubsection"/>
      </w:pPr>
      <w:r>
        <w:tab/>
      </w:r>
      <w:r>
        <w:tab/>
        <w:t xml:space="preserve">In section 5(1) in the definition of </w:t>
      </w:r>
      <w:r>
        <w:rPr>
          <w:b/>
          <w:bCs/>
          <w:i/>
          <w:iCs/>
        </w:rPr>
        <w:t>commercial vehicle</w:t>
      </w:r>
      <w:r>
        <w:t xml:space="preserve"> paragraph (a) delete “within the meaning of the </w:t>
      </w:r>
      <w:r>
        <w:rPr>
          <w:i/>
          <w:iCs/>
        </w:rPr>
        <w:t>Road Traffic Act 1974</w:t>
      </w:r>
      <w:r>
        <w:t>,” and insert:</w:t>
      </w:r>
    </w:p>
    <w:p>
      <w:pPr>
        <w:pStyle w:val="BlankOpen"/>
        <w:keepNext w:val="0"/>
        <w:keepLines w:val="0"/>
      </w:pPr>
    </w:p>
    <w:p>
      <w:pPr>
        <w:pStyle w:val="nzDefpara"/>
      </w:pPr>
      <w:r>
        <w:tab/>
      </w:r>
      <w:r>
        <w:tab/>
        <w:t xml:space="preserve">as defined in the </w:t>
      </w:r>
      <w:r>
        <w:rPr>
          <w:i/>
          <w:iCs/>
        </w:rPr>
        <w:t>Road Traffic (Administration) Act 2008</w:t>
      </w:r>
      <w:r>
        <w:t xml:space="preserve"> section 4,</w:t>
      </w:r>
    </w:p>
    <w:p>
      <w:pPr>
        <w:pStyle w:val="BlankClose"/>
        <w:keepLines w:val="0"/>
      </w:pPr>
    </w:p>
    <w:p>
      <w:pPr>
        <w:pStyle w:val="nSubsection"/>
        <w:rPr>
          <w:snapToGrid w:val="0"/>
        </w:rPr>
      </w:pPr>
      <w:r>
        <w:rPr>
          <w:snapToGrid w:val="0"/>
          <w:vertAlign w:val="superscript"/>
        </w:rPr>
        <w:t>11</w:t>
      </w:r>
      <w:r>
        <w:rPr>
          <w:snapToGrid w:val="0"/>
        </w:rPr>
        <w:tab/>
        <w:t xml:space="preserve">On the date as at which this compilation was prepared, the </w:t>
      </w:r>
      <w:r>
        <w:rPr>
          <w:i/>
          <w:snapToGrid w:val="0"/>
        </w:rPr>
        <w:t xml:space="preserve">Statutes (Repeals and Minor Amendments) Act 2014 </w:t>
      </w:r>
      <w:r>
        <w:rPr>
          <w:snapToGrid w:val="0"/>
        </w:rPr>
        <w:t>s. 20</w:t>
      </w:r>
      <w:r>
        <w:rPr>
          <w:i/>
          <w:snapToGrid w:val="0"/>
        </w:rPr>
        <w:t xml:space="preserve"> </w:t>
      </w:r>
      <w:r>
        <w:rPr>
          <w:snapToGrid w:val="0"/>
        </w:rPr>
        <w:t>had not come into operation.  It reads as follows:</w:t>
      </w:r>
    </w:p>
    <w:p>
      <w:pPr>
        <w:pStyle w:val="BlankOpen"/>
        <w:rPr>
          <w:snapToGrid w:val="0"/>
        </w:rPr>
      </w:pPr>
    </w:p>
    <w:p>
      <w:pPr>
        <w:pStyle w:val="nzHeading5"/>
      </w:pPr>
      <w:bookmarkStart w:id="380" w:name="_Toc392133806"/>
      <w:bookmarkStart w:id="381" w:name="_Toc392144310"/>
      <w:r>
        <w:rPr>
          <w:rStyle w:val="CharSectno"/>
        </w:rPr>
        <w:t>20</w:t>
      </w:r>
      <w:r>
        <w:t>.</w:t>
      </w:r>
      <w:r>
        <w:tab/>
      </w:r>
      <w:r>
        <w:rPr>
          <w:i/>
        </w:rPr>
        <w:t>Credit Act 1984</w:t>
      </w:r>
      <w:r>
        <w:t xml:space="preserve"> amended</w:t>
      </w:r>
      <w:bookmarkEnd w:id="380"/>
      <w:bookmarkEnd w:id="381"/>
    </w:p>
    <w:p>
      <w:pPr>
        <w:pStyle w:val="nzSubsection"/>
      </w:pPr>
      <w:r>
        <w:tab/>
        <w:t>(1)</w:t>
      </w:r>
      <w:r>
        <w:tab/>
        <w:t xml:space="preserve">This section amends the </w:t>
      </w:r>
      <w:r>
        <w:rPr>
          <w:i/>
        </w:rPr>
        <w:t>Credit Act 1984</w:t>
      </w:r>
      <w:r>
        <w:t>.</w:t>
      </w:r>
    </w:p>
    <w:p>
      <w:pPr>
        <w:pStyle w:val="nzSubsection"/>
      </w:pPr>
      <w:r>
        <w:tab/>
        <w:t>(2)</w:t>
      </w:r>
      <w:r>
        <w:tab/>
        <w:t>In section 19B(2)(a) and (b) delete “[reference date],” and insert:</w:t>
      </w:r>
    </w:p>
    <w:p>
      <w:pPr>
        <w:pStyle w:val="BlankOpen"/>
      </w:pPr>
    </w:p>
    <w:p>
      <w:pPr>
        <w:pStyle w:val="nzSubsection"/>
      </w:pPr>
      <w:r>
        <w:tab/>
      </w:r>
      <w:r>
        <w:tab/>
        <w:t>1 July 2010,</w:t>
      </w:r>
    </w:p>
    <w:p>
      <w:pPr>
        <w:pStyle w:val="BlankClose"/>
      </w:pPr>
    </w:p>
    <w:p>
      <w:pPr>
        <w:pStyle w:val="BlankClose"/>
      </w:pPr>
    </w:p>
    <w:p/>
    <w:p>
      <w:pPr>
        <w:sectPr>
          <w:headerReference w:type="even" r:id="rId39"/>
          <w:headerReference w:type="default" r:id="rId40"/>
          <w:headerReference w:type="first" r:id="rId41"/>
          <w:pgSz w:w="11906" w:h="16838" w:code="9"/>
          <w:pgMar w:top="2376" w:right="2405" w:bottom="3542" w:left="2405" w:header="706" w:footer="3380" w:gutter="0"/>
          <w:cols w:space="720"/>
          <w:noEndnote/>
          <w:docGrid w:linePitch="326"/>
        </w:sectPr>
      </w:pPr>
    </w:p>
    <w:p>
      <w:pPr>
        <w:pStyle w:val="nHeading2"/>
        <w:rPr>
          <w:sz w:val="28"/>
        </w:rPr>
      </w:pPr>
      <w:bookmarkStart w:id="382" w:name="_Toc378152743"/>
      <w:bookmarkStart w:id="383" w:name="_Toc392496667"/>
      <w:r>
        <w:rPr>
          <w:sz w:val="28"/>
        </w:rPr>
        <w:t>Defined terms</w:t>
      </w:r>
      <w:bookmarkEnd w:id="382"/>
      <w:bookmarkEnd w:id="38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w:t>
      </w:r>
      <w:bookmarkStart w:id="384" w:name="UpToHere"/>
      <w:bookmarkEnd w:id="384"/>
      <w:r>
        <w:rPr>
          <w:b/>
          <w:sz w:val="20"/>
        </w:rPr>
        <w:t>erm</w:t>
      </w:r>
      <w:r>
        <w:rPr>
          <w:b/>
          <w:sz w:val="20"/>
        </w:rPr>
        <w:tab/>
        <w:t>Provision(s)</w:t>
      </w:r>
    </w:p>
    <w:p>
      <w:pPr>
        <w:pStyle w:val="DefinedTerms"/>
      </w:pPr>
      <w:bookmarkStart w:id="385" w:name="DefinedTerms"/>
      <w:bookmarkEnd w:id="385"/>
      <w:r>
        <w:t>acceptable rate of interest</w:t>
      </w:r>
      <w:r>
        <w:tab/>
        <w:t>5(1)</w:t>
      </w:r>
    </w:p>
    <w:p>
      <w:pPr>
        <w:pStyle w:val="DefinedTerms"/>
      </w:pPr>
      <w:r>
        <w:t>account charge</w:t>
      </w:r>
      <w:r>
        <w:tab/>
        <w:t>5(1)</w:t>
      </w:r>
    </w:p>
    <w:p>
      <w:pPr>
        <w:pStyle w:val="DefinedTerms"/>
      </w:pPr>
      <w:r>
        <w:t>accrued credit charge</w:t>
      </w:r>
      <w:r>
        <w:tab/>
        <w:t>5(1)</w:t>
      </w:r>
    </w:p>
    <w:p>
      <w:pPr>
        <w:pStyle w:val="DefinedTerms"/>
      </w:pPr>
      <w:r>
        <w:t>actuarial method</w:t>
      </w:r>
      <w:r>
        <w:tab/>
        <w:t>5(1)</w:t>
      </w:r>
    </w:p>
    <w:p>
      <w:pPr>
        <w:pStyle w:val="DefinedTerms"/>
      </w:pPr>
      <w:r>
        <w:t>advertisement</w:t>
      </w:r>
      <w:r>
        <w:tab/>
        <w:t>121(8)(a)</w:t>
      </w:r>
    </w:p>
    <w:p>
      <w:pPr>
        <w:pStyle w:val="DefinedTerms"/>
      </w:pPr>
      <w:r>
        <w:t>amount financed</w:t>
      </w:r>
      <w:r>
        <w:tab/>
        <w:t>5(1)</w:t>
      </w:r>
    </w:p>
    <w:p>
      <w:pPr>
        <w:pStyle w:val="DefinedTerms"/>
      </w:pPr>
      <w:r>
        <w:t>annual percentage rate</w:t>
      </w:r>
      <w:r>
        <w:tab/>
        <w:t>5(1)</w:t>
      </w:r>
    </w:p>
    <w:p>
      <w:pPr>
        <w:pStyle w:val="DefinedTerms"/>
      </w:pPr>
      <w:r>
        <w:t>assignment</w:t>
      </w:r>
      <w:r>
        <w:tab/>
        <w:t>150(5)</w:t>
      </w:r>
    </w:p>
    <w:p>
      <w:pPr>
        <w:pStyle w:val="DefinedTerms"/>
      </w:pPr>
      <w:r>
        <w:t>bank</w:t>
      </w:r>
      <w:r>
        <w:tab/>
        <w:t>5(1)</w:t>
      </w:r>
    </w:p>
    <w:p>
      <w:pPr>
        <w:pStyle w:val="DefinedTerms"/>
      </w:pPr>
      <w:r>
        <w:t>billing cycle</w:t>
      </w:r>
      <w:r>
        <w:tab/>
        <w:t>5(1)</w:t>
      </w:r>
    </w:p>
    <w:p>
      <w:pPr>
        <w:pStyle w:val="DefinedTerms"/>
      </w:pPr>
      <w:r>
        <w:t>body corporate</w:t>
      </w:r>
      <w:r>
        <w:tab/>
        <w:t>5(1)</w:t>
      </w:r>
    </w:p>
    <w:p>
      <w:pPr>
        <w:pStyle w:val="DefinedTerms"/>
      </w:pPr>
      <w:r>
        <w:t>cash</w:t>
      </w:r>
      <w:r>
        <w:tab/>
        <w:t>5(1)</w:t>
      </w:r>
    </w:p>
    <w:p>
      <w:pPr>
        <w:pStyle w:val="DefinedTerms"/>
      </w:pPr>
      <w:r>
        <w:t>cash price</w:t>
      </w:r>
      <w:r>
        <w:tab/>
        <w:t>5(1), 13(5)(b)</w:t>
      </w:r>
    </w:p>
    <w:p>
      <w:pPr>
        <w:pStyle w:val="DefinedTerms"/>
      </w:pPr>
      <w:r>
        <w:t>civil penalty</w:t>
      </w:r>
      <w:r>
        <w:tab/>
        <w:t>85B(8)</w:t>
      </w:r>
    </w:p>
    <w:p>
      <w:pPr>
        <w:pStyle w:val="DefinedTerms"/>
      </w:pPr>
      <w:r>
        <w:t>commencement day</w:t>
      </w:r>
      <w:r>
        <w:tab/>
        <w:t>19A(1)</w:t>
      </w:r>
    </w:p>
    <w:p>
      <w:pPr>
        <w:pStyle w:val="DefinedTerms"/>
      </w:pPr>
      <w:r>
        <w:t>commercial broadcasting station</w:t>
      </w:r>
      <w:r>
        <w:tab/>
        <w:t>121(8)(c)</w:t>
      </w:r>
    </w:p>
    <w:p>
      <w:pPr>
        <w:pStyle w:val="DefinedTerms"/>
      </w:pPr>
      <w:r>
        <w:t>commercial television station</w:t>
      </w:r>
      <w:r>
        <w:tab/>
        <w:t>121(8)(c)</w:t>
      </w:r>
    </w:p>
    <w:p>
      <w:pPr>
        <w:pStyle w:val="DefinedTerms"/>
      </w:pPr>
      <w:r>
        <w:t>commercial vehicle</w:t>
      </w:r>
      <w:r>
        <w:tab/>
        <w:t>5(1)</w:t>
      </w:r>
    </w:p>
    <w:p>
      <w:pPr>
        <w:pStyle w:val="DefinedTerms"/>
      </w:pPr>
      <w:r>
        <w:t>commission charge</w:t>
      </w:r>
      <w:r>
        <w:tab/>
        <w:t>5(1)</w:t>
      </w:r>
    </w:p>
    <w:p>
      <w:pPr>
        <w:pStyle w:val="DefinedTerms"/>
      </w:pPr>
      <w:r>
        <w:t>Commissioner</w:t>
      </w:r>
      <w:r>
        <w:tab/>
        <w:t>5(1)</w:t>
      </w:r>
    </w:p>
    <w:p>
      <w:pPr>
        <w:pStyle w:val="DefinedTerms"/>
      </w:pPr>
      <w:r>
        <w:t>compulsory insurance</w:t>
      </w:r>
      <w:r>
        <w:tab/>
        <w:t>5(1)</w:t>
      </w:r>
    </w:p>
    <w:p>
      <w:pPr>
        <w:pStyle w:val="DefinedTerms"/>
      </w:pPr>
      <w:r>
        <w:t>condition</w:t>
      </w:r>
      <w:r>
        <w:tab/>
        <w:t>127(1)</w:t>
      </w:r>
    </w:p>
    <w:p>
      <w:pPr>
        <w:pStyle w:val="DefinedTerms"/>
      </w:pPr>
      <w:r>
        <w:t>continuing credit contract</w:t>
      </w:r>
      <w:r>
        <w:tab/>
        <w:t>5(1)</w:t>
      </w:r>
    </w:p>
    <w:p>
      <w:pPr>
        <w:pStyle w:val="DefinedTerms"/>
      </w:pPr>
      <w:r>
        <w:t>contract for the hiring of goods</w:t>
      </w:r>
      <w:r>
        <w:tab/>
        <w:t>5(1)</w:t>
      </w:r>
    </w:p>
    <w:p>
      <w:pPr>
        <w:pStyle w:val="DefinedTerms"/>
      </w:pPr>
      <w:r>
        <w:t>contract of guarantee</w:t>
      </w:r>
      <w:r>
        <w:tab/>
        <w:t>139(1)</w:t>
      </w:r>
    </w:p>
    <w:p>
      <w:pPr>
        <w:pStyle w:val="DefinedTerms"/>
      </w:pPr>
      <w:r>
        <w:t>credit</w:t>
      </w:r>
      <w:r>
        <w:tab/>
        <w:t>5(1)</w:t>
      </w:r>
    </w:p>
    <w:p>
      <w:pPr>
        <w:pStyle w:val="DefinedTerms"/>
      </w:pPr>
      <w:r>
        <w:t>credit charge</w:t>
      </w:r>
      <w:r>
        <w:tab/>
        <w:t>5(1)</w:t>
      </w:r>
    </w:p>
    <w:p>
      <w:pPr>
        <w:pStyle w:val="DefinedTerms"/>
      </w:pPr>
      <w:r>
        <w:t>credit contract</w:t>
      </w:r>
      <w:r>
        <w:tab/>
        <w:t>5(1)</w:t>
      </w:r>
    </w:p>
    <w:p>
      <w:pPr>
        <w:pStyle w:val="DefinedTerms"/>
      </w:pPr>
      <w:r>
        <w:t>credit provider</w:t>
      </w:r>
      <w:r>
        <w:tab/>
        <w:t>5(1)</w:t>
      </w:r>
    </w:p>
    <w:p>
      <w:pPr>
        <w:pStyle w:val="DefinedTerms"/>
      </w:pPr>
      <w:r>
        <w:t>credit sale contract</w:t>
      </w:r>
      <w:r>
        <w:tab/>
        <w:t>5(1)</w:t>
      </w:r>
    </w:p>
    <w:p>
      <w:pPr>
        <w:pStyle w:val="DefinedTerms"/>
      </w:pPr>
      <w:r>
        <w:t>creditor</w:t>
      </w:r>
      <w:r>
        <w:tab/>
        <w:t>48(2)(a)</w:t>
      </w:r>
    </w:p>
    <w:p>
      <w:pPr>
        <w:pStyle w:val="DefinedTerms"/>
      </w:pPr>
      <w:r>
        <w:t>cross</w:t>
      </w:r>
      <w:r>
        <w:noBreakHyphen/>
        <w:t>claim</w:t>
      </w:r>
      <w:r>
        <w:tab/>
        <w:t>5(1)</w:t>
      </w:r>
    </w:p>
    <w:p>
      <w:pPr>
        <w:pStyle w:val="DefinedTerms"/>
      </w:pPr>
      <w:r>
        <w:t>daily percentage rate</w:t>
      </w:r>
      <w:r>
        <w:tab/>
        <w:t>5(1)</w:t>
      </w:r>
    </w:p>
    <w:p>
      <w:pPr>
        <w:pStyle w:val="DefinedTerms"/>
      </w:pPr>
      <w:r>
        <w:t>debtor</w:t>
      </w:r>
      <w:r>
        <w:tab/>
        <w:t>5(1)</w:t>
      </w:r>
    </w:p>
    <w:p>
      <w:pPr>
        <w:pStyle w:val="DefinedTerms"/>
      </w:pPr>
      <w:r>
        <w:t>deed</w:t>
      </w:r>
      <w:r>
        <w:tab/>
        <w:t>150(5)</w:t>
      </w:r>
    </w:p>
    <w:p>
      <w:pPr>
        <w:pStyle w:val="DefinedTerms"/>
      </w:pPr>
      <w:r>
        <w:t>default</w:t>
      </w:r>
      <w:r>
        <w:tab/>
        <w:t>113(5)</w:t>
      </w:r>
    </w:p>
    <w:p>
      <w:pPr>
        <w:pStyle w:val="DefinedTerms"/>
      </w:pPr>
      <w:r>
        <w:t>default charge</w:t>
      </w:r>
      <w:r>
        <w:tab/>
        <w:t>5(1)</w:t>
      </w:r>
    </w:p>
    <w:p>
      <w:pPr>
        <w:pStyle w:val="DefinedTerms"/>
      </w:pPr>
      <w:r>
        <w:t>deferral charge</w:t>
      </w:r>
      <w:r>
        <w:tab/>
        <w:t>5(1)</w:t>
      </w:r>
    </w:p>
    <w:p>
      <w:pPr>
        <w:pStyle w:val="DefinedTerms"/>
      </w:pPr>
      <w:r>
        <w:t>Department</w:t>
      </w:r>
      <w:r>
        <w:tab/>
        <w:t>5(1)</w:t>
      </w:r>
    </w:p>
    <w:p>
      <w:pPr>
        <w:pStyle w:val="DefinedTerms"/>
      </w:pPr>
      <w:r>
        <w:t>deposit</w:t>
      </w:r>
      <w:r>
        <w:tab/>
        <w:t>5(1)</w:t>
      </w:r>
    </w:p>
    <w:p>
      <w:pPr>
        <w:pStyle w:val="DefinedTerms"/>
      </w:pPr>
      <w:r>
        <w:t>determination</w:t>
      </w:r>
      <w:r>
        <w:tab/>
        <w:t>5(1)</w:t>
      </w:r>
    </w:p>
    <w:p>
      <w:pPr>
        <w:pStyle w:val="DefinedTerms"/>
      </w:pPr>
      <w:r>
        <w:t>discharge</w:t>
      </w:r>
      <w:r>
        <w:tab/>
        <w:t>5(1)</w:t>
      </w:r>
    </w:p>
    <w:p>
      <w:pPr>
        <w:pStyle w:val="DefinedTerms"/>
      </w:pPr>
      <w:r>
        <w:t>enforcement expense</w:t>
      </w:r>
      <w:r>
        <w:tab/>
        <w:t>5(1)</w:t>
      </w:r>
    </w:p>
    <w:p>
      <w:pPr>
        <w:pStyle w:val="DefinedTerms"/>
      </w:pPr>
      <w:r>
        <w:t>estimated credit charge</w:t>
      </w:r>
      <w:r>
        <w:tab/>
        <w:t>5(1)</w:t>
      </w:r>
    </w:p>
    <w:p>
      <w:pPr>
        <w:pStyle w:val="DefinedTerms"/>
      </w:pPr>
      <w:r>
        <w:t>exempt credit provider</w:t>
      </w:r>
      <w:r>
        <w:tab/>
        <w:t>5(1)</w:t>
      </w:r>
    </w:p>
    <w:p>
      <w:pPr>
        <w:pStyle w:val="DefinedTerms"/>
      </w:pPr>
      <w:r>
        <w:t>farm machinery</w:t>
      </w:r>
      <w:r>
        <w:tab/>
        <w:t>5(1)</w:t>
      </w:r>
    </w:p>
    <w:p>
      <w:pPr>
        <w:pStyle w:val="DefinedTerms"/>
      </w:pPr>
      <w:r>
        <w:t>farming undertaking</w:t>
      </w:r>
      <w:r>
        <w:tab/>
        <w:t>5(1)</w:t>
      </w:r>
    </w:p>
    <w:p>
      <w:pPr>
        <w:pStyle w:val="DefinedTerms"/>
      </w:pPr>
      <w:r>
        <w:t>goods</w:t>
      </w:r>
      <w:r>
        <w:tab/>
        <w:t>5(1)</w:t>
      </w:r>
    </w:p>
    <w:p>
      <w:pPr>
        <w:pStyle w:val="DefinedTerms"/>
      </w:pPr>
      <w:r>
        <w:t>guarantee</w:t>
      </w:r>
      <w:r>
        <w:tab/>
        <w:t>5(1)</w:t>
      </w:r>
    </w:p>
    <w:p>
      <w:pPr>
        <w:pStyle w:val="DefinedTerms"/>
      </w:pPr>
      <w:r>
        <w:t>guarantor</w:t>
      </w:r>
      <w:r>
        <w:tab/>
        <w:t>5(1)</w:t>
      </w:r>
    </w:p>
    <w:p>
      <w:pPr>
        <w:pStyle w:val="DefinedTerms"/>
      </w:pPr>
      <w:r>
        <w:t>instalment</w:t>
      </w:r>
      <w:r>
        <w:tab/>
        <w:t>5(1)</w:t>
      </w:r>
    </w:p>
    <w:p>
      <w:pPr>
        <w:pStyle w:val="DefinedTerms"/>
      </w:pPr>
      <w:r>
        <w:t>judgment</w:t>
      </w:r>
      <w:r>
        <w:tab/>
        <w:t>5(1)</w:t>
      </w:r>
    </w:p>
    <w:p>
      <w:pPr>
        <w:pStyle w:val="DefinedTerms"/>
      </w:pPr>
      <w:r>
        <w:t>land</w:t>
      </w:r>
      <w:r>
        <w:tab/>
        <w:t>5(1)</w:t>
      </w:r>
    </w:p>
    <w:p>
      <w:pPr>
        <w:pStyle w:val="DefinedTerms"/>
      </w:pPr>
      <w:r>
        <w:t>licensed credit provider</w:t>
      </w:r>
      <w:r>
        <w:tab/>
        <w:t>5(1)</w:t>
      </w:r>
    </w:p>
    <w:p>
      <w:pPr>
        <w:pStyle w:val="DefinedTerms"/>
      </w:pPr>
      <w:r>
        <w:t>licensee</w:t>
      </w:r>
      <w:r>
        <w:tab/>
        <w:t>121(8)(c)</w:t>
      </w:r>
    </w:p>
    <w:p>
      <w:pPr>
        <w:pStyle w:val="DefinedTerms"/>
      </w:pPr>
      <w:r>
        <w:t>linked credit provider</w:t>
      </w:r>
      <w:r>
        <w:tab/>
        <w:t>5(1)</w:t>
      </w:r>
    </w:p>
    <w:p>
      <w:pPr>
        <w:pStyle w:val="DefinedTerms"/>
      </w:pPr>
      <w:r>
        <w:t>loan contract</w:t>
      </w:r>
      <w:r>
        <w:tab/>
        <w:t>5(1)</w:t>
      </w:r>
    </w:p>
    <w:p>
      <w:pPr>
        <w:pStyle w:val="DefinedTerms"/>
      </w:pPr>
      <w:r>
        <w:t>minimum credit charge</w:t>
      </w:r>
      <w:r>
        <w:tab/>
        <w:t>5(1)</w:t>
      </w:r>
    </w:p>
    <w:p>
      <w:pPr>
        <w:pStyle w:val="DefinedTerms"/>
      </w:pPr>
      <w:r>
        <w:t>mortgage</w:t>
      </w:r>
      <w:r>
        <w:tab/>
        <w:t>5(1)</w:t>
      </w:r>
    </w:p>
    <w:p>
      <w:pPr>
        <w:pStyle w:val="DefinedTerms"/>
      </w:pPr>
      <w:r>
        <w:t>offer in writing</w:t>
      </w:r>
      <w:r>
        <w:tab/>
        <w:t>32(7), 33(3)</w:t>
      </w:r>
    </w:p>
    <w:p>
      <w:pPr>
        <w:pStyle w:val="DefinedTerms"/>
      </w:pPr>
      <w:r>
        <w:t>officer</w:t>
      </w:r>
      <w:r>
        <w:tab/>
        <w:t>5(1)</w:t>
      </w:r>
    </w:p>
    <w:p>
      <w:pPr>
        <w:pStyle w:val="DefinedTerms"/>
      </w:pPr>
      <w:r>
        <w:t>pastoral finance company</w:t>
      </w:r>
      <w:r>
        <w:tab/>
        <w:t>5(1)</w:t>
      </w:r>
    </w:p>
    <w:p>
      <w:pPr>
        <w:pStyle w:val="DefinedTerms"/>
      </w:pPr>
      <w:r>
        <w:t>pre</w:t>
      </w:r>
      <w:r>
        <w:noBreakHyphen/>
        <w:t>determined credit charge</w:t>
      </w:r>
      <w:r>
        <w:tab/>
        <w:t>5(1)</w:t>
      </w:r>
    </w:p>
    <w:p>
      <w:pPr>
        <w:pStyle w:val="DefinedTerms"/>
      </w:pPr>
      <w:r>
        <w:t>property</w:t>
      </w:r>
      <w:r>
        <w:tab/>
        <w:t>5(1)</w:t>
      </w:r>
    </w:p>
    <w:p>
      <w:pPr>
        <w:pStyle w:val="DefinedTerms"/>
      </w:pPr>
      <w:r>
        <w:t>recognised State</w:t>
      </w:r>
      <w:r>
        <w:tab/>
        <w:t>5(1)</w:t>
      </w:r>
    </w:p>
    <w:p>
      <w:pPr>
        <w:pStyle w:val="DefinedTerms"/>
      </w:pPr>
      <w:r>
        <w:t>record</w:t>
      </w:r>
      <w:r>
        <w:tab/>
        <w:t>5(1)</w:t>
      </w:r>
    </w:p>
    <w:p>
      <w:pPr>
        <w:pStyle w:val="DefinedTerms"/>
      </w:pPr>
      <w:r>
        <w:t>registered office</w:t>
      </w:r>
      <w:r>
        <w:tab/>
        <w:t>164(2)</w:t>
      </w:r>
    </w:p>
    <w:p>
      <w:pPr>
        <w:pStyle w:val="DefinedTerms"/>
      </w:pPr>
      <w:r>
        <w:t>registration fees</w:t>
      </w:r>
      <w:r>
        <w:tab/>
        <w:t>5(1)</w:t>
      </w:r>
    </w:p>
    <w:p>
      <w:pPr>
        <w:pStyle w:val="DefinedTerms"/>
      </w:pPr>
      <w:r>
        <w:t>regulated continuing credit contract</w:t>
      </w:r>
      <w:r>
        <w:tab/>
        <w:t>5(1)</w:t>
      </w:r>
    </w:p>
    <w:p>
      <w:pPr>
        <w:pStyle w:val="DefinedTerms"/>
      </w:pPr>
      <w:r>
        <w:t>regulated contract</w:t>
      </w:r>
      <w:r>
        <w:tab/>
        <w:t>5(1)</w:t>
      </w:r>
    </w:p>
    <w:p>
      <w:pPr>
        <w:pStyle w:val="DefinedTerms"/>
      </w:pPr>
      <w:r>
        <w:t>regulated credit sale contract</w:t>
      </w:r>
      <w:r>
        <w:tab/>
        <w:t>5(1)</w:t>
      </w:r>
    </w:p>
    <w:p>
      <w:pPr>
        <w:pStyle w:val="DefinedTerms"/>
      </w:pPr>
      <w:r>
        <w:t>regulated loan contract</w:t>
      </w:r>
      <w:r>
        <w:tab/>
        <w:t>5(1)</w:t>
      </w:r>
    </w:p>
    <w:p>
      <w:pPr>
        <w:pStyle w:val="DefinedTerms"/>
      </w:pPr>
      <w:r>
        <w:t>regulated mortgage</w:t>
      </w:r>
      <w:r>
        <w:tab/>
        <w:t>5(1)</w:t>
      </w:r>
    </w:p>
    <w:p>
      <w:pPr>
        <w:pStyle w:val="DefinedTerms"/>
        <w:jc w:val="right"/>
      </w:pPr>
      <w:r>
        <w:t>relevant date</w:t>
      </w:r>
      <w:r>
        <w:tab/>
        <w:t>35(4), 36(4), 69(2), Sch. 2 cl. 2, Sch. 3 cl. 2,</w:t>
      </w:r>
    </w:p>
    <w:p>
      <w:pPr>
        <w:pStyle w:val="DefinedTerms"/>
        <w:ind w:right="16"/>
        <w:jc w:val="right"/>
      </w:pPr>
      <w:r>
        <w:t>Sch. 4 cl. 2, Sch. 5 cl. 2</w:t>
      </w:r>
    </w:p>
    <w:p>
      <w:pPr>
        <w:pStyle w:val="DefinedTerms"/>
      </w:pPr>
      <w:r>
        <w:t>rescission</w:t>
      </w:r>
      <w:r>
        <w:tab/>
        <w:t>5(1)</w:t>
      </w:r>
    </w:p>
    <w:p>
      <w:pPr>
        <w:pStyle w:val="DefinedTerms"/>
      </w:pPr>
      <w:r>
        <w:t>security interest</w:t>
      </w:r>
      <w:r>
        <w:tab/>
        <w:t>5(1)</w:t>
      </w:r>
    </w:p>
    <w:p>
      <w:pPr>
        <w:pStyle w:val="DefinedTerms"/>
      </w:pPr>
      <w:r>
        <w:t>services</w:t>
      </w:r>
      <w:r>
        <w:tab/>
        <w:t>5(1)</w:t>
      </w:r>
    </w:p>
    <w:p>
      <w:pPr>
        <w:pStyle w:val="DefinedTerms"/>
      </w:pPr>
      <w:r>
        <w:t>statutory rebate</w:t>
      </w:r>
      <w:r>
        <w:tab/>
        <w:t>5(1)</w:t>
      </w:r>
    </w:p>
    <w:p>
      <w:pPr>
        <w:pStyle w:val="DefinedTerms"/>
      </w:pPr>
      <w:r>
        <w:t>supplier</w:t>
      </w:r>
      <w:r>
        <w:tab/>
        <w:t>5(1)</w:t>
      </w:r>
    </w:p>
    <w:p>
      <w:pPr>
        <w:pStyle w:val="DefinedTerms"/>
      </w:pPr>
      <w:r>
        <w:t>supply</w:t>
      </w:r>
      <w:r>
        <w:tab/>
        <w:t>5(1)</w:t>
      </w:r>
    </w:p>
    <w:p>
      <w:pPr>
        <w:pStyle w:val="DefinedTerms"/>
      </w:pPr>
      <w:r>
        <w:t>tied continuing credit contract</w:t>
      </w:r>
      <w:r>
        <w:tab/>
        <w:t>5(1)</w:t>
      </w:r>
    </w:p>
    <w:p>
      <w:pPr>
        <w:pStyle w:val="DefinedTerms"/>
      </w:pPr>
      <w:r>
        <w:t>tied loan contract</w:t>
      </w:r>
      <w:r>
        <w:tab/>
        <w:t>5(1)</w:t>
      </w:r>
    </w:p>
    <w:p>
      <w:pPr>
        <w:pStyle w:val="DefinedTerms"/>
        <w:sectPr>
          <w:headerReference w:type="even" r:id="rId42"/>
          <w:headerReference w:type="default" r:id="rId43"/>
          <w:headerReference w:type="first" r:id="rId44"/>
          <w:pgSz w:w="11906" w:h="16838" w:code="9"/>
          <w:pgMar w:top="2376" w:right="2405" w:bottom="3542" w:left="2405" w:header="706" w:footer="3380" w:gutter="0"/>
          <w:cols w:space="720"/>
          <w:noEndnote/>
          <w:docGrid w:linePitch="326"/>
        </w:sectPr>
      </w:pPr>
    </w:p>
    <w:p>
      <w:pPr>
        <w:pStyle w:val="DefinedTerms"/>
      </w:pPr>
      <w:r>
        <w:t>trade or tie agreement</w:t>
      </w:r>
      <w:r>
        <w:tab/>
        <w:t>5(1)</w:t>
      </w:r>
    </w:p>
    <w:p>
      <w:pPr>
        <w:pStyle w:val="DefinedTerms"/>
      </w:pPr>
      <w:r>
        <w:t>trade</w:t>
      </w:r>
      <w:r>
        <w:noBreakHyphen/>
        <w:t>in allowance</w:t>
      </w:r>
      <w:r>
        <w:tab/>
        <w:t>5(1)</w:t>
      </w:r>
    </w:p>
    <w:p>
      <w:pPr>
        <w:pStyle w:val="DefinedTerms"/>
      </w:pPr>
      <w:r>
        <w:t>Tribunal</w:t>
      </w:r>
      <w:r>
        <w:tab/>
        <w:t>5(1)</w:t>
      </w:r>
    </w:p>
    <w:p>
      <w:pPr>
        <w:pStyle w:val="DefinedTerms"/>
      </w:pPr>
    </w:p>
    <w:p/>
    <w:p/>
    <w:p>
      <w:pPr>
        <w:sectPr>
          <w:headerReference w:type="even" r:id="rId45"/>
          <w:pgSz w:w="11906" w:h="16838" w:code="9"/>
          <w:pgMar w:top="2376" w:right="2405" w:bottom="3542" w:left="2405" w:header="706" w:footer="3380" w:gutter="0"/>
          <w:cols w:space="720"/>
          <w:noEndnote/>
          <w:docGrid w:linePitch="326"/>
        </w:sectPr>
      </w:pPr>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6"/>
      <w:headerReference w:type="default" r:id="rId4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199</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Credit Act 1984</w:t>
            </w:r>
          </w:fldSimple>
        </w:p>
      </w:tc>
    </w:tr>
    <w:tr>
      <w:tc>
        <w:tcPr>
          <w:tcW w:w="1490" w:type="dxa"/>
        </w:tcPr>
        <w:p>
          <w:pPr>
            <w:pStyle w:val="HeaderNumberLeft"/>
            <w:rPr>
              <w:b w:val="0"/>
              <w:bCs/>
            </w:rPr>
          </w:pPr>
          <w:r>
            <w:fldChar w:fldCharType="begin"/>
          </w:r>
          <w:r>
            <w:instrText xml:space="preserve"> STYLEREF CharSchNo \* MERGEFORMAT </w:instrText>
          </w:r>
          <w:r>
            <w:rPr>
              <w:noProof/>
            </w:rPr>
            <w:fldChar w:fldCharType="end"/>
          </w:r>
        </w:p>
      </w:tc>
      <w:tc>
        <w:tcPr>
          <w:tcW w:w="5773" w:type="dxa"/>
          <w:vAlign w:val="bottom"/>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68" w:type="dxa"/>
          <w:vAlign w:val="bottom"/>
        </w:tcPr>
        <w:p>
          <w:pPr>
            <w:pStyle w:val="HeaderSectionRight"/>
            <w:ind w:right="17"/>
            <w:jc w:val="left"/>
            <w:rPr>
              <w:b w:val="0"/>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ActNameRight"/>
            <w:ind w:right="17"/>
          </w:pPr>
          <w:fldSimple w:instr=" Styleref &quot;Name of Act/Reg&quot; ">
            <w:r>
              <w:rPr>
                <w:noProof/>
              </w:rPr>
              <w:t>Credit Act 1984</w:t>
            </w:r>
          </w:fldSimple>
        </w:p>
      </w:tc>
    </w:tr>
    <w:tr>
      <w:tc>
        <w:tcPr>
          <w:tcW w:w="5742" w:type="dxa"/>
          <w:vAlign w:val="bottom"/>
        </w:tcPr>
        <w:p>
          <w:pPr>
            <w:pStyle w:val="HeaderTextRight"/>
            <w:rPr>
              <w:bCs/>
            </w:rPr>
          </w:pPr>
          <w:r>
            <w:rPr>
              <w:bCs/>
            </w:rPr>
            <w:fldChar w:fldCharType="begin"/>
          </w:r>
          <w:r>
            <w:rPr>
              <w:bCs/>
            </w:rPr>
            <w:instrText xml:space="preserve"> STYLEREF CharSchText \* MERGEFORMAT </w:instrText>
          </w:r>
          <w:r>
            <w:rPr>
              <w:bCs/>
            </w:rPr>
            <w:fldChar w:fldCharType="end"/>
          </w: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16"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Credit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Credit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Credit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Credit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Credit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Credit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Credit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Credit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Credit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Credit Act 1984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Credit Act 1984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D4F7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C6812A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476088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9E09CA8"/>
    <w:lvl w:ilvl="0">
      <w:start w:val="1"/>
      <w:numFmt w:val="decimal"/>
      <w:pStyle w:val="ListNumber2"/>
      <w:lvlText w:val="%1."/>
      <w:lvlJc w:val="left"/>
      <w:pPr>
        <w:tabs>
          <w:tab w:val="num" w:pos="643"/>
        </w:tabs>
        <w:ind w:left="643" w:hanging="360"/>
      </w:pPr>
    </w:lvl>
  </w:abstractNum>
  <w:abstractNum w:abstractNumId="4">
    <w:nsid w:val="FFFFFF80"/>
    <w:multiLevelType w:val="singleLevel"/>
    <w:tmpl w:val="E9C828C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9365AE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1C648C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366F3E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E8E6EE0"/>
    <w:lvl w:ilvl="0">
      <w:start w:val="1"/>
      <w:numFmt w:val="decimal"/>
      <w:pStyle w:val="ListNumber"/>
      <w:lvlText w:val="%1."/>
      <w:lvlJc w:val="left"/>
      <w:pPr>
        <w:tabs>
          <w:tab w:val="num" w:pos="360"/>
        </w:tabs>
        <w:ind w:left="360" w:hanging="360"/>
      </w:pPr>
    </w:lvl>
  </w:abstractNum>
  <w:abstractNum w:abstractNumId="9">
    <w:nsid w:val="FFFFFF89"/>
    <w:multiLevelType w:val="singleLevel"/>
    <w:tmpl w:val="12C21B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842AAD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2F4641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131078" w:nlCheck="1" w:checkStyle="1"/>
  <w:activeWritingStyle w:appName="MSWord" w:lang="en-US" w:vendorID="64" w:dllVersion="131078" w:nlCheck="1" w:checkStyle="1"/>
  <w:activeWritingStyle w:appName="MSWord" w:lang="en-AU" w:vendorID="64" w:dllVersion="131077" w:nlCheck="1" w:checkStyle="1"/>
  <w:activeWritingStyle w:appName="MSWord" w:lang="en-US"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2110904"/>
    <w:docVar w:name="WAFER_20140122095443" w:val="RemoveTocBookmarks,RemoveUnusedBookmarks,RemoveLanguageTags,UsedStyles,ResetPageSize,UpdateArrangement"/>
    <w:docVar w:name="WAFER_20140122095443_GUID" w:val="38547a76-eb7b-4f40-9208-90ee5bcb61f2"/>
    <w:docVar w:name="WAFER_20140122110904" w:val="RemoveTocBookmarks,RunningHeaders"/>
    <w:docVar w:name="WAFER_20140122110904_GUID" w:val="4e6f9e8f-cfcf-48db-84fa-df14055e098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NameofActReg">
    <w:name w:val="Name of Act/Reg"/>
    <w:next w:val="Normal"/>
    <w:pPr>
      <w:spacing w:before="480" w:after="600"/>
      <w:jc w:val="center"/>
    </w:pPr>
    <w:rPr>
      <w:b/>
      <w:snapToGrid w:val="0"/>
      <w:sz w:val="34"/>
    </w:rPr>
  </w:style>
  <w:style w:type="character" w:customStyle="1" w:styleId="CharProduced">
    <w:name w:val="CharProduced"/>
    <w:rPr>
      <w:noProof w:val="0"/>
      <w:spacing w:val="-3"/>
    </w:rPr>
  </w:style>
  <w:style w:type="paragraph" w:customStyle="1" w:styleId="Arrangement">
    <w:name w:val="Arrangement"/>
    <w:pPr>
      <w:spacing w:after="480"/>
      <w:ind w:left="2304" w:right="2304"/>
      <w:jc w:val="center"/>
    </w:pPr>
    <w:rPr>
      <w:b/>
      <w:sz w:val="28"/>
    </w:rPr>
  </w:style>
  <w:style w:type="character" w:customStyle="1" w:styleId="CharDivText">
    <w:name w:val="CharDivText"/>
    <w:rPr>
      <w:noProof w:val="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DivNo">
    <w:name w:val="CharDivNo"/>
    <w:rPr>
      <w:noProof w:val="0"/>
    </w:rPr>
  </w:style>
  <w:style w:type="character" w:customStyle="1" w:styleId="CharSchNo">
    <w:name w:val="CharSchNo"/>
    <w:rPr>
      <w:noProof w:val="0"/>
    </w:rPr>
  </w:style>
  <w:style w:type="paragraph" w:styleId="NoteHeading">
    <w:name w:val="Note Heading"/>
    <w:basedOn w:val="Normal"/>
    <w:next w:val="Normal"/>
  </w:style>
  <w:style w:type="paragraph" w:customStyle="1" w:styleId="LongTitle">
    <w:name w:val="Long Title"/>
    <w:rPr>
      <w:b/>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character" w:customStyle="1" w:styleId="CharSectno">
    <w:name w:val="CharSectno"/>
    <w:rPr>
      <w:noProof w:val="0"/>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MiscellaneousHeading">
    <w:name w:val="Miscellaneous Heading"/>
    <w:pPr>
      <w:keepNext/>
      <w:spacing w:before="160" w:line="260" w:lineRule="atLeast"/>
      <w:jc w:val="center"/>
    </w:pPr>
    <w:rPr>
      <w:sz w:val="24"/>
    </w:rPr>
  </w:style>
  <w:style w:type="paragraph" w:customStyle="1" w:styleId="yIndenta">
    <w:name w:val="yIndent(a)"/>
    <w:basedOn w:val="Indenta"/>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Table">
    <w:name w:val="Table"/>
    <w:aliases w:val="t"/>
    <w:basedOn w:val="Normal"/>
    <w:pPr>
      <w:spacing w:before="60" w:line="240" w:lineRule="atLeast"/>
    </w:pPr>
    <w:rPr>
      <w:sz w:val="22"/>
    </w:rPr>
  </w:style>
  <w:style w:type="paragraph" w:customStyle="1" w:styleId="MiscOpen">
    <w:name w:val="MiscOpen"/>
    <w:pPr>
      <w:keepNext/>
      <w:keepLines/>
      <w:tabs>
        <w:tab w:val="left" w:pos="893"/>
      </w:tabs>
      <w:spacing w:before="120" w:line="260" w:lineRule="atLeast"/>
    </w:pPr>
    <w:rPr>
      <w:sz w:val="24"/>
    </w:rPr>
  </w:style>
  <w:style w:type="paragraph" w:customStyle="1" w:styleId="nzSubsection">
    <w:name w:val="nzSubsection"/>
    <w:basedOn w:val="zSubsection"/>
    <w:pPr>
      <w:spacing w:before="8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Indenta">
    <w:name w:val="nzIndent(a)"/>
    <w:basedOn w:val="zIndenta"/>
    <w:pPr>
      <w:spacing w:before="4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MiscClose">
    <w:name w:val="MiscClose"/>
    <w:basedOn w:val="Normal"/>
    <w:pPr>
      <w:keepLines/>
      <w:tabs>
        <w:tab w:val="left" w:pos="893"/>
      </w:tabs>
      <w:spacing w:line="260" w:lineRule="atLeast"/>
      <w:jc w:val="right"/>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headerpartodd">
    <w:name w:val="header.part.odd"/>
    <w:basedOn w:val="headerpart"/>
    <w:pPr>
      <w:ind w:left="5387" w:hanging="1134"/>
    </w:pPr>
  </w:style>
  <w:style w:type="paragraph" w:customStyle="1" w:styleId="headerpart">
    <w:name w:val="header.part"/>
    <w:basedOn w:val="Normal"/>
    <w:pPr>
      <w:keepNext/>
      <w:spacing w:line="260" w:lineRule="atLeast"/>
    </w:pPr>
    <w:rPr>
      <w:rFonts w:ascii="Arial" w:hAnsi="Arial"/>
      <w:b/>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styleId="PageNumber">
    <w:name w:val="page number"/>
    <w:basedOn w:val="DefaultParagraphFont"/>
    <w:rPr>
      <w:sz w:val="20"/>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HeaderActNameRight">
    <w:name w:val="Header.ActName.Right"/>
    <w:pPr>
      <w:jc w:val="right"/>
    </w:pPr>
    <w:rPr>
      <w:rFonts w:ascii="Arial" w:hAnsi="Arial"/>
      <w:b/>
      <w:i/>
    </w:rPr>
  </w:style>
  <w:style w:type="paragraph" w:customStyle="1" w:styleId="HeaderActNameLeft">
    <w:name w:val="Header.ActName.Left"/>
    <w:rPr>
      <w:rFonts w:ascii="Arial" w:hAnsi="Arial"/>
      <w:b/>
      <w:i/>
    </w:rPr>
  </w:style>
  <w:style w:type="paragraph" w:customStyle="1" w:styleId="HeaderNumberRight">
    <w:name w:val="Header.Number.Right"/>
    <w:pPr>
      <w:spacing w:before="40"/>
      <w:jc w:val="right"/>
    </w:pPr>
    <w:rPr>
      <w:rFonts w:ascii="Arial" w:hAnsi="Arial"/>
      <w:b/>
    </w:rPr>
  </w:style>
  <w:style w:type="paragraph" w:customStyle="1" w:styleId="HeaderNumberLeft">
    <w:name w:val="Header.Number.Left"/>
    <w:pPr>
      <w:spacing w:before="40"/>
    </w:pPr>
    <w:rPr>
      <w:rFonts w:ascii="Arial" w:hAnsi="Arial"/>
      <w:b/>
    </w:rPr>
  </w:style>
  <w:style w:type="paragraph" w:customStyle="1" w:styleId="HeaderTextRight">
    <w:name w:val="Header.Text.Right"/>
    <w:pPr>
      <w:spacing w:before="40"/>
      <w:jc w:val="right"/>
    </w:pPr>
    <w:rPr>
      <w:rFonts w:ascii="Arial" w:hAnsi="Arial"/>
    </w:rPr>
  </w:style>
  <w:style w:type="paragraph" w:customStyle="1" w:styleId="HeaderTextLeft">
    <w:name w:val="Header.Text.Left"/>
    <w:pPr>
      <w:spacing w:before="40"/>
    </w:pPr>
    <w:rPr>
      <w:rFonts w:ascii="Arial" w:hAnsi="Arial"/>
    </w:rPr>
  </w:style>
  <w:style w:type="paragraph" w:customStyle="1" w:styleId="HeaderSectionRight">
    <w:name w:val="Header.Section.Right"/>
    <w:pPr>
      <w:spacing w:before="120"/>
      <w:jc w:val="right"/>
    </w:pPr>
    <w:rPr>
      <w:rFonts w:ascii="Arial" w:hAnsi="Arial"/>
      <w:b/>
    </w:rPr>
  </w:style>
  <w:style w:type="paragraph" w:customStyle="1" w:styleId="HeaderSectionLeft">
    <w:name w:val="Header.Section.Left"/>
    <w:pPr>
      <w:spacing w:before="120"/>
    </w:pPr>
    <w:rPr>
      <w:rFonts w:ascii="Arial" w:hAnsi="Arial"/>
      <w:b/>
    </w:rPr>
  </w:style>
  <w:style w:type="character" w:customStyle="1" w:styleId="CharPageNo">
    <w:name w:val="CharPageNo"/>
    <w:rPr>
      <w:noProof w:val="0"/>
      <w:sz w:val="20"/>
    </w:rPr>
  </w:style>
  <w:style w:type="paragraph" w:customStyle="1" w:styleId="FooterPageRight">
    <w:name w:val="Footer.Page.Right"/>
    <w:pPr>
      <w:pBdr>
        <w:top w:val="single" w:sz="4" w:space="1" w:color="auto"/>
      </w:pBdr>
      <w:jc w:val="right"/>
    </w:pPr>
    <w:rPr>
      <w:rFonts w:ascii="Arial" w:hAnsi="Arial"/>
    </w:rPr>
  </w:style>
  <w:style w:type="paragraph" w:customStyle="1" w:styleId="FooterPageLeft">
    <w:name w:val="Footer.Page.Left"/>
    <w:pPr>
      <w:pBdr>
        <w:top w:val="single" w:sz="4" w:space="1" w:color="auto"/>
      </w:pBdr>
    </w:pPr>
    <w:rPr>
      <w:rFonts w:ascii="Arial" w:hAnsi="Arial"/>
    </w:rPr>
  </w:style>
  <w:style w:type="paragraph" w:customStyle="1" w:styleId="FooterDisclaimer">
    <w:name w:val="Footer.Disclaimer"/>
    <w:pPr>
      <w:jc w:val="center"/>
    </w:pPr>
    <w:rPr>
      <w:rFonts w:ascii="Arial" w:hAnsi="Arial"/>
      <w:i/>
      <w:sz w:val="16"/>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Table">
    <w:name w:val="nzTable"/>
    <w:basedOn w:val="Normal"/>
    <w:rPr>
      <w:sz w:val="20"/>
    </w:rPr>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ShortT">
    <w:name w:val="ShortT"/>
    <w:basedOn w:val="Normal"/>
    <w:next w:val="Normal"/>
    <w:pPr>
      <w:spacing w:before="800"/>
      <w:jc w:val="center"/>
    </w:pPr>
    <w:rPr>
      <w:b/>
      <w:snapToGrid w:val="0"/>
      <w:sz w:val="38"/>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styleId="FootnoteText">
    <w:name w:val="footnote text"/>
    <w:basedOn w:val="Normal"/>
    <w:semiHidden/>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character" w:customStyle="1" w:styleId="CharChapText">
    <w:name w:val="CharChapText"/>
    <w:rPr>
      <w:noProof w:val="0"/>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0">
    <w:name w:val="yIndent(A)"/>
    <w:basedOn w:val="IndentA0"/>
    <w:pPr>
      <w:spacing w:line="240" w:lineRule="auto"/>
    </w:pPr>
    <w:rPr>
      <w:sz w:val="22"/>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Ednotesection">
    <w:name w:val="yEdnote(section)"/>
    <w:basedOn w:val="Ednotesection"/>
    <w:pPr>
      <w:spacing w:line="240" w:lineRule="auto"/>
      <w:ind w:left="890" w:hanging="89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Repealed">
    <w:name w:val="Repealed"/>
    <w:basedOn w:val="Heading5"/>
    <w:rPr>
      <w:b w:val="0"/>
      <w:i/>
    </w:rPr>
  </w:style>
  <w:style w:type="paragraph" w:customStyle="1" w:styleId="yTable">
    <w:name w:val="yTable"/>
    <w:basedOn w:val="Table"/>
    <w:pPr>
      <w:spacing w:line="240" w:lineRule="auto"/>
    </w:p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NameofActReg">
    <w:name w:val="Name of Act/Reg"/>
    <w:next w:val="Normal"/>
    <w:pPr>
      <w:spacing w:before="480" w:after="600"/>
      <w:jc w:val="center"/>
    </w:pPr>
    <w:rPr>
      <w:b/>
      <w:snapToGrid w:val="0"/>
      <w:sz w:val="34"/>
    </w:rPr>
  </w:style>
  <w:style w:type="character" w:customStyle="1" w:styleId="CharProduced">
    <w:name w:val="CharProduced"/>
    <w:rPr>
      <w:noProof w:val="0"/>
      <w:spacing w:val="-3"/>
    </w:rPr>
  </w:style>
  <w:style w:type="paragraph" w:customStyle="1" w:styleId="Arrangement">
    <w:name w:val="Arrangement"/>
    <w:pPr>
      <w:spacing w:after="480"/>
      <w:ind w:left="2304" w:right="2304"/>
      <w:jc w:val="center"/>
    </w:pPr>
    <w:rPr>
      <w:b/>
      <w:sz w:val="28"/>
    </w:rPr>
  </w:style>
  <w:style w:type="character" w:customStyle="1" w:styleId="CharDivText">
    <w:name w:val="CharDivText"/>
    <w:rPr>
      <w:noProof w:val="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DivNo">
    <w:name w:val="CharDivNo"/>
    <w:rPr>
      <w:noProof w:val="0"/>
    </w:rPr>
  </w:style>
  <w:style w:type="character" w:customStyle="1" w:styleId="CharSchNo">
    <w:name w:val="CharSchNo"/>
    <w:rPr>
      <w:noProof w:val="0"/>
    </w:rPr>
  </w:style>
  <w:style w:type="paragraph" w:styleId="NoteHeading">
    <w:name w:val="Note Heading"/>
    <w:basedOn w:val="Normal"/>
    <w:next w:val="Normal"/>
  </w:style>
  <w:style w:type="paragraph" w:customStyle="1" w:styleId="LongTitle">
    <w:name w:val="Long Title"/>
    <w:rPr>
      <w:b/>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character" w:customStyle="1" w:styleId="CharSectno">
    <w:name w:val="CharSectno"/>
    <w:rPr>
      <w:noProof w:val="0"/>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MiscellaneousHeading">
    <w:name w:val="Miscellaneous Heading"/>
    <w:pPr>
      <w:keepNext/>
      <w:spacing w:before="160" w:line="260" w:lineRule="atLeast"/>
      <w:jc w:val="center"/>
    </w:pPr>
    <w:rPr>
      <w:sz w:val="24"/>
    </w:rPr>
  </w:style>
  <w:style w:type="paragraph" w:customStyle="1" w:styleId="yIndenta">
    <w:name w:val="yIndent(a)"/>
    <w:basedOn w:val="Indenta"/>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Table">
    <w:name w:val="Table"/>
    <w:aliases w:val="t"/>
    <w:basedOn w:val="Normal"/>
    <w:pPr>
      <w:spacing w:before="60" w:line="240" w:lineRule="atLeast"/>
    </w:pPr>
    <w:rPr>
      <w:sz w:val="22"/>
    </w:rPr>
  </w:style>
  <w:style w:type="paragraph" w:customStyle="1" w:styleId="MiscOpen">
    <w:name w:val="MiscOpen"/>
    <w:pPr>
      <w:keepNext/>
      <w:keepLines/>
      <w:tabs>
        <w:tab w:val="left" w:pos="893"/>
      </w:tabs>
      <w:spacing w:before="120" w:line="260" w:lineRule="atLeast"/>
    </w:pPr>
    <w:rPr>
      <w:sz w:val="24"/>
    </w:rPr>
  </w:style>
  <w:style w:type="paragraph" w:customStyle="1" w:styleId="nzSubsection">
    <w:name w:val="nzSubsection"/>
    <w:basedOn w:val="zSubsection"/>
    <w:pPr>
      <w:spacing w:before="8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Indenta">
    <w:name w:val="nzIndent(a)"/>
    <w:basedOn w:val="zIndenta"/>
    <w:pPr>
      <w:spacing w:before="4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MiscClose">
    <w:name w:val="MiscClose"/>
    <w:basedOn w:val="Normal"/>
    <w:pPr>
      <w:keepLines/>
      <w:tabs>
        <w:tab w:val="left" w:pos="893"/>
      </w:tabs>
      <w:spacing w:line="260" w:lineRule="atLeast"/>
      <w:jc w:val="right"/>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headerpartodd">
    <w:name w:val="header.part.odd"/>
    <w:basedOn w:val="headerpart"/>
    <w:pPr>
      <w:ind w:left="5387" w:hanging="1134"/>
    </w:pPr>
  </w:style>
  <w:style w:type="paragraph" w:customStyle="1" w:styleId="headerpart">
    <w:name w:val="header.part"/>
    <w:basedOn w:val="Normal"/>
    <w:pPr>
      <w:keepNext/>
      <w:spacing w:line="260" w:lineRule="atLeast"/>
    </w:pPr>
    <w:rPr>
      <w:rFonts w:ascii="Arial" w:hAnsi="Arial"/>
      <w:b/>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styleId="PageNumber">
    <w:name w:val="page number"/>
    <w:basedOn w:val="DefaultParagraphFont"/>
    <w:rPr>
      <w:sz w:val="20"/>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HeaderActNameRight">
    <w:name w:val="Header.ActName.Right"/>
    <w:pPr>
      <w:jc w:val="right"/>
    </w:pPr>
    <w:rPr>
      <w:rFonts w:ascii="Arial" w:hAnsi="Arial"/>
      <w:b/>
      <w:i/>
    </w:rPr>
  </w:style>
  <w:style w:type="paragraph" w:customStyle="1" w:styleId="HeaderActNameLeft">
    <w:name w:val="Header.ActName.Left"/>
    <w:rPr>
      <w:rFonts w:ascii="Arial" w:hAnsi="Arial"/>
      <w:b/>
      <w:i/>
    </w:rPr>
  </w:style>
  <w:style w:type="paragraph" w:customStyle="1" w:styleId="HeaderNumberRight">
    <w:name w:val="Header.Number.Right"/>
    <w:pPr>
      <w:spacing w:before="40"/>
      <w:jc w:val="right"/>
    </w:pPr>
    <w:rPr>
      <w:rFonts w:ascii="Arial" w:hAnsi="Arial"/>
      <w:b/>
    </w:rPr>
  </w:style>
  <w:style w:type="paragraph" w:customStyle="1" w:styleId="HeaderNumberLeft">
    <w:name w:val="Header.Number.Left"/>
    <w:pPr>
      <w:spacing w:before="40"/>
    </w:pPr>
    <w:rPr>
      <w:rFonts w:ascii="Arial" w:hAnsi="Arial"/>
      <w:b/>
    </w:rPr>
  </w:style>
  <w:style w:type="paragraph" w:customStyle="1" w:styleId="HeaderTextRight">
    <w:name w:val="Header.Text.Right"/>
    <w:pPr>
      <w:spacing w:before="40"/>
      <w:jc w:val="right"/>
    </w:pPr>
    <w:rPr>
      <w:rFonts w:ascii="Arial" w:hAnsi="Arial"/>
    </w:rPr>
  </w:style>
  <w:style w:type="paragraph" w:customStyle="1" w:styleId="HeaderTextLeft">
    <w:name w:val="Header.Text.Left"/>
    <w:pPr>
      <w:spacing w:before="40"/>
    </w:pPr>
    <w:rPr>
      <w:rFonts w:ascii="Arial" w:hAnsi="Arial"/>
    </w:rPr>
  </w:style>
  <w:style w:type="paragraph" w:customStyle="1" w:styleId="HeaderSectionRight">
    <w:name w:val="Header.Section.Right"/>
    <w:pPr>
      <w:spacing w:before="120"/>
      <w:jc w:val="right"/>
    </w:pPr>
    <w:rPr>
      <w:rFonts w:ascii="Arial" w:hAnsi="Arial"/>
      <w:b/>
    </w:rPr>
  </w:style>
  <w:style w:type="paragraph" w:customStyle="1" w:styleId="HeaderSectionLeft">
    <w:name w:val="Header.Section.Left"/>
    <w:pPr>
      <w:spacing w:before="120"/>
    </w:pPr>
    <w:rPr>
      <w:rFonts w:ascii="Arial" w:hAnsi="Arial"/>
      <w:b/>
    </w:rPr>
  </w:style>
  <w:style w:type="character" w:customStyle="1" w:styleId="CharPageNo">
    <w:name w:val="CharPageNo"/>
    <w:rPr>
      <w:noProof w:val="0"/>
      <w:sz w:val="20"/>
    </w:rPr>
  </w:style>
  <w:style w:type="paragraph" w:customStyle="1" w:styleId="FooterPageRight">
    <w:name w:val="Footer.Page.Right"/>
    <w:pPr>
      <w:pBdr>
        <w:top w:val="single" w:sz="4" w:space="1" w:color="auto"/>
      </w:pBdr>
      <w:jc w:val="right"/>
    </w:pPr>
    <w:rPr>
      <w:rFonts w:ascii="Arial" w:hAnsi="Arial"/>
    </w:rPr>
  </w:style>
  <w:style w:type="paragraph" w:customStyle="1" w:styleId="FooterPageLeft">
    <w:name w:val="Footer.Page.Left"/>
    <w:pPr>
      <w:pBdr>
        <w:top w:val="single" w:sz="4" w:space="1" w:color="auto"/>
      </w:pBdr>
    </w:pPr>
    <w:rPr>
      <w:rFonts w:ascii="Arial" w:hAnsi="Arial"/>
    </w:rPr>
  </w:style>
  <w:style w:type="paragraph" w:customStyle="1" w:styleId="FooterDisclaimer">
    <w:name w:val="Footer.Disclaimer"/>
    <w:pPr>
      <w:jc w:val="center"/>
    </w:pPr>
    <w:rPr>
      <w:rFonts w:ascii="Arial" w:hAnsi="Arial"/>
      <w:i/>
      <w:sz w:val="16"/>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Table">
    <w:name w:val="nzTable"/>
    <w:basedOn w:val="Normal"/>
    <w:rPr>
      <w:sz w:val="20"/>
    </w:rPr>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ShortT">
    <w:name w:val="ShortT"/>
    <w:basedOn w:val="Normal"/>
    <w:next w:val="Normal"/>
    <w:pPr>
      <w:spacing w:before="800"/>
      <w:jc w:val="center"/>
    </w:pPr>
    <w:rPr>
      <w:b/>
      <w:snapToGrid w:val="0"/>
      <w:sz w:val="38"/>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styleId="FootnoteText">
    <w:name w:val="footnote text"/>
    <w:basedOn w:val="Normal"/>
    <w:semiHidden/>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character" w:customStyle="1" w:styleId="CharChapText">
    <w:name w:val="CharChapText"/>
    <w:rPr>
      <w:noProof w:val="0"/>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0">
    <w:name w:val="yIndent(A)"/>
    <w:basedOn w:val="IndentA0"/>
    <w:pPr>
      <w:spacing w:line="240" w:lineRule="auto"/>
    </w:pPr>
    <w:rPr>
      <w:sz w:val="22"/>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Ednotesection">
    <w:name w:val="yEdnote(section)"/>
    <w:basedOn w:val="Ednotesection"/>
    <w:pPr>
      <w:spacing w:line="240" w:lineRule="auto"/>
      <w:ind w:left="890" w:hanging="89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Repealed">
    <w:name w:val="Repealed"/>
    <w:basedOn w:val="Heading5"/>
    <w:rPr>
      <w:b w:val="0"/>
      <w:i/>
    </w:rPr>
  </w:style>
  <w:style w:type="paragraph" w:customStyle="1" w:styleId="yTable">
    <w:name w:val="yTable"/>
    <w:basedOn w:val="Table"/>
    <w:pPr>
      <w:spacing w:line="240" w:lineRule="auto"/>
    </w:p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header" Target="header13.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oleObject" Target="embeddings/oleObject4.bin"/><Relationship Id="rId42" Type="http://schemas.openxmlformats.org/officeDocument/2006/relationships/header" Target="header16.xml"/><Relationship Id="rId47" Type="http://schemas.openxmlformats.org/officeDocument/2006/relationships/header" Target="header2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image" Target="media/image5.wmf"/><Relationship Id="rId38" Type="http://schemas.openxmlformats.org/officeDocument/2006/relationships/header" Target="header12.xml"/><Relationship Id="rId46"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3.wmf"/><Relationship Id="rId41"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oleObject" Target="embeddings/oleObject3.bin"/><Relationship Id="rId37" Type="http://schemas.openxmlformats.org/officeDocument/2006/relationships/header" Target="header11.xml"/><Relationship Id="rId40" Type="http://schemas.openxmlformats.org/officeDocument/2006/relationships/header" Target="header14.xml"/><Relationship Id="rId45"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0.xm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4.wmf"/><Relationship Id="rId44"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9.xml"/><Relationship Id="rId30" Type="http://schemas.openxmlformats.org/officeDocument/2006/relationships/oleObject" Target="embeddings/oleObject2.bin"/><Relationship Id="rId35" Type="http://schemas.openxmlformats.org/officeDocument/2006/relationships/image" Target="media/image6.png"/><Relationship Id="rId43" Type="http://schemas.openxmlformats.org/officeDocument/2006/relationships/header" Target="header17.xm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212</Pages>
  <Words>57018</Words>
  <Characters>266845</Characters>
  <Application>Microsoft Office Word</Application>
  <DocSecurity>0</DocSecurity>
  <Lines>6842</Lines>
  <Paragraphs>3026</Paragraphs>
  <ScaleCrop>false</ScaleCrop>
  <HeadingPairs>
    <vt:vector size="2" baseType="variant">
      <vt:variant>
        <vt:lpstr>Title</vt:lpstr>
      </vt:variant>
      <vt:variant>
        <vt:i4>1</vt:i4>
      </vt:variant>
    </vt:vector>
  </HeadingPairs>
  <TitlesOfParts>
    <vt:vector size="1" baseType="lpstr">
      <vt:lpstr>CREDIT ACT 1984</vt:lpstr>
    </vt:vector>
  </TitlesOfParts>
  <Manager/>
  <Company/>
  <LinksUpToDate>false</LinksUpToDate>
  <CharactersWithSpaces>320837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Act 1984 - 03-c0-00</dc:title>
  <dc:subject/>
  <dc:creator/>
  <cp:keywords/>
  <dc:description/>
  <cp:lastModifiedBy>svcMRProcess</cp:lastModifiedBy>
  <cp:revision>4</cp:revision>
  <cp:lastPrinted>2011-03-28T04:57:00Z</cp:lastPrinted>
  <dcterms:created xsi:type="dcterms:W3CDTF">2020-02-14T05:35:00Z</dcterms:created>
  <dcterms:modified xsi:type="dcterms:W3CDTF">2020-02-14T05:35:00Z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99 of 1984</vt:lpwstr>
  </property>
  <property fmtid="{D5CDD505-2E9C-101B-9397-08002B2CF9AE}" pid="3" name="CommencementDate">
    <vt:lpwstr>20140702</vt:lpwstr>
  </property>
  <property fmtid="{D5CDD505-2E9C-101B-9397-08002B2CF9AE}" pid="4" name="DocumentType">
    <vt:lpwstr>Act</vt:lpwstr>
  </property>
  <property fmtid="{D5CDD505-2E9C-101B-9397-08002B2CF9AE}" pid="5" name="OwlsUID">
    <vt:i4>191</vt:i4>
  </property>
  <property fmtid="{D5CDD505-2E9C-101B-9397-08002B2CF9AE}" pid="6" name="AsAtDate">
    <vt:lpwstr>02 Jul 2014</vt:lpwstr>
  </property>
  <property fmtid="{D5CDD505-2E9C-101B-9397-08002B2CF9AE}" pid="7" name="Suffix">
    <vt:lpwstr>03-c0-00</vt:lpwstr>
  </property>
  <property fmtid="{D5CDD505-2E9C-101B-9397-08002B2CF9AE}" pid="8" name="ReprintNo">
    <vt:lpwstr>3</vt:lpwstr>
  </property>
  <property fmtid="{D5CDD505-2E9C-101B-9397-08002B2CF9AE}" pid="9" name="ReprintedAsAt">
    <vt:filetime>2011-03-10T16:00:00Z</vt:filetime>
  </property>
</Properties>
</file>