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Motor Vehicle Repairers Act 2003</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Repairers Regulations 2007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_Toc393111192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_Toc393111193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_Toc393111194 \h </w:instrText>
      </w:r>
      <w:r>
        <w:fldChar w:fldCharType="separate"/>
      </w:r>
      <w:r>
        <w:t>1</w:t>
      </w:r>
      <w:r>
        <w:fldChar w:fldCharType="end"/>
      </w:r>
    </w:p>
    <w:p>
      <w:pPr>
        <w:pStyle w:val="TOC8"/>
        <w:rPr>
          <w:rFonts w:asciiTheme="minorHAnsi" w:eastAsiaTheme="minorEastAsia" w:hAnsiTheme="minorHAnsi" w:cstheme="minorBidi"/>
          <w:szCs w:val="22"/>
        </w:rPr>
      </w:pPr>
      <w:r>
        <w:t>4.</w:t>
      </w:r>
      <w:r>
        <w:tab/>
        <w:t>Exclusions from definition of motor vehicle</w:t>
      </w:r>
      <w:r>
        <w:tab/>
      </w:r>
      <w:r>
        <w:fldChar w:fldCharType="begin"/>
      </w:r>
      <w:r>
        <w:instrText xml:space="preserve"> PAGEREF _Toc393111195 \h </w:instrText>
      </w:r>
      <w:r>
        <w:fldChar w:fldCharType="separate"/>
      </w:r>
      <w:r>
        <w:t>22</w:t>
      </w:r>
      <w:r>
        <w:fldChar w:fldCharType="end"/>
      </w:r>
    </w:p>
    <w:p>
      <w:pPr>
        <w:pStyle w:val="TOC8"/>
        <w:rPr>
          <w:rFonts w:asciiTheme="minorHAnsi" w:eastAsiaTheme="minorEastAsia" w:hAnsiTheme="minorHAnsi" w:cstheme="minorBidi"/>
          <w:szCs w:val="22"/>
        </w:rPr>
      </w:pPr>
      <w:r>
        <w:t>5.</w:t>
      </w:r>
      <w:r>
        <w:tab/>
        <w:t>Classes of repair work prescribed (Act s. 5)</w:t>
      </w:r>
      <w:r>
        <w:tab/>
      </w:r>
      <w:r>
        <w:fldChar w:fldCharType="begin"/>
      </w:r>
      <w:r>
        <w:instrText xml:space="preserve"> PAGEREF _Toc393111196 \h </w:instrText>
      </w:r>
      <w:r>
        <w:fldChar w:fldCharType="separate"/>
      </w:r>
      <w:r>
        <w:t>22</w:t>
      </w:r>
      <w:r>
        <w:fldChar w:fldCharType="end"/>
      </w:r>
    </w:p>
    <w:p>
      <w:pPr>
        <w:pStyle w:val="TOC8"/>
        <w:rPr>
          <w:rFonts w:asciiTheme="minorHAnsi" w:eastAsiaTheme="minorEastAsia" w:hAnsiTheme="minorHAnsi" w:cstheme="minorBidi"/>
          <w:szCs w:val="22"/>
        </w:rPr>
      </w:pPr>
      <w:r>
        <w:t>6.</w:t>
      </w:r>
      <w:r>
        <w:tab/>
        <w:t>Work that is not repair work prescribed (Act s. 5)</w:t>
      </w:r>
      <w:r>
        <w:tab/>
      </w:r>
      <w:r>
        <w:fldChar w:fldCharType="begin"/>
      </w:r>
      <w:r>
        <w:instrText xml:space="preserve"> PAGEREF _Toc393111197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2A</w:t>
      </w:r>
      <w:r>
        <w:rPr>
          <w:b w:val="0"/>
        </w:rPr>
        <w:t> </w:t>
      </w:r>
      <w:r>
        <w:t>—</w:t>
      </w:r>
      <w:r>
        <w:rPr>
          <w:b w:val="0"/>
        </w:rPr>
        <w:t> </w:t>
      </w:r>
      <w:r>
        <w:t>Licensing of motor vehicle repair businesses</w:t>
      </w:r>
    </w:p>
    <w:p>
      <w:pPr>
        <w:pStyle w:val="TOC8"/>
        <w:rPr>
          <w:rFonts w:asciiTheme="minorHAnsi" w:eastAsiaTheme="minorEastAsia" w:hAnsiTheme="minorHAnsi" w:cstheme="minorBidi"/>
          <w:szCs w:val="22"/>
        </w:rPr>
      </w:pPr>
      <w:r>
        <w:t>7A.</w:t>
      </w:r>
      <w:r>
        <w:tab/>
        <w:t>Fees prescribed (Act s. 13)</w:t>
      </w:r>
      <w:r>
        <w:tab/>
      </w:r>
      <w:r>
        <w:fldChar w:fldCharType="begin"/>
      </w:r>
      <w:r>
        <w:instrText xml:space="preserve"> PAGEREF _Toc393111199 \h </w:instrText>
      </w:r>
      <w:r>
        <w:fldChar w:fldCharType="separate"/>
      </w:r>
      <w:r>
        <w:t>25</w:t>
      </w:r>
      <w:r>
        <w:fldChar w:fldCharType="end"/>
      </w:r>
    </w:p>
    <w:p>
      <w:pPr>
        <w:pStyle w:val="TOC8"/>
        <w:rPr>
          <w:rFonts w:asciiTheme="minorHAnsi" w:eastAsiaTheme="minorEastAsia" w:hAnsiTheme="minorHAnsi" w:cstheme="minorBidi"/>
          <w:szCs w:val="22"/>
        </w:rPr>
      </w:pPr>
      <w:r>
        <w:t>7B.</w:t>
      </w:r>
      <w:r>
        <w:tab/>
        <w:t>Replacement licences, issue of</w:t>
      </w:r>
      <w:r>
        <w:tab/>
      </w:r>
      <w:r>
        <w:fldChar w:fldCharType="begin"/>
      </w:r>
      <w:r>
        <w:instrText xml:space="preserve"> PAGEREF _Toc393111200 \h </w:instrText>
      </w:r>
      <w:r>
        <w:fldChar w:fldCharType="separate"/>
      </w:r>
      <w:r>
        <w:t>28</w:t>
      </w:r>
      <w:r>
        <w:fldChar w:fldCharType="end"/>
      </w:r>
    </w:p>
    <w:p>
      <w:pPr>
        <w:pStyle w:val="TOC8"/>
        <w:rPr>
          <w:rFonts w:asciiTheme="minorHAnsi" w:eastAsiaTheme="minorEastAsia" w:hAnsiTheme="minorHAnsi" w:cstheme="minorBidi"/>
          <w:szCs w:val="22"/>
        </w:rPr>
      </w:pPr>
      <w:r>
        <w:t>7C.</w:t>
      </w:r>
      <w:r>
        <w:tab/>
        <w:t>Duplicate business licence, fee for (Act s. 25)</w:t>
      </w:r>
      <w:r>
        <w:tab/>
      </w:r>
      <w:r>
        <w:fldChar w:fldCharType="begin"/>
      </w:r>
      <w:r>
        <w:instrText xml:space="preserve"> PAGEREF _Toc393111201 \h </w:instrText>
      </w:r>
      <w:r>
        <w:fldChar w:fldCharType="separate"/>
      </w:r>
      <w:r>
        <w:t>30</w:t>
      </w:r>
      <w:r>
        <w:fldChar w:fldCharType="end"/>
      </w:r>
    </w:p>
    <w:p>
      <w:pPr>
        <w:pStyle w:val="TOC8"/>
        <w:rPr>
          <w:rFonts w:asciiTheme="minorHAnsi" w:eastAsiaTheme="minorEastAsia" w:hAnsiTheme="minorHAnsi" w:cstheme="minorBidi"/>
          <w:szCs w:val="22"/>
        </w:rPr>
      </w:pPr>
      <w:r>
        <w:t>7D.</w:t>
      </w:r>
      <w:r>
        <w:tab/>
        <w:t>Business licences for autogas work, conditions etc. prescribed for (Act s. 28)</w:t>
      </w:r>
      <w:r>
        <w:tab/>
      </w:r>
      <w:r>
        <w:fldChar w:fldCharType="begin"/>
      </w:r>
      <w:r>
        <w:instrText xml:space="preserve"> PAGEREF _Toc393111202 \h </w:instrText>
      </w:r>
      <w:r>
        <w:fldChar w:fldCharType="separate"/>
      </w:r>
      <w:r>
        <w:t>30</w:t>
      </w:r>
      <w:r>
        <w:fldChar w:fldCharType="end"/>
      </w:r>
    </w:p>
    <w:p>
      <w:pPr>
        <w:pStyle w:val="TOC8"/>
        <w:rPr>
          <w:rFonts w:asciiTheme="minorHAnsi" w:eastAsiaTheme="minorEastAsia" w:hAnsiTheme="minorHAnsi" w:cstheme="minorBidi"/>
          <w:szCs w:val="22"/>
        </w:rPr>
      </w:pPr>
      <w:r>
        <w:t>7E.</w:t>
      </w:r>
      <w:r>
        <w:tab/>
        <w:t>Business licences, duration of (Act s. 30)</w:t>
      </w:r>
      <w:r>
        <w:tab/>
      </w:r>
      <w:r>
        <w:fldChar w:fldCharType="begin"/>
      </w:r>
      <w:r>
        <w:instrText xml:space="preserve"> PAGEREF _Toc393111203 \h </w:instrText>
      </w:r>
      <w:r>
        <w:fldChar w:fldCharType="separate"/>
      </w:r>
      <w:r>
        <w:t>31</w:t>
      </w:r>
      <w:r>
        <w:fldChar w:fldCharType="end"/>
      </w:r>
    </w:p>
    <w:p>
      <w:pPr>
        <w:pStyle w:val="TOC8"/>
        <w:rPr>
          <w:rFonts w:asciiTheme="minorHAnsi" w:eastAsiaTheme="minorEastAsia" w:hAnsiTheme="minorHAnsi" w:cstheme="minorBidi"/>
          <w:szCs w:val="22"/>
        </w:rPr>
      </w:pPr>
      <w:r>
        <w:t>7F.</w:t>
      </w:r>
      <w:r>
        <w:tab/>
        <w:t>Renewal of licence, fees for (Act s. 31(3)(b))</w:t>
      </w:r>
      <w:r>
        <w:tab/>
      </w:r>
      <w:r>
        <w:fldChar w:fldCharType="begin"/>
      </w:r>
      <w:r>
        <w:instrText xml:space="preserve"> PAGEREF _Toc393111204 \h </w:instrText>
      </w:r>
      <w:r>
        <w:fldChar w:fldCharType="separate"/>
      </w:r>
      <w:r>
        <w:t>31</w:t>
      </w:r>
      <w:r>
        <w:fldChar w:fldCharType="end"/>
      </w:r>
    </w:p>
    <w:p>
      <w:pPr>
        <w:pStyle w:val="TOC8"/>
        <w:rPr>
          <w:rFonts w:asciiTheme="minorHAnsi" w:eastAsiaTheme="minorEastAsia" w:hAnsiTheme="minorHAnsi" w:cstheme="minorBidi"/>
          <w:szCs w:val="22"/>
        </w:rPr>
      </w:pPr>
      <w:r>
        <w:t>7G.</w:t>
      </w:r>
      <w:r>
        <w:tab/>
        <w:t>Change of certain information, licensee to notify Commissioner of</w:t>
      </w:r>
      <w:r>
        <w:tab/>
      </w:r>
      <w:r>
        <w:fldChar w:fldCharType="begin"/>
      </w:r>
      <w:r>
        <w:instrText xml:space="preserve"> PAGEREF _Toc393111205 \h </w:instrText>
      </w:r>
      <w:r>
        <w:fldChar w:fldCharType="separate"/>
      </w:r>
      <w:r>
        <w:t>32</w:t>
      </w:r>
      <w:r>
        <w:fldChar w:fldCharType="end"/>
      </w:r>
    </w:p>
    <w:p>
      <w:pPr>
        <w:pStyle w:val="TOC8"/>
        <w:rPr>
          <w:rFonts w:asciiTheme="minorHAnsi" w:eastAsiaTheme="minorEastAsia" w:hAnsiTheme="minorHAnsi" w:cstheme="minorBidi"/>
          <w:szCs w:val="22"/>
        </w:rPr>
      </w:pPr>
      <w:r>
        <w:t>7H.</w:t>
      </w:r>
      <w:r>
        <w:tab/>
        <w:t>Exemption from requirement for planning certificate in Act s. 13, 58 and 60</w:t>
      </w:r>
      <w:r>
        <w:tab/>
      </w:r>
      <w:r>
        <w:fldChar w:fldCharType="begin"/>
      </w:r>
      <w:r>
        <w:instrText xml:space="preserve"> PAGEREF _Toc393111206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2 — Certification of individuals performing repair work</w:t>
      </w:r>
    </w:p>
    <w:p>
      <w:pPr>
        <w:pStyle w:val="TOC8"/>
        <w:rPr>
          <w:rFonts w:asciiTheme="minorHAnsi" w:eastAsiaTheme="minorEastAsia" w:hAnsiTheme="minorHAnsi" w:cstheme="minorBidi"/>
          <w:szCs w:val="22"/>
        </w:rPr>
      </w:pPr>
      <w:r>
        <w:t>7.</w:t>
      </w:r>
      <w:r>
        <w:tab/>
        <w:t>Repairer’s certificate, fee for (Act s. 41(2)(b))</w:t>
      </w:r>
      <w:r>
        <w:tab/>
      </w:r>
      <w:r>
        <w:fldChar w:fldCharType="begin"/>
      </w:r>
      <w:r>
        <w:instrText xml:space="preserve"> PAGEREF _Toc393111208 \h </w:instrText>
      </w:r>
      <w:r>
        <w:fldChar w:fldCharType="separate"/>
      </w:r>
      <w:r>
        <w:t>34</w:t>
      </w:r>
      <w:r>
        <w:fldChar w:fldCharType="end"/>
      </w:r>
    </w:p>
    <w:p>
      <w:pPr>
        <w:pStyle w:val="TOC8"/>
        <w:rPr>
          <w:rFonts w:asciiTheme="minorHAnsi" w:eastAsiaTheme="minorEastAsia" w:hAnsiTheme="minorHAnsi" w:cstheme="minorBidi"/>
          <w:szCs w:val="22"/>
        </w:rPr>
      </w:pPr>
      <w:r>
        <w:t>8.</w:t>
      </w:r>
      <w:r>
        <w:tab/>
        <w:t>Qualifications prescribed (Act s. 42(2)(a)(i))</w:t>
      </w:r>
      <w:r>
        <w:tab/>
      </w:r>
      <w:r>
        <w:fldChar w:fldCharType="begin"/>
      </w:r>
      <w:r>
        <w:instrText xml:space="preserve"> PAGEREF _Toc393111209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3</w:t>
      </w:r>
      <w:r>
        <w:rPr>
          <w:b w:val="0"/>
        </w:rPr>
        <w:t> </w:t>
      </w:r>
      <w:r>
        <w:t>—</w:t>
      </w:r>
      <w:r>
        <w:rPr>
          <w:b w:val="0"/>
        </w:rPr>
        <w:t> </w:t>
      </w:r>
      <w:r>
        <w:t>Provisions applicable to business licences and to certificates</w:t>
      </w:r>
    </w:p>
    <w:p>
      <w:pPr>
        <w:pStyle w:val="TOC8"/>
        <w:rPr>
          <w:rFonts w:asciiTheme="minorHAnsi" w:eastAsiaTheme="minorEastAsia" w:hAnsiTheme="minorHAnsi" w:cstheme="minorBidi"/>
          <w:szCs w:val="22"/>
        </w:rPr>
      </w:pPr>
      <w:r>
        <w:t>9.</w:t>
      </w:r>
      <w:r>
        <w:tab/>
        <w:t>Particulars etc. to be recorded in register (Act s. 50(1)(a))</w:t>
      </w:r>
      <w:r>
        <w:tab/>
      </w:r>
      <w:r>
        <w:fldChar w:fldCharType="begin"/>
      </w:r>
      <w:r>
        <w:instrText xml:space="preserve"> PAGEREF _Toc393111211 \h </w:instrText>
      </w:r>
      <w:r>
        <w:fldChar w:fldCharType="separate"/>
      </w:r>
      <w:r>
        <w:t>43</w:t>
      </w:r>
      <w:r>
        <w:fldChar w:fldCharType="end"/>
      </w:r>
    </w:p>
    <w:p>
      <w:pPr>
        <w:pStyle w:val="TOC8"/>
        <w:rPr>
          <w:rFonts w:asciiTheme="minorHAnsi" w:eastAsiaTheme="minorEastAsia" w:hAnsiTheme="minorHAnsi" w:cstheme="minorBidi"/>
          <w:szCs w:val="22"/>
        </w:rPr>
      </w:pPr>
      <w:r>
        <w:t>10.</w:t>
      </w:r>
      <w:r>
        <w:tab/>
        <w:t>Fees for inspecting, and obtaining copies of, register (Act s. 51)</w:t>
      </w:r>
      <w:r>
        <w:tab/>
      </w:r>
      <w:r>
        <w:fldChar w:fldCharType="begin"/>
      </w:r>
      <w:r>
        <w:instrText xml:space="preserve"> PAGEREF _Toc393111212 \h </w:instrText>
      </w:r>
      <w:r>
        <w:fldChar w:fldCharType="separate"/>
      </w:r>
      <w:r>
        <w:t>45</w:t>
      </w:r>
      <w:r>
        <w:fldChar w:fldCharType="end"/>
      </w:r>
    </w:p>
    <w:p>
      <w:pPr>
        <w:pStyle w:val="TOC8"/>
        <w:rPr>
          <w:rFonts w:asciiTheme="minorHAnsi" w:eastAsiaTheme="minorEastAsia" w:hAnsiTheme="minorHAnsi" w:cstheme="minorBidi"/>
          <w:szCs w:val="22"/>
        </w:rPr>
      </w:pPr>
      <w:r>
        <w:t>11.</w:t>
      </w:r>
      <w:r>
        <w:tab/>
        <w:t>Certified copy of certificate, fee for (Act s. 54(1))</w:t>
      </w:r>
      <w:r>
        <w:tab/>
      </w:r>
      <w:r>
        <w:fldChar w:fldCharType="begin"/>
      </w:r>
      <w:r>
        <w:instrText xml:space="preserve"> PAGEREF _Toc393111213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Part 4</w:t>
      </w:r>
      <w:r>
        <w:rPr>
          <w:b w:val="0"/>
        </w:rPr>
        <w:t> </w:t>
      </w:r>
      <w:r>
        <w:t>—</w:t>
      </w:r>
      <w:r>
        <w:rPr>
          <w:b w:val="0"/>
        </w:rPr>
        <w:t> </w:t>
      </w:r>
      <w:r>
        <w:t>Miscellaneous</w:t>
      </w:r>
    </w:p>
    <w:p>
      <w:pPr>
        <w:pStyle w:val="TOC8"/>
        <w:rPr>
          <w:rFonts w:asciiTheme="minorHAnsi" w:eastAsiaTheme="minorEastAsia" w:hAnsiTheme="minorHAnsi" w:cstheme="minorBidi"/>
          <w:szCs w:val="22"/>
        </w:rPr>
      </w:pPr>
      <w:r>
        <w:t>12</w:t>
      </w:r>
      <w:r>
        <w:rPr>
          <w:color w:val="000000"/>
        </w:rPr>
        <w:t>.</w:t>
      </w:r>
      <w:r>
        <w:rPr>
          <w:color w:val="000000"/>
        </w:rPr>
        <w:tab/>
        <w:t>Changes of authorised premises, fees for (Act s. 61(1)(c))</w:t>
      </w:r>
      <w:r>
        <w:tab/>
      </w:r>
      <w:r>
        <w:fldChar w:fldCharType="begin"/>
      </w:r>
      <w:r>
        <w:instrText xml:space="preserve"> PAGEREF _Toc393111215 \h </w:instrText>
      </w:r>
      <w:r>
        <w:fldChar w:fldCharType="separate"/>
      </w:r>
      <w:r>
        <w:t>46</w:t>
      </w:r>
      <w:r>
        <w:fldChar w:fldCharType="end"/>
      </w:r>
    </w:p>
    <w:p>
      <w:pPr>
        <w:pStyle w:val="TOC8"/>
        <w:rPr>
          <w:rFonts w:asciiTheme="minorHAnsi" w:eastAsiaTheme="minorEastAsia" w:hAnsiTheme="minorHAnsi" w:cstheme="minorBidi"/>
          <w:szCs w:val="22"/>
        </w:rPr>
      </w:pPr>
      <w:r>
        <w:t>13.</w:t>
      </w:r>
      <w:r>
        <w:tab/>
        <w:t>Infringement notice offences and modified penalties (Act s. 98 and 99(1))</w:t>
      </w:r>
      <w:r>
        <w:tab/>
      </w:r>
      <w:r>
        <w:fldChar w:fldCharType="begin"/>
      </w:r>
      <w:r>
        <w:instrText xml:space="preserve"> PAGEREF _Toc393111216 \h </w:instrText>
      </w:r>
      <w:r>
        <w:fldChar w:fldCharType="separate"/>
      </w:r>
      <w:r>
        <w:t>46</w:t>
      </w:r>
      <w:r>
        <w:fldChar w:fldCharType="end"/>
      </w:r>
    </w:p>
    <w:p>
      <w:pPr>
        <w:pStyle w:val="TOC8"/>
        <w:rPr>
          <w:rFonts w:asciiTheme="minorHAnsi" w:eastAsiaTheme="minorEastAsia" w:hAnsiTheme="minorHAnsi" w:cstheme="minorBidi"/>
          <w:szCs w:val="22"/>
        </w:rPr>
      </w:pPr>
      <w:r>
        <w:t>14.</w:t>
      </w:r>
      <w:r>
        <w:tab/>
        <w:t>Infringement notice and withdrawal notice, forms of (Act s. 101(1) and 103(1))</w:t>
      </w:r>
      <w:r>
        <w:tab/>
      </w:r>
      <w:r>
        <w:fldChar w:fldCharType="begin"/>
      </w:r>
      <w:r>
        <w:instrText xml:space="preserve"> PAGEREF _Toc393111217 \h </w:instrText>
      </w:r>
      <w:r>
        <w:fldChar w:fldCharType="separate"/>
      </w:r>
      <w:r>
        <w:t>47</w:t>
      </w:r>
      <w:r>
        <w:fldChar w:fldCharType="end"/>
      </w:r>
    </w:p>
    <w:p>
      <w:pPr>
        <w:pStyle w:val="TOC8"/>
        <w:rPr>
          <w:rFonts w:asciiTheme="minorHAnsi" w:eastAsiaTheme="minorEastAsia" w:hAnsiTheme="minorHAnsi" w:cstheme="minorBidi"/>
          <w:szCs w:val="22"/>
        </w:rPr>
      </w:pPr>
      <w:r>
        <w:t>15.</w:t>
      </w:r>
      <w:r>
        <w:tab/>
        <w:t>Refund of fee on withdrawal or refusal of certain applications</w:t>
      </w:r>
      <w:r>
        <w:tab/>
      </w:r>
      <w:r>
        <w:fldChar w:fldCharType="begin"/>
      </w:r>
      <w:r>
        <w:instrText xml:space="preserve"> PAGEREF _Toc393111218 \h </w:instrText>
      </w:r>
      <w:r>
        <w:fldChar w:fldCharType="separate"/>
      </w:r>
      <w:r>
        <w:t>48</w:t>
      </w:r>
      <w:r>
        <w:fldChar w:fldCharType="end"/>
      </w:r>
    </w:p>
    <w:p>
      <w:pPr>
        <w:pStyle w:val="TOC8"/>
        <w:rPr>
          <w:rFonts w:asciiTheme="minorHAnsi" w:eastAsiaTheme="minorEastAsia" w:hAnsiTheme="minorHAnsi" w:cstheme="minorBidi"/>
          <w:szCs w:val="22"/>
        </w:rPr>
      </w:pPr>
      <w:r>
        <w:t>16.</w:t>
      </w:r>
      <w:r>
        <w:tab/>
        <w:t>Refund or waiver of fee etc. on withdrawal or refusal of replacement applications</w:t>
      </w:r>
      <w:r>
        <w:tab/>
      </w:r>
      <w:r>
        <w:fldChar w:fldCharType="begin"/>
      </w:r>
      <w:r>
        <w:instrText xml:space="preserve"> PAGEREF _Toc393111219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Part 5</w:t>
      </w:r>
      <w:r>
        <w:rPr>
          <w:b w:val="0"/>
        </w:rPr>
        <w:t> </w:t>
      </w:r>
      <w:r>
        <w:t>—</w:t>
      </w:r>
      <w:r>
        <w:rPr>
          <w:b w:val="0"/>
        </w:rPr>
        <w:t> </w:t>
      </w:r>
      <w:r>
        <w:t>Transitional matters</w:t>
      </w:r>
    </w:p>
    <w:p>
      <w:pPr>
        <w:pStyle w:val="TOC8"/>
        <w:rPr>
          <w:rFonts w:asciiTheme="minorHAnsi" w:eastAsiaTheme="minorEastAsia" w:hAnsiTheme="minorHAnsi" w:cstheme="minorBidi"/>
          <w:szCs w:val="22"/>
        </w:rPr>
      </w:pPr>
      <w:r>
        <w:t>17.</w:t>
      </w:r>
      <w:r>
        <w:tab/>
        <w:t>Application of Part</w:t>
      </w:r>
      <w:r>
        <w:tab/>
      </w:r>
      <w:r>
        <w:fldChar w:fldCharType="begin"/>
      </w:r>
      <w:r>
        <w:instrText xml:space="preserve"> PAGEREF _Toc393111221 \h </w:instrText>
      </w:r>
      <w:r>
        <w:fldChar w:fldCharType="separate"/>
      </w:r>
      <w:r>
        <w:t>50</w:t>
      </w:r>
      <w:r>
        <w:fldChar w:fldCharType="end"/>
      </w:r>
    </w:p>
    <w:p>
      <w:pPr>
        <w:pStyle w:val="TOC8"/>
        <w:rPr>
          <w:rFonts w:asciiTheme="minorHAnsi" w:eastAsiaTheme="minorEastAsia" w:hAnsiTheme="minorHAnsi" w:cstheme="minorBidi"/>
          <w:szCs w:val="22"/>
        </w:rPr>
      </w:pPr>
      <w:r>
        <w:t>18.</w:t>
      </w:r>
      <w:r>
        <w:tab/>
        <w:t>Duration of transitional licences</w:t>
      </w:r>
      <w:r>
        <w:tab/>
      </w:r>
      <w:r>
        <w:fldChar w:fldCharType="begin"/>
      </w:r>
      <w:r>
        <w:instrText xml:space="preserve"> PAGEREF _Toc393111222 \h </w:instrText>
      </w:r>
      <w:r>
        <w:fldChar w:fldCharType="separate"/>
      </w:r>
      <w:r>
        <w:t>50</w:t>
      </w:r>
      <w:r>
        <w:fldChar w:fldCharType="end"/>
      </w:r>
    </w:p>
    <w:p>
      <w:pPr>
        <w:pStyle w:val="TOC8"/>
        <w:rPr>
          <w:rFonts w:asciiTheme="minorHAnsi" w:eastAsiaTheme="minorEastAsia" w:hAnsiTheme="minorHAnsi" w:cstheme="minorBidi"/>
          <w:szCs w:val="22"/>
        </w:rPr>
      </w:pPr>
      <w:r>
        <w:t>19.</w:t>
      </w:r>
      <w:r>
        <w:tab/>
        <w:t>Notice and waiver of fee relating to transitional applications</w:t>
      </w:r>
      <w:r>
        <w:tab/>
      </w:r>
      <w:r>
        <w:fldChar w:fldCharType="begin"/>
      </w:r>
      <w:r>
        <w:instrText xml:space="preserve"> PAGEREF _Toc393111223 \h </w:instrText>
      </w:r>
      <w:r>
        <w:fldChar w:fldCharType="separate"/>
      </w:r>
      <w:r>
        <w:t>52</w:t>
      </w:r>
      <w:r>
        <w:fldChar w:fldCharType="end"/>
      </w:r>
    </w:p>
    <w:p>
      <w:pPr>
        <w:pStyle w:val="TOC8"/>
        <w:rPr>
          <w:rFonts w:asciiTheme="minorHAnsi" w:eastAsiaTheme="minorEastAsia" w:hAnsiTheme="minorHAnsi" w:cstheme="minorBidi"/>
          <w:szCs w:val="22"/>
        </w:rPr>
      </w:pPr>
      <w:r>
        <w:t>20.</w:t>
      </w:r>
      <w:r>
        <w:tab/>
        <w:t>Refund or waiver of fee on withdrawal or refusal of transitional applications</w:t>
      </w:r>
      <w:r>
        <w:tab/>
      </w:r>
      <w:r>
        <w:fldChar w:fldCharType="begin"/>
      </w:r>
      <w:r>
        <w:instrText xml:space="preserve"> PAGEREF _Toc393111224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_Toc393111227 \h </w:instrText>
      </w:r>
      <w:r>
        <w:fldChar w:fldCharType="separate"/>
      </w:r>
      <w:r>
        <w:t>59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_Toc393111228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rPr>
          <w:sz w:val="8"/>
          <w:szCs w:val="8"/>
        </w:rPr>
      </w:pPr>
      <w:r>
        <w:fldChar w:fldCharType="end"/>
      </w:r>
    </w:p>
    <w:p>
      <w:pPr>
        <w:pStyle w:val="NoteHeading"/>
        <w:rPr>
          <w:sz w:val="8"/>
          <w:szCs w:val="8"/>
        </w:rPr>
      </w:pPr>
      <w:r>
        <w:rPr>
          <w:rStyle w:val="CharPartNo"/>
          <w:sz w:val="8"/>
          <w:szCs w:val="8"/>
        </w:rPr>
        <w:t xml:space="preserve"> </w:t>
      </w:r>
      <w:r>
        <w:rPr>
          <w:rStyle w:val="CharPartText"/>
          <w:sz w:val="8"/>
          <w:szCs w:val="8"/>
        </w:rPr>
        <w:t xml:space="preserve"> </w:t>
      </w:r>
      <w:r>
        <w:rPr>
          <w:rStyle w:val="CharDivNo"/>
          <w:sz w:val="8"/>
          <w:szCs w:val="8"/>
        </w:rPr>
        <w:t xml:space="preserve"> </w:t>
      </w:r>
      <w:r>
        <w:rPr>
          <w:rStyle w:val="CharDivText"/>
          <w:sz w:val="8"/>
          <w:szCs w:val="8"/>
        </w:rPr>
        <w:t xml:space="preserve"> </w:t>
      </w:r>
      <w:r>
        <w:rPr>
          <w:rStyle w:val="CharSchNo"/>
          <w:sz w:val="8"/>
          <w:szCs w:val="8"/>
        </w:rPr>
        <w:t xml:space="preserve"> </w:t>
      </w:r>
      <w:r>
        <w:rPr>
          <w:rStyle w:val="CharSchText"/>
          <w:sz w:val="8"/>
          <w:szCs w:val="8"/>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Motor Vehicle Repairers Act 2003</w:t>
      </w:r>
    </w:p>
    <w:p>
      <w:pPr>
        <w:pStyle w:val="NameofActReg"/>
      </w:pPr>
      <w:r>
        <w:t>Motor Vehicle Repairers Regulations 2007</w:t>
      </w:r>
    </w:p>
    <w:p>
      <w:pPr>
        <w:pStyle w:val="Heading2"/>
        <w:pageBreakBefore w:val="0"/>
        <w:spacing w:before="240"/>
      </w:pPr>
      <w:bookmarkStart w:id="1" w:name="_Toc391647169"/>
      <w:bookmarkStart w:id="2" w:name="_Toc393111191"/>
      <w:r>
        <w:rPr>
          <w:rStyle w:val="CharPartNo"/>
        </w:rPr>
        <w:t>Part 1</w:t>
      </w:r>
      <w:r>
        <w:rPr>
          <w:rStyle w:val="CharDivNo"/>
        </w:rPr>
        <w:t> </w:t>
      </w:r>
      <w:r>
        <w:t>—</w:t>
      </w:r>
      <w:r>
        <w:rPr>
          <w:rStyle w:val="CharDivText"/>
        </w:rPr>
        <w:t> </w:t>
      </w:r>
      <w:r>
        <w:rPr>
          <w:rStyle w:val="CharPartText"/>
        </w:rPr>
        <w:t>Preliminary</w:t>
      </w:r>
      <w:bookmarkEnd w:id="1"/>
      <w:bookmarkEnd w:id="2"/>
    </w:p>
    <w:p>
      <w:pPr>
        <w:pStyle w:val="Heading5"/>
      </w:pPr>
      <w:bookmarkStart w:id="3" w:name="_Toc393111192"/>
      <w:r>
        <w:rPr>
          <w:rStyle w:val="CharSectno"/>
        </w:rPr>
        <w:t>1</w:t>
      </w:r>
      <w:r>
        <w:t>.</w:t>
      </w:r>
      <w:r>
        <w:tab/>
        <w:t>Citation</w:t>
      </w:r>
      <w:bookmarkEnd w:id="3"/>
    </w:p>
    <w:p>
      <w:pPr>
        <w:pStyle w:val="Subsection"/>
        <w:spacing w:before="120"/>
        <w:rPr>
          <w:i/>
        </w:rPr>
      </w:pPr>
      <w:r>
        <w:tab/>
      </w:r>
      <w:r>
        <w:tab/>
      </w:r>
      <w:bookmarkStart w:id="4" w:name="Start_Cursor"/>
      <w:bookmarkEnd w:id="4"/>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5" w:name="_Toc393111193"/>
      <w:r>
        <w:rPr>
          <w:rStyle w:val="CharSectno"/>
        </w:rPr>
        <w:t>2</w:t>
      </w:r>
      <w:r>
        <w:rPr>
          <w:spacing w:val="-2"/>
        </w:rPr>
        <w:t>.</w:t>
      </w:r>
      <w:r>
        <w:rPr>
          <w:spacing w:val="-2"/>
        </w:rPr>
        <w:tab/>
        <w:t>Commencement</w:t>
      </w:r>
      <w:bookmarkEnd w:id="5"/>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
        </w:rPr>
        <w:t xml:space="preserve"> </w:t>
      </w:r>
      <w:r>
        <w:rPr>
          <w:iCs/>
          <w:vertAlign w:val="superscript"/>
        </w:rPr>
        <w:t>1</w:t>
      </w:r>
      <w:r>
        <w:t>.</w:t>
      </w:r>
    </w:p>
    <w:p>
      <w:pPr>
        <w:pStyle w:val="Heading5"/>
      </w:pPr>
      <w:bookmarkStart w:id="6" w:name="_Toc393111194"/>
      <w:r>
        <w:rPr>
          <w:rStyle w:val="CharSectno"/>
        </w:rPr>
        <w:t>3</w:t>
      </w:r>
      <w:r>
        <w:t>.</w:t>
      </w:r>
      <w:r>
        <w:tab/>
        <w:t>Terms used</w:t>
      </w:r>
      <w:bookmarkEnd w:id="6"/>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pPr>
      <w:r>
        <w:tab/>
        <w:t>(i)</w:t>
      </w:r>
      <w:r>
        <w:tab/>
        <w:t>to a fuel system that is not a gas fuel system; or</w:t>
      </w:r>
    </w:p>
    <w:p>
      <w:pPr>
        <w:pStyle w:val="Defsubpara"/>
      </w:pPr>
      <w:r>
        <w:tab/>
        <w:t>(ii)</w:t>
      </w:r>
      <w:r>
        <w:tab/>
        <w:t>to a gas fuel system;</w:t>
      </w:r>
    </w:p>
    <w:p>
      <w:pPr>
        <w:pStyle w:val="Defstar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for which a vehicle licence is not required under the Road Traffic Act 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pPr>
      <w:r>
        <w:tab/>
      </w:r>
      <w:r>
        <w:rPr>
          <w:rStyle w:val="CharDefText"/>
        </w:rPr>
        <w:t>licence notice</w:t>
      </w:r>
      <w:r>
        <w:t xml:space="preserve"> means a notice issued under regulation 19;</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light vehicle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keepNext/>
        <w:keepLines/>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spacing w:before="70"/>
      </w:pPr>
      <w:r>
        <w:tab/>
        <w:t>(i)</w:t>
      </w:r>
      <w:r>
        <w:tab/>
        <w:t>realigning the chassis of a motor vehicle;</w:t>
      </w:r>
    </w:p>
    <w:p>
      <w:pPr>
        <w:pStyle w:val="Defsubpara"/>
        <w:spacing w:before="70"/>
      </w:pPr>
      <w:r>
        <w:tab/>
        <w:t>(ii)</w:t>
      </w:r>
      <w:r>
        <w:tab/>
        <w:t>realigning or repairing a panel, frame or other component of the body of a motor vehicle;</w:t>
      </w:r>
    </w:p>
    <w:p>
      <w:pPr>
        <w:pStyle w:val="Defsubpara"/>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 licensing provisions of the Road Traffic Act;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napToGrid/>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replacement application</w:t>
      </w:r>
      <w:r>
        <w:rPr>
          <w:b/>
        </w:rPr>
        <w:t xml:space="preserve"> </w:t>
      </w:r>
      <w:r>
        <w:t xml:space="preserve">means an application under the Act section 15, 17 or 19 that — </w:t>
      </w:r>
    </w:p>
    <w:p>
      <w:pPr>
        <w:pStyle w:val="Defpara"/>
      </w:pPr>
      <w:r>
        <w:tab/>
        <w:t>(a)</w:t>
      </w:r>
      <w:r>
        <w:tab/>
        <w:t xml:space="preserve">is made by the holder of a business licence (the </w:t>
      </w:r>
      <w:r>
        <w:rPr>
          <w:rStyle w:val="CharDefText"/>
        </w:rPr>
        <w:t>old licence</w:t>
      </w:r>
      <w:r>
        <w:t>) for any classes of repair work that include one or more classes of repair work already covered by the old licence; and</w:t>
      </w:r>
    </w:p>
    <w:p>
      <w:pPr>
        <w:pStyle w:val="Defpara"/>
      </w:pPr>
      <w:r>
        <w:tab/>
        <w:t>(b)</w:t>
      </w:r>
      <w:r>
        <w:tab/>
        <w:t>is requested by the applicant to be a replacement application; and</w:t>
      </w:r>
    </w:p>
    <w:p>
      <w:pPr>
        <w:pStyle w:val="Defpara"/>
      </w:pPr>
      <w:r>
        <w:tab/>
        <w:t>(c)</w:t>
      </w:r>
      <w:r>
        <w:tab/>
        <w:t>is made more than 3 months before the day on which the old licence is due to expire as mentioned in the Act section 30(2)(a);</w:t>
      </w:r>
    </w:p>
    <w:p>
      <w:pPr>
        <w:pStyle w:val="Defstart"/>
      </w:pPr>
      <w:r>
        <w:rPr>
          <w:b/>
          <w:noProof/>
          <w:snapToGrid/>
          <w:color w:val="000000"/>
          <w:sz w:val="20"/>
        </w:rPr>
        <mc:AlternateContent>
          <mc:Choice Requires="wps">
            <w:drawing>
              <wp:anchor distT="0" distB="0" distL="114300" distR="114300" simplePos="0" relativeHeight="251655168" behindDoc="0" locked="0" layoutInCell="1" allowOverlap="1">
                <wp:simplePos x="0" y="0"/>
                <wp:positionH relativeFrom="column">
                  <wp:posOffset>2521585</wp:posOffset>
                </wp:positionH>
                <wp:positionV relativeFrom="paragraph">
                  <wp:posOffset>-137795</wp:posOffset>
                </wp:positionV>
                <wp:extent cx="0" cy="0"/>
                <wp:effectExtent l="0" t="0" r="0" b="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MEw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fMFKk&#10;gxE9CcXRJA+t6Y0rIKJSWxuKoyf1bJ40/eaQ0lVL1J5Hii9nA3lZyEhepYSNM3DBrv+kGcSQg9ex&#10;T6fGdqiRwnwMiQEceoFOcTDn22D4ySM6HNLraUKKkBxSjHX+A9cdCkaJJRCPUOT45Hwg8yskhCu9&#10;EVLGiUuF+hIvppNpTHBaChacIczZ/a6SFh1J0Ez8YmXguQ+z+qBYBGs5YeuL7YmQgw2XSxXwoAig&#10;c7EGUXxfpIv1fD3PR/lkth7laV2P3m+qfDTbZA/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SC/tM&#10;EwIAAC0EAAAOAAAAAAAAAAAAAAAAAC4CAABkcnMvZTJvRG9jLnhtbFBLAQItABQABgAIAAAAIQBt&#10;hOQB2wAAAAsBAAAPAAAAAAAAAAAAAAAAAG0EAABkcnMvZG93bnJldi54bWxQSwUGAAAAAAQABADz&#10;AAAAdQUAAAAA&#10;"/>
            </w:pict>
          </mc:Fallback>
        </mc:AlternateContent>
      </w:r>
      <w:r>
        <w:rPr>
          <w:b/>
          <w:color w:val="000000"/>
        </w:rPr>
        <w:tab/>
      </w:r>
      <w:r>
        <w:rPr>
          <w:rStyle w:val="CharDefText"/>
        </w:rPr>
        <w:t>replacement l</w:t>
      </w:r>
      <w:r>
        <w:rPr>
          <w:rStyle w:val="CharDefText"/>
          <w:color w:val="000000"/>
        </w:rPr>
        <w:t>icence</w:t>
      </w:r>
      <w:r>
        <w:rPr>
          <w:b/>
          <w:color w:val="000000"/>
        </w:rPr>
        <w:t xml:space="preserve"> </w:t>
      </w:r>
      <w:r>
        <w:rPr>
          <w:color w:val="000000"/>
        </w:rPr>
        <w:t>means a business licence issued on the grant of a replacement application;</w:t>
      </w:r>
    </w:p>
    <w:p>
      <w:pPr>
        <w:pStyle w:val="Defstart"/>
      </w:pPr>
      <w:r>
        <w:rPr>
          <w:b/>
        </w:rPr>
        <w:tab/>
      </w:r>
      <w:r>
        <w:rPr>
          <w:rStyle w:val="CharDefText"/>
        </w:rPr>
        <w:t>replacement licence notice</w:t>
      </w:r>
      <w:r>
        <w:t xml:space="preserve"> means a notice issued under regulation 7B;</w:t>
      </w:r>
    </w:p>
    <w:p>
      <w:pPr>
        <w:pStyle w:val="Defstart"/>
      </w:pP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napToGrid/>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transitional application</w:t>
      </w:r>
      <w:r>
        <w:t xml:space="preserve"> means an application under the Act section 15, 17 or 19 that — </w:t>
      </w:r>
    </w:p>
    <w:p>
      <w:pPr>
        <w:pStyle w:val="Defpara"/>
      </w:pPr>
      <w:r>
        <w:tab/>
        <w:t>(a)</w:t>
      </w:r>
      <w:r>
        <w:tab/>
        <w:t>is the first such application made by an existing repair business; and</w:t>
      </w:r>
    </w:p>
    <w:p>
      <w:pPr>
        <w:pStyle w:val="Defpara"/>
      </w:pPr>
      <w:r>
        <w:tab/>
        <w:t>(b)</w:t>
      </w:r>
      <w:r>
        <w:tab/>
        <w:t>is made before the expiry of 12 months after the commencement of the Act section 9;</w:t>
      </w:r>
    </w:p>
    <w:p>
      <w:pPr>
        <w:pStyle w:val="Defstart"/>
      </w:pPr>
      <w:r>
        <w:rPr>
          <w:b/>
          <w:noProof/>
          <w:snapToGrid/>
          <w:sz w:val="20"/>
        </w:rPr>
        <mc:AlternateContent>
          <mc:Choice Requires="wps">
            <w:drawing>
              <wp:anchor distT="0" distB="0" distL="114300" distR="114300" simplePos="0" relativeHeight="251659264" behindDoc="0" locked="0" layoutInCell="1" allowOverlap="1">
                <wp:simplePos x="0" y="0"/>
                <wp:positionH relativeFrom="column">
                  <wp:posOffset>2521585</wp:posOffset>
                </wp:positionH>
                <wp:positionV relativeFrom="paragraph">
                  <wp:posOffset>-137795</wp:posOffset>
                </wp:positionV>
                <wp:extent cx="0"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j+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RTjBTp&#10;YESPQnE0mYfW9MYVEFGprQ3F0ZN6No+afnNI6aolas8jxZezgbwsZCSvUsLGGbhg13/WDGLIwevY&#10;p1NjO9RIYT6FxAAOvUCnOJjzbTD85BEdDun1NCFFSA4pxjr/kesOBaPEEohHKHJ8dD6Q+RUSwpXe&#10;CCnjxKVCfYkX08k0JjgtBQvOEObsfldJi44kaCZ+sTLw3IdZfVAsgrWcsPXF9kTIwYbLpQp4UATQ&#10;uViDKL4v0sV6vp7no3wyW4/ytK5HHzZVPpptsvf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kORj+&#10;EwIAAC0EAAAOAAAAAAAAAAAAAAAAAC4CAABkcnMvZTJvRG9jLnhtbFBLAQItABQABgAIAAAAIQBt&#10;hOQB2wAAAAsBAAAPAAAAAAAAAAAAAAAAAG0EAABkcnMvZG93bnJldi54bWxQSwUGAAAAAAQABADz&#10;AAAAdQUAAAAA&#10;"/>
            </w:pict>
          </mc:Fallback>
        </mc:AlternateContent>
      </w:r>
      <w:r>
        <w:rPr>
          <w:b/>
        </w:rPr>
        <w:tab/>
      </w:r>
      <w:r>
        <w:rPr>
          <w:rStyle w:val="CharDefText"/>
        </w:rPr>
        <w:t>transitional licence</w:t>
      </w:r>
      <w:r>
        <w:rPr>
          <w:b/>
        </w:rPr>
        <w:t xml:space="preserve"> </w:t>
      </w:r>
      <w:r>
        <w:t>means a business licence issued on the grant of a transitional application;</w:t>
      </w:r>
    </w:p>
    <w:p>
      <w:pPr>
        <w:pStyle w:val="Defstart"/>
      </w:pP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 licensing provisions of the Road Traffic Act.</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 28 Jul 2009 p. 2975-6.]</w:t>
      </w:r>
    </w:p>
    <w:p>
      <w:pPr>
        <w:pStyle w:val="Heading5"/>
      </w:pPr>
      <w:bookmarkStart w:id="7" w:name="_Toc393111195"/>
      <w:r>
        <w:rPr>
          <w:rStyle w:val="CharSectno"/>
        </w:rPr>
        <w:t>4</w:t>
      </w:r>
      <w:r>
        <w:t>.</w:t>
      </w:r>
      <w:r>
        <w:tab/>
        <w:t>Exclusions from definition of motor vehicle</w:t>
      </w:r>
      <w:bookmarkEnd w:id="7"/>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8" w:name="_Toc393111196"/>
      <w:r>
        <w:rPr>
          <w:rStyle w:val="CharSectno"/>
        </w:rPr>
        <w:t>5</w:t>
      </w:r>
      <w:r>
        <w:t>.</w:t>
      </w:r>
      <w:r>
        <w:tab/>
        <w:t>Classes of repair work prescribed (Act s. 5)</w:t>
      </w:r>
      <w:bookmarkEnd w:id="8"/>
    </w:p>
    <w:p>
      <w:pPr>
        <w:pStyle w:val="Subsection"/>
      </w:pPr>
      <w:r>
        <w:tab/>
        <w:t>(1)</w:t>
      </w:r>
      <w:r>
        <w:tab/>
        <w:t>For the purposes of the Act Part 2, each kind of work listed in the Table to this regulation is prescribed to be a class of repair work.</w:t>
      </w:r>
    </w:p>
    <w:p>
      <w:pPr>
        <w:pStyle w:val="Subsection"/>
      </w:pPr>
      <w:r>
        <w:tab/>
        <w:t>(2)</w:t>
      </w:r>
      <w:r>
        <w:tab/>
        <w:t>For the purposes of the Act Part 3, each kind of work listed in the Table to this regulation (other than autogas work)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2A.</w:t>
            </w:r>
          </w:p>
        </w:tc>
        <w:tc>
          <w:tcPr>
            <w:tcW w:w="4819" w:type="dxa"/>
          </w:tcPr>
          <w:p>
            <w:pPr>
              <w:pStyle w:val="Table"/>
            </w:pPr>
            <w:r>
              <w:t>Autogas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in Gazette 24 Jun 2008 p. 2811.]</w:t>
      </w:r>
    </w:p>
    <w:p>
      <w:pPr>
        <w:pStyle w:val="Heading5"/>
      </w:pPr>
      <w:bookmarkStart w:id="9" w:name="_Toc393111197"/>
      <w:r>
        <w:rPr>
          <w:rStyle w:val="CharSectno"/>
        </w:rPr>
        <w:t>6</w:t>
      </w:r>
      <w:r>
        <w:t>.</w:t>
      </w:r>
      <w:r>
        <w:tab/>
        <w:t>Work that is not repair work prescribed (Act s. 5)</w:t>
      </w:r>
      <w:bookmarkEnd w:id="9"/>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10" w:name="_Toc391647176"/>
      <w:bookmarkStart w:id="11" w:name="_Toc393111198"/>
      <w:r>
        <w:rPr>
          <w:rStyle w:val="CharPartNo"/>
        </w:rPr>
        <w:t>Part 2A</w:t>
      </w:r>
      <w:r>
        <w:rPr>
          <w:b w:val="0"/>
        </w:rPr>
        <w:t> </w:t>
      </w:r>
      <w:r>
        <w:t>—</w:t>
      </w:r>
      <w:r>
        <w:rPr>
          <w:b w:val="0"/>
        </w:rPr>
        <w:t> </w:t>
      </w:r>
      <w:r>
        <w:rPr>
          <w:rStyle w:val="CharPartText"/>
        </w:rPr>
        <w:t>Licensing of motor vehicle repair businesses</w:t>
      </w:r>
      <w:bookmarkEnd w:id="10"/>
      <w:bookmarkEnd w:id="11"/>
    </w:p>
    <w:p>
      <w:pPr>
        <w:pStyle w:val="Footnoteheading"/>
      </w:pPr>
      <w:r>
        <w:tab/>
        <w:t>[Heading inserted in Gazette 24 Jun 2008 p. 2812.]</w:t>
      </w:r>
    </w:p>
    <w:p>
      <w:pPr>
        <w:pStyle w:val="Heading5"/>
      </w:pPr>
      <w:bookmarkStart w:id="12" w:name="_Toc393111199"/>
      <w:r>
        <w:rPr>
          <w:rStyle w:val="CharSectno"/>
        </w:rPr>
        <w:t>7A</w:t>
      </w:r>
      <w:r>
        <w:t>.</w:t>
      </w:r>
      <w:r>
        <w:tab/>
        <w:t>Fees prescribed (Act s. 13)</w:t>
      </w:r>
      <w:bookmarkEnd w:id="12"/>
    </w:p>
    <w:p>
      <w:pPr>
        <w:pStyle w:val="Subsection"/>
      </w:pPr>
      <w:r>
        <w:tab/>
        <w:t>(1)</w:t>
      </w:r>
      <w:r>
        <w:tab/>
        <w:t xml:space="preserve">For the purposes of the Act section 13(3)(a)(ii), the prescribed fee is — </w:t>
      </w:r>
    </w:p>
    <w:p>
      <w:pPr>
        <w:pStyle w:val="Indenta"/>
      </w:pPr>
      <w:r>
        <w:tab/>
        <w:t>(a)</w:t>
      </w:r>
      <w:r>
        <w:tab/>
        <w:t>in the case of a transitional application, the sum of —</w:t>
      </w:r>
    </w:p>
    <w:p>
      <w:pPr>
        <w:pStyle w:val="Indenti"/>
      </w:pPr>
      <w:r>
        <w:tab/>
        <w:t>(i)</w:t>
      </w:r>
      <w:r>
        <w:tab/>
        <w:t>$161; and</w:t>
      </w:r>
    </w:p>
    <w:p>
      <w:pPr>
        <w:pStyle w:val="Indenti"/>
      </w:pPr>
      <w:r>
        <w:tab/>
        <w:t>(ii)</w:t>
      </w:r>
      <w:r>
        <w:tab/>
        <w:t>the amount determined in accordance with subregulation (2) in respect of the application;</w:t>
      </w:r>
    </w:p>
    <w:p>
      <w:pPr>
        <w:pStyle w:val="Indenta"/>
      </w:pPr>
      <w:r>
        <w:tab/>
        <w:t>(b)</w:t>
      </w:r>
      <w:r>
        <w:tab/>
        <w:t xml:space="preserve">in the case of a replacement application, the sum of — </w:t>
      </w:r>
    </w:p>
    <w:p>
      <w:pPr>
        <w:pStyle w:val="Indenti"/>
      </w:pPr>
      <w:r>
        <w:tab/>
        <w:t>(i)</w:t>
      </w:r>
      <w:r>
        <w:tab/>
        <w:t>$120; and</w:t>
      </w:r>
    </w:p>
    <w:p>
      <w:pPr>
        <w:pStyle w:val="Indenti"/>
      </w:pPr>
      <w:r>
        <w:tab/>
        <w:t>(ii)</w:t>
      </w:r>
      <w:r>
        <w:tab/>
        <w:t>the amount determined in accordance with subregulation (4) in respect of the application;</w:t>
      </w:r>
    </w:p>
    <w:p>
      <w:pPr>
        <w:pStyle w:val="Indenta"/>
      </w:pPr>
      <w:r>
        <w:tab/>
        <w:t>(c)</w:t>
      </w:r>
      <w:r>
        <w:tab/>
        <w:t>in the case of any other application under the Act section 15, 17 or 19, the sum of —</w:t>
      </w:r>
    </w:p>
    <w:p>
      <w:pPr>
        <w:pStyle w:val="Indenti"/>
      </w:pPr>
      <w:r>
        <w:tab/>
        <w:t>(i)</w:t>
      </w:r>
      <w:r>
        <w:tab/>
        <w:t>$161; and</w:t>
      </w:r>
    </w:p>
    <w:p>
      <w:pPr>
        <w:pStyle w:val="Indenti"/>
      </w:pPr>
      <w:r>
        <w:tab/>
        <w:t>(ii)</w:t>
      </w:r>
      <w:r>
        <w:tab/>
        <w:t>the amount determined in accordance with subregulation (6) in respect of the application.</w:t>
      </w:r>
    </w:p>
    <w:p>
      <w:pPr>
        <w:pStyle w:val="Subsection"/>
      </w:pPr>
      <w:r>
        <w:tab/>
        <w:t>(2)</w:t>
      </w:r>
      <w:r>
        <w:tab/>
        <w:t xml:space="preserve">For the purposes of subregulation (1)(a)(ii), the amount in respect of a transitional application, regardless of the number of classes of repair work to which the application relates, is the following amount rounded to the nearest dollar — </w:t>
      </w:r>
    </w:p>
    <w:p>
      <w:pPr>
        <w:pStyle w:val="Equation"/>
        <w:jc w:val="center"/>
      </w:pPr>
      <w:r>
        <w:rPr>
          <w:position w:val="-24"/>
        </w:rPr>
        <w:drawing>
          <wp:inline distT="0" distB="0" distL="0" distR="0">
            <wp:extent cx="4476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months) for which the transitional licence is to be issued if the application is granted, as prescribed under regulation 7E(1)(a).</w:t>
      </w:r>
    </w:p>
    <w:p>
      <w:pPr>
        <w:pStyle w:val="Subsection"/>
      </w:pPr>
      <w:r>
        <w:rPr>
          <w:color w:val="000000"/>
        </w:rPr>
        <w:tab/>
        <w:t>(3)</w:t>
      </w:r>
      <w:r>
        <w:rPr>
          <w:color w:val="000000"/>
        </w:rPr>
        <w:tab/>
        <w:t xml:space="preserve">For the purposes of </w:t>
      </w:r>
      <w:r>
        <w:t>the Act section 13(3)(a)(ii)</w:t>
      </w:r>
      <w:r>
        <w:rPr>
          <w:color w:val="000000"/>
        </w:rPr>
        <w:t xml:space="preserve">, a transitional application is accompanied by the prescribed fee if — </w:t>
      </w:r>
    </w:p>
    <w:p>
      <w:pPr>
        <w:pStyle w:val="Indenta"/>
      </w:pPr>
      <w:r>
        <w:rPr>
          <w:color w:val="000000"/>
        </w:rPr>
        <w:tab/>
        <w:t>(a)</w:t>
      </w:r>
      <w:r>
        <w:rPr>
          <w:color w:val="000000"/>
        </w:rPr>
        <w:tab/>
        <w:t>the amount mentioned in subregulation (1)(a)(i) is paid at the time the application is made; and</w:t>
      </w:r>
    </w:p>
    <w:p>
      <w:pPr>
        <w:pStyle w:val="Indenta"/>
      </w:pPr>
      <w:r>
        <w:tab/>
        <w:t>(b)</w:t>
      </w:r>
      <w:r>
        <w:tab/>
        <w:t xml:space="preserve">either — </w:t>
      </w:r>
    </w:p>
    <w:p>
      <w:pPr>
        <w:pStyle w:val="Indenti"/>
      </w:pPr>
      <w:r>
        <w:rPr>
          <w:color w:val="000000"/>
        </w:rPr>
        <w:tab/>
        <w:t>(i)</w:t>
      </w:r>
      <w:r>
        <w:rPr>
          <w:color w:val="000000"/>
        </w:rPr>
        <w:tab/>
        <w:t xml:space="preserve">the required payment stated in the licence notice issued in respect of the application is received by the </w:t>
      </w:r>
      <w:r>
        <w:t>Commissioner</w:t>
      </w:r>
      <w:r>
        <w:rPr>
          <w:color w:val="000000"/>
        </w:rPr>
        <w:t xml:space="preserve"> before the proposed issue day specified in the notice; or</w:t>
      </w:r>
    </w:p>
    <w:p>
      <w:pPr>
        <w:pStyle w:val="Indenti"/>
      </w:pPr>
      <w:r>
        <w:tab/>
        <w:t>(ii)</w:t>
      </w:r>
      <w:r>
        <w:tab/>
        <w:t>the amount payable under subregulation (1)(a)(ii) is waived under regulation 20(2).</w:t>
      </w:r>
    </w:p>
    <w:p>
      <w:pPr>
        <w:pStyle w:val="Subsection"/>
      </w:pPr>
      <w:r>
        <w:tab/>
        <w:t>(4)</w:t>
      </w:r>
      <w:r>
        <w:tab/>
        <w:t xml:space="preserve">For the purposes of subregulation (1)(b)(ii), the amount in respect of a replacement application, regardless of the number of classes of repair work to which the application relates, is the following amount rounded to the nearest 5 cents — </w:t>
      </w:r>
    </w:p>
    <w:p>
      <w:pPr>
        <w:pStyle w:val="Equation"/>
        <w:jc w:val="center"/>
      </w:pPr>
      <w:r>
        <w:rPr>
          <w:position w:val="-30"/>
        </w:rPr>
        <w:drawing>
          <wp:inline distT="0" distB="0" distL="0" distR="0">
            <wp:extent cx="79057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days) for which the replacement licence is to be issued if the application is granted, as prescribed under regulation 7E(1)(b).</w:t>
      </w:r>
    </w:p>
    <w:p>
      <w:pPr>
        <w:pStyle w:val="Subsection"/>
      </w:pPr>
      <w:r>
        <w:rPr>
          <w:color w:val="000000"/>
        </w:rPr>
        <w:tab/>
        <w:t>(5)</w:t>
      </w:r>
      <w:r>
        <w:rPr>
          <w:color w:val="000000"/>
        </w:rPr>
        <w:tab/>
        <w:t xml:space="preserve">For the purposes of </w:t>
      </w:r>
      <w:r>
        <w:t>the Act section 13(3)(a)(ii)</w:t>
      </w:r>
      <w:r>
        <w:rPr>
          <w:color w:val="000000"/>
        </w:rPr>
        <w:t xml:space="preserve">, a replacement application is accompanied by the prescribed fee if — </w:t>
      </w:r>
    </w:p>
    <w:p>
      <w:pPr>
        <w:pStyle w:val="Indenta"/>
      </w:pPr>
      <w:r>
        <w:rPr>
          <w:color w:val="000000"/>
        </w:rPr>
        <w:tab/>
        <w:t>(a)</w:t>
      </w:r>
      <w:r>
        <w:rPr>
          <w:color w:val="000000"/>
        </w:rPr>
        <w:tab/>
        <w:t>the amount mentioned in subregulation (1)(b)(i) is paid at the time the application is made; and</w:t>
      </w:r>
    </w:p>
    <w:p>
      <w:pPr>
        <w:pStyle w:val="Indenta"/>
        <w:keepNext/>
        <w:keepLines/>
      </w:pPr>
      <w:r>
        <w:tab/>
        <w:t>(b)</w:t>
      </w:r>
      <w:r>
        <w:tab/>
        <w:t xml:space="preserve">any of the following applies — </w:t>
      </w:r>
    </w:p>
    <w:p>
      <w:pPr>
        <w:pStyle w:val="Indenti"/>
      </w:pPr>
      <w:r>
        <w:rPr>
          <w:color w:val="000000"/>
        </w:rPr>
        <w:tab/>
        <w:t>(i)</w:t>
      </w:r>
      <w:r>
        <w:rPr>
          <w:color w:val="000000"/>
        </w:rPr>
        <w:tab/>
        <w:t>the required payment stated in the replacement licence notice issued in respect of the application is nil;</w:t>
      </w:r>
    </w:p>
    <w:p>
      <w:pPr>
        <w:pStyle w:val="Indenti"/>
      </w:pPr>
      <w:r>
        <w:tab/>
        <w:t>(ii)</w:t>
      </w:r>
      <w:r>
        <w:tab/>
        <w:t>the required payment stated in the replacement licence notice is received by the Commissioner before the proposed issue day specified in the notice;</w:t>
      </w:r>
    </w:p>
    <w:p>
      <w:pPr>
        <w:pStyle w:val="Indenti"/>
      </w:pPr>
      <w:r>
        <w:tab/>
        <w:t>(iii)</w:t>
      </w:r>
      <w:r>
        <w:tab/>
        <w:t>the amount payable under subregulation (1)(b)(ii) is waived under regulation 16(3).</w:t>
      </w:r>
    </w:p>
    <w:p>
      <w:pPr>
        <w:pStyle w:val="Subsection"/>
      </w:pPr>
      <w:r>
        <w:tab/>
        <w:t>(6)</w:t>
      </w:r>
      <w:r>
        <w:tab/>
        <w:t>For the purposes of subregulation (1)(c)(ii), the amount in respect of an application that is not a transitional application or replacement application, regardless of the number of classes of repair work to which the application relates, is the amount specified in the Table to this regulation in the item that specifies the number of repairers of the applicant at the time the application is made.</w:t>
      </w:r>
    </w:p>
    <w:p>
      <w:pPr>
        <w:pStyle w:val="yTHeadingNAm"/>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992" w:type="dxa"/>
          </w:tcPr>
          <w:p>
            <w:pPr>
              <w:pStyle w:val="TableNAm"/>
              <w:tabs>
                <w:tab w:val="clear" w:pos="567"/>
              </w:tabs>
              <w:ind w:right="58"/>
              <w:jc w:val="right"/>
            </w:pPr>
            <w:r>
              <w:t>$698</w:t>
            </w:r>
          </w:p>
        </w:tc>
      </w:tr>
      <w:tr>
        <w:tc>
          <w:tcPr>
            <w:tcW w:w="658" w:type="dxa"/>
          </w:tcPr>
          <w:p>
            <w:pPr>
              <w:pStyle w:val="TableNAm"/>
            </w:pPr>
            <w:r>
              <w:t>2.</w:t>
            </w:r>
          </w:p>
        </w:tc>
        <w:tc>
          <w:tcPr>
            <w:tcW w:w="3118" w:type="dxa"/>
          </w:tcPr>
          <w:p>
            <w:pPr>
              <w:pStyle w:val="TableNAm"/>
            </w:pPr>
            <w:r>
              <w:t>3</w:t>
            </w:r>
          </w:p>
        </w:tc>
        <w:tc>
          <w:tcPr>
            <w:tcW w:w="992" w:type="dxa"/>
          </w:tcPr>
          <w:p>
            <w:pPr>
              <w:pStyle w:val="TableNAm"/>
              <w:tabs>
                <w:tab w:val="clear" w:pos="567"/>
              </w:tabs>
              <w:ind w:right="58"/>
              <w:jc w:val="right"/>
            </w:pPr>
            <w:r>
              <w:t>$973</w:t>
            </w:r>
          </w:p>
        </w:tc>
      </w:tr>
      <w:tr>
        <w:tc>
          <w:tcPr>
            <w:tcW w:w="658" w:type="dxa"/>
          </w:tcPr>
          <w:p>
            <w:pPr>
              <w:pStyle w:val="TableNAm"/>
            </w:pPr>
            <w:r>
              <w:t>3.</w:t>
            </w:r>
          </w:p>
        </w:tc>
        <w:tc>
          <w:tcPr>
            <w:tcW w:w="3118" w:type="dxa"/>
          </w:tcPr>
          <w:p>
            <w:pPr>
              <w:pStyle w:val="TableNAm"/>
            </w:pPr>
            <w:r>
              <w:t>4</w:t>
            </w:r>
          </w:p>
        </w:tc>
        <w:tc>
          <w:tcPr>
            <w:tcW w:w="992" w:type="dxa"/>
          </w:tcPr>
          <w:p>
            <w:pPr>
              <w:pStyle w:val="TableNAm"/>
              <w:tabs>
                <w:tab w:val="clear" w:pos="567"/>
              </w:tabs>
              <w:ind w:right="58"/>
              <w:jc w:val="right"/>
            </w:pPr>
            <w:r>
              <w:t>$1 215</w:t>
            </w:r>
          </w:p>
        </w:tc>
      </w:tr>
      <w:tr>
        <w:tc>
          <w:tcPr>
            <w:tcW w:w="658" w:type="dxa"/>
          </w:tcPr>
          <w:p>
            <w:pPr>
              <w:pStyle w:val="TableNAm"/>
            </w:pPr>
            <w:r>
              <w:t>4.</w:t>
            </w:r>
          </w:p>
        </w:tc>
        <w:tc>
          <w:tcPr>
            <w:tcW w:w="3118" w:type="dxa"/>
          </w:tcPr>
          <w:p>
            <w:pPr>
              <w:pStyle w:val="TableNAm"/>
            </w:pPr>
            <w:r>
              <w:t>5 to 7</w:t>
            </w:r>
          </w:p>
        </w:tc>
        <w:tc>
          <w:tcPr>
            <w:tcW w:w="992" w:type="dxa"/>
          </w:tcPr>
          <w:p>
            <w:pPr>
              <w:pStyle w:val="TableNAm"/>
              <w:tabs>
                <w:tab w:val="clear" w:pos="567"/>
              </w:tabs>
              <w:ind w:right="58"/>
              <w:jc w:val="right"/>
            </w:pPr>
            <w:r>
              <w:t>$1 766</w:t>
            </w:r>
          </w:p>
        </w:tc>
      </w:tr>
      <w:tr>
        <w:tc>
          <w:tcPr>
            <w:tcW w:w="658" w:type="dxa"/>
          </w:tcPr>
          <w:p>
            <w:pPr>
              <w:pStyle w:val="TableNAm"/>
            </w:pPr>
            <w:r>
              <w:t>5.</w:t>
            </w:r>
          </w:p>
        </w:tc>
        <w:tc>
          <w:tcPr>
            <w:tcW w:w="3118" w:type="dxa"/>
          </w:tcPr>
          <w:p>
            <w:pPr>
              <w:pStyle w:val="TableNAm"/>
            </w:pPr>
            <w:r>
              <w:t>8 to 10</w:t>
            </w:r>
          </w:p>
        </w:tc>
        <w:tc>
          <w:tcPr>
            <w:tcW w:w="992" w:type="dxa"/>
          </w:tcPr>
          <w:p>
            <w:pPr>
              <w:pStyle w:val="TableNAm"/>
              <w:tabs>
                <w:tab w:val="clear" w:pos="567"/>
              </w:tabs>
              <w:ind w:right="58"/>
              <w:jc w:val="right"/>
            </w:pPr>
            <w:r>
              <w:t>$2 248</w:t>
            </w:r>
          </w:p>
        </w:tc>
      </w:tr>
      <w:tr>
        <w:tc>
          <w:tcPr>
            <w:tcW w:w="658" w:type="dxa"/>
          </w:tcPr>
          <w:p>
            <w:pPr>
              <w:pStyle w:val="TableNAm"/>
            </w:pPr>
            <w:r>
              <w:t>6.</w:t>
            </w:r>
          </w:p>
        </w:tc>
        <w:tc>
          <w:tcPr>
            <w:tcW w:w="3118" w:type="dxa"/>
          </w:tcPr>
          <w:p>
            <w:pPr>
              <w:pStyle w:val="TableNAm"/>
            </w:pPr>
            <w:r>
              <w:t>11 or more</w:t>
            </w:r>
          </w:p>
        </w:tc>
        <w:tc>
          <w:tcPr>
            <w:tcW w:w="992" w:type="dxa"/>
          </w:tcPr>
          <w:p>
            <w:pPr>
              <w:pStyle w:val="TableNAm"/>
              <w:tabs>
                <w:tab w:val="clear" w:pos="567"/>
              </w:tabs>
              <w:ind w:right="58"/>
              <w:jc w:val="right"/>
            </w:pPr>
            <w:r>
              <w:t>$2 833</w:t>
            </w:r>
          </w:p>
        </w:tc>
      </w:tr>
    </w:tbl>
    <w:p>
      <w:pPr>
        <w:pStyle w:val="Footnotesection"/>
      </w:pPr>
      <w:r>
        <w:tab/>
        <w:t>[Regulation 7A inserted in Gazette 24 Jun 2008 p. 2812-15; amended in Gazette 23 Jun 2009 p. 2447; 22 Jun 2011 p. 2370; 30 Jun 2011 p. 2667; 15 Jun 2012 p. 2595</w:t>
      </w:r>
      <w:r>
        <w:noBreakHyphen/>
        <w:t>6; 27 Jun 2013 p. 2697-8; 17 Jun 2014 p. 1971.]</w:t>
      </w:r>
    </w:p>
    <w:p>
      <w:pPr>
        <w:pStyle w:val="Heading5"/>
      </w:pPr>
      <w:bookmarkStart w:id="13" w:name="_Toc393111200"/>
      <w:r>
        <w:rPr>
          <w:rStyle w:val="CharSectno"/>
        </w:rPr>
        <w:t>7B</w:t>
      </w:r>
      <w:r>
        <w:t>.</w:t>
      </w:r>
      <w:r>
        <w:tab/>
        <w:t>Replacement licences, issue of</w:t>
      </w:r>
      <w:bookmarkEnd w:id="13"/>
    </w:p>
    <w:p>
      <w:pPr>
        <w:pStyle w:val="Subsection"/>
      </w:pPr>
      <w:r>
        <w:tab/>
        <w:t>(1)</w:t>
      </w:r>
      <w:r>
        <w:tab/>
        <w:t xml:space="preserve">In this regulation — </w:t>
      </w:r>
    </w:p>
    <w:p>
      <w:pPr>
        <w:pStyle w:val="Defstart"/>
      </w:pPr>
      <w:r>
        <w:rPr>
          <w:b/>
        </w:rPr>
        <w:tab/>
      </w:r>
      <w:r>
        <w:rPr>
          <w:rStyle w:val="CharDefText"/>
        </w:rPr>
        <w:t>outstanding fee</w:t>
      </w:r>
      <w:r>
        <w:rPr>
          <w:bCs/>
        </w:rPr>
        <w:t>, in relation to a replacement application,</w:t>
      </w:r>
      <w:r>
        <w:t xml:space="preserve"> means the amount payable by the applicant under </w:t>
      </w:r>
      <w:r>
        <w:rPr>
          <w:color w:val="000000"/>
        </w:rPr>
        <w:t>regulation 7A(1)(b)(ii);</w:t>
      </w:r>
    </w:p>
    <w:p>
      <w:pPr>
        <w:pStyle w:val="Defstart"/>
      </w:pPr>
      <w:r>
        <w:rPr>
          <w:b/>
        </w:rPr>
        <w:tab/>
      </w:r>
      <w:r>
        <w:rPr>
          <w:rStyle w:val="CharDefText"/>
        </w:rPr>
        <w:t>proposed refund</w:t>
      </w:r>
      <w:r>
        <w:rPr>
          <w:bCs/>
        </w:rPr>
        <w:t xml:space="preserve">, in relation to a </w:t>
      </w:r>
      <w:r>
        <w:t xml:space="preserve">notice issued under this regulation in respect of a </w:t>
      </w:r>
      <w:r>
        <w:rPr>
          <w:bCs/>
        </w:rPr>
        <w:t xml:space="preserve">replacement application, </w:t>
      </w:r>
      <w:r>
        <w:t>means any amount that the Commissioner will, under the Act section 53, refund to the applicant as the former licensee of the old licence on the surrender of the old licence on the proposed issue day specified in the notice.</w:t>
      </w:r>
    </w:p>
    <w:p>
      <w:pPr>
        <w:pStyle w:val="Subsection"/>
      </w:pPr>
      <w:r>
        <w:tab/>
        <w:t>(2)</w:t>
      </w:r>
      <w:r>
        <w:tab/>
      </w:r>
      <w:r>
        <w:rPr>
          <w:color w:val="000000"/>
        </w:rPr>
        <w:t xml:space="preserve">This regulation applies if the </w:t>
      </w:r>
      <w:r>
        <w:t>Commissioner</w:t>
      </w:r>
      <w:r>
        <w:rPr>
          <w:color w:val="000000"/>
        </w:rPr>
        <w:t xml:space="preserve"> proposes to issue a replacement licence.</w:t>
      </w:r>
    </w:p>
    <w:p>
      <w:pPr>
        <w:pStyle w:val="Subsection"/>
      </w:pPr>
      <w:r>
        <w:tab/>
        <w:t>(3)</w:t>
      </w:r>
      <w:r>
        <w:tab/>
        <w:t xml:space="preserve">The Commissioner must issue a notice to the applicant stating — </w:t>
      </w:r>
    </w:p>
    <w:p>
      <w:pPr>
        <w:pStyle w:val="Indenta"/>
      </w:pPr>
      <w:r>
        <w:tab/>
        <w:t>(a)</w:t>
      </w:r>
      <w:r>
        <w:tab/>
        <w:t>that the Commissioner proposes to issue a replacement licence to the applicant on the proposed issue day specified in the notice, being a date not later than one month after the date of the notice; and</w:t>
      </w:r>
    </w:p>
    <w:p>
      <w:pPr>
        <w:pStyle w:val="Indenta"/>
      </w:pPr>
      <w:r>
        <w:tab/>
        <w:t>(b)</w:t>
      </w:r>
      <w:r>
        <w:tab/>
        <w:t xml:space="preserve">the amount of payment required, being whichever of the following amounts that is applicable — </w:t>
      </w:r>
    </w:p>
    <w:p>
      <w:pPr>
        <w:pStyle w:val="Indenti"/>
      </w:pPr>
      <w:r>
        <w:tab/>
        <w:t>(i)</w:t>
      </w:r>
      <w:r>
        <w:tab/>
        <w:t>if the outstanding fee</w:t>
      </w:r>
      <w:r>
        <w:rPr>
          <w:color w:val="000000"/>
        </w:rPr>
        <w:t xml:space="preserve"> exceeds any proposed refund — </w:t>
      </w:r>
      <w:r>
        <w:t>the outstanding fee</w:t>
      </w:r>
      <w:r>
        <w:rPr>
          <w:color w:val="000000"/>
        </w:rPr>
        <w:t xml:space="preserve"> less any proposed refund;</w:t>
      </w:r>
    </w:p>
    <w:p>
      <w:pPr>
        <w:pStyle w:val="Indenti"/>
      </w:pPr>
      <w:r>
        <w:tab/>
        <w:t>(ii)</w:t>
      </w:r>
      <w:r>
        <w:tab/>
        <w:t>in any other case — nil;</w:t>
      </w:r>
    </w:p>
    <w:p>
      <w:pPr>
        <w:pStyle w:val="Indenta"/>
      </w:pPr>
      <w:r>
        <w:tab/>
      </w:r>
      <w:r>
        <w:tab/>
        <w:t>and</w:t>
      </w:r>
    </w:p>
    <w:p>
      <w:pPr>
        <w:pStyle w:val="Indenta"/>
      </w:pPr>
      <w:r>
        <w:tab/>
        <w:t>(c)</w:t>
      </w:r>
      <w:r>
        <w:tab/>
        <w:t>the provisions under subregulations (4) and (5); and</w:t>
      </w:r>
    </w:p>
    <w:p>
      <w:pPr>
        <w:pStyle w:val="Indenta"/>
      </w:pPr>
      <w:r>
        <w:tab/>
        <w:t>(d)</w:t>
      </w:r>
      <w:r>
        <w:tab/>
        <w:t>whether, for the purpose of subregulation (6), the notice is to cease to have effect or the application is to be taken to have been withdrawn if the required payment is not received, or the old licence is not returned, before the proposed issue day.</w:t>
      </w:r>
    </w:p>
    <w:p>
      <w:pPr>
        <w:pStyle w:val="Subsection"/>
      </w:pPr>
      <w:r>
        <w:tab/>
        <w:t>(4)</w:t>
      </w:r>
      <w:r>
        <w:tab/>
        <w:t xml:space="preserve">The applicant must, unless the applicant notifies the Commissioner that he, she or it is withdrawing the application — </w:t>
      </w:r>
    </w:p>
    <w:p>
      <w:pPr>
        <w:pStyle w:val="Indenta"/>
      </w:pPr>
      <w:r>
        <w:tab/>
        <w:t>(a)</w:t>
      </w:r>
      <w:r>
        <w:tab/>
        <w:t>ensure that any required payment is received by the Commissioner before the proposed issue day; and</w:t>
      </w:r>
    </w:p>
    <w:p>
      <w:pPr>
        <w:pStyle w:val="Indenta"/>
      </w:pPr>
      <w:r>
        <w:tab/>
        <w:t>(b)</w:t>
      </w:r>
      <w:r>
        <w:tab/>
        <w:t>return the old licence to the Commissioner before the proposed issue day.</w:t>
      </w:r>
    </w:p>
    <w:p>
      <w:pPr>
        <w:pStyle w:val="Subsection"/>
      </w:pPr>
      <w:r>
        <w:tab/>
        <w:t>(5)</w:t>
      </w:r>
      <w:r>
        <w:tab/>
        <w:t xml:space="preserve">If the required payment is received, and the old licence is returned, before the proposed issue day, the following provisions apply — </w:t>
      </w:r>
    </w:p>
    <w:p>
      <w:pPr>
        <w:pStyle w:val="Indenta"/>
        <w:spacing w:before="60"/>
      </w:pPr>
      <w:r>
        <w:tab/>
        <w:t>(a)</w:t>
      </w:r>
      <w:r>
        <w:tab/>
        <w:t>the applicant is taken to have given notice to the Commissioner under the Act section 53 that the applicant is surrendering the old licence on the proposed issue day;</w:t>
      </w:r>
    </w:p>
    <w:p>
      <w:pPr>
        <w:pStyle w:val="Indenta"/>
        <w:spacing w:before="60"/>
      </w:pPr>
      <w:r>
        <w:tab/>
        <w:t>(b)</w:t>
      </w:r>
      <w:r>
        <w:tab/>
        <w:t>the applicant is taken to have made an application for a refund under the Act section 53 in respect of the old licence;</w:t>
      </w:r>
    </w:p>
    <w:p>
      <w:pPr>
        <w:pStyle w:val="Indenta"/>
        <w:spacing w:before="60"/>
        <w:rPr>
          <w:color w:val="000000"/>
        </w:rPr>
      </w:pPr>
      <w:r>
        <w:rPr>
          <w:color w:val="000000"/>
        </w:rPr>
        <w:tab/>
        <w:t>(c)</w:t>
      </w:r>
      <w:r>
        <w:rPr>
          <w:color w:val="000000"/>
        </w:rPr>
        <w:tab/>
        <w:t>the amount of refund payable to the applicant under the Act section 53 is the proposed refund;</w:t>
      </w:r>
    </w:p>
    <w:p>
      <w:pPr>
        <w:pStyle w:val="Indenta"/>
        <w:spacing w:before="60"/>
        <w:rPr>
          <w:color w:val="000000"/>
        </w:rPr>
      </w:pPr>
      <w:r>
        <w:rPr>
          <w:color w:val="000000"/>
        </w:rPr>
        <w:tab/>
        <w:t>(d)</w:t>
      </w:r>
      <w:r>
        <w:rPr>
          <w:color w:val="000000"/>
        </w:rPr>
        <w:tab/>
        <w:t xml:space="preserve">the </w:t>
      </w:r>
      <w:r>
        <w:t>Commissioner</w:t>
      </w:r>
      <w:r>
        <w:rPr>
          <w:color w:val="000000"/>
        </w:rPr>
        <w:t xml:space="preserve"> must apply as much of the amount of refund as possible towards payment of the outstanding fee;</w:t>
      </w:r>
    </w:p>
    <w:p>
      <w:pPr>
        <w:pStyle w:val="Indenta"/>
        <w:spacing w:before="60"/>
        <w:rPr>
          <w:color w:val="000000"/>
        </w:rPr>
      </w:pPr>
      <w:r>
        <w:rPr>
          <w:color w:val="000000"/>
        </w:rPr>
        <w:tab/>
        <w:t>(e)</w:t>
      </w:r>
      <w:r>
        <w:rPr>
          <w:color w:val="000000"/>
        </w:rPr>
        <w:tab/>
        <w:t>any amount of refund applied towards payment of the outstanding fee is taken to have been refunded to the applicant;</w:t>
      </w:r>
    </w:p>
    <w:p>
      <w:pPr>
        <w:pStyle w:val="Indenta"/>
        <w:spacing w:before="60"/>
        <w:rPr>
          <w:color w:val="000000"/>
        </w:rPr>
      </w:pPr>
      <w:r>
        <w:rPr>
          <w:color w:val="000000"/>
        </w:rPr>
        <w:tab/>
        <w:t>(f)</w:t>
      </w:r>
      <w:r>
        <w:rPr>
          <w:color w:val="000000"/>
        </w:rPr>
        <w:tab/>
        <w:t xml:space="preserve">if the amount of refund exceeds the outstanding fee, the </w:t>
      </w:r>
      <w:r>
        <w:t>Commissioner</w:t>
      </w:r>
      <w:r>
        <w:rPr>
          <w:color w:val="000000"/>
        </w:rPr>
        <w:t xml:space="preserve"> must refund the balance of the amount to the applicant;</w:t>
      </w:r>
    </w:p>
    <w:p>
      <w:pPr>
        <w:pStyle w:val="Indenta"/>
        <w:spacing w:before="60"/>
      </w:pPr>
      <w:r>
        <w:tab/>
        <w:t>(g)</w:t>
      </w:r>
      <w:r>
        <w:tab/>
        <w:t>the replacement licence is taken to be issued to the applicant on the proposed issue day.</w:t>
      </w:r>
    </w:p>
    <w:p>
      <w:pPr>
        <w:pStyle w:val="Subsection"/>
        <w:spacing w:before="120"/>
      </w:pPr>
      <w:r>
        <w:tab/>
        <w:t>(6)</w:t>
      </w:r>
      <w:r>
        <w:tab/>
        <w:t>If the required payment is not received, or the old licence is not returned, before the proposed issue day, the notice ceases to have effect or the replacement application is taken to have been withdrawn, as is stated in the notice.</w:t>
      </w:r>
    </w:p>
    <w:p>
      <w:pPr>
        <w:pStyle w:val="Subsection"/>
        <w:spacing w:before="120"/>
      </w:pPr>
      <w:r>
        <w:tab/>
        <w:t>(7)</w:t>
      </w:r>
      <w:r>
        <w:tab/>
        <w:t>If a notice ceases to have effect under subregulation (6), the Commissioner may issue another notice under this regulation specifying a new proposed issue day for the licence.</w:t>
      </w:r>
    </w:p>
    <w:p>
      <w:pPr>
        <w:pStyle w:val="Footnotesection"/>
      </w:pPr>
      <w:r>
        <w:tab/>
        <w:t>[Regulation 7B inserted in Gazette 24 Jun 2008 p. 2815-17; amended in Gazette 30 Jun 2011 p. 2667.]</w:t>
      </w:r>
    </w:p>
    <w:p>
      <w:pPr>
        <w:pStyle w:val="Heading5"/>
        <w:spacing w:before="180"/>
      </w:pPr>
      <w:bookmarkStart w:id="14" w:name="_Toc393111201"/>
      <w:r>
        <w:rPr>
          <w:rStyle w:val="CharSectno"/>
        </w:rPr>
        <w:t>7C</w:t>
      </w:r>
      <w:r>
        <w:t>.</w:t>
      </w:r>
      <w:r>
        <w:tab/>
        <w:t>Duplicate business licence, fee for (Act s. 25)</w:t>
      </w:r>
      <w:bookmarkEnd w:id="14"/>
    </w:p>
    <w:p>
      <w:pPr>
        <w:pStyle w:val="Subsection"/>
        <w:spacing w:before="120"/>
      </w:pPr>
      <w:r>
        <w:tab/>
      </w:r>
      <w:r>
        <w:tab/>
        <w:t>For the purposes of the Act section 25, the prescribed fee is $41.</w:t>
      </w:r>
    </w:p>
    <w:p>
      <w:pPr>
        <w:pStyle w:val="Footnotesection"/>
      </w:pPr>
      <w:r>
        <w:tab/>
        <w:t>[Regulation 7C inserted in Gazette 24 Jun 2008 p. 2817; amended in Gazette 23 Jun 2009 p. 2448; 22 Jun 2011 p. 2371; 15 Jun 2012 p. 2596; 27 Jun 2013 p. 2698; 17 Jun 2014 p. 1971.]</w:t>
      </w:r>
    </w:p>
    <w:p>
      <w:pPr>
        <w:pStyle w:val="Heading5"/>
      </w:pPr>
      <w:bookmarkStart w:id="15" w:name="_Toc393111202"/>
      <w:r>
        <w:rPr>
          <w:rStyle w:val="CharSectno"/>
        </w:rPr>
        <w:t>7D</w:t>
      </w:r>
      <w:r>
        <w:t>.</w:t>
      </w:r>
      <w:r>
        <w:tab/>
        <w:t>Business licences for autogas work, conditions etc. prescribed for (Act s. 28)</w:t>
      </w:r>
      <w:bookmarkEnd w:id="15"/>
    </w:p>
    <w:p>
      <w:pPr>
        <w:pStyle w:val="Subsection"/>
      </w:pPr>
      <w:r>
        <w:tab/>
      </w:r>
      <w:r>
        <w:tab/>
        <w:t xml:space="preserve">For the purposes of the Act section 28, the following conditions and restrictions are prescribed for a business licence for autogas work —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
          <w:bCs/>
          <w:i/>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w:t>
      </w:r>
    </w:p>
    <w:p>
      <w:pPr>
        <w:pStyle w:val="Heading5"/>
      </w:pPr>
      <w:bookmarkStart w:id="16" w:name="_Toc393111203"/>
      <w:r>
        <w:rPr>
          <w:rStyle w:val="CharSectno"/>
        </w:rPr>
        <w:t>7E</w:t>
      </w:r>
      <w:r>
        <w:t>.</w:t>
      </w:r>
      <w:r>
        <w:tab/>
        <w:t>Business licences, duration of (Act s. 30)</w:t>
      </w:r>
      <w:bookmarkEnd w:id="16"/>
    </w:p>
    <w:p>
      <w:pPr>
        <w:pStyle w:val="Subsection"/>
      </w:pPr>
      <w:r>
        <w:tab/>
        <w:t>(1)</w:t>
      </w:r>
      <w:r>
        <w:tab/>
        <w:t>For the purposes of the Act section 30, a business licence is to be issued for the following periods —</w:t>
      </w:r>
    </w:p>
    <w:p>
      <w:pPr>
        <w:pStyle w:val="Indenta"/>
      </w:pPr>
      <w:r>
        <w:tab/>
        <w:t>(a)</w:t>
      </w:r>
      <w:r>
        <w:tab/>
        <w:t>in the case of a transitional licence — the period determined in accordance with regulation 18 in respect of the licence;</w:t>
      </w:r>
    </w:p>
    <w:p>
      <w:pPr>
        <w:pStyle w:val="Indenta"/>
      </w:pPr>
      <w:r>
        <w:tab/>
        <w:t>(b)</w:t>
      </w:r>
      <w:r>
        <w:tab/>
        <w:t>in the case of a replacement licence — the period that is the same as the remaining period for which the old licence was to continue to be in force if it were not surrendered under the Act section 53 as provided under regulation 7B(5);</w:t>
      </w:r>
    </w:p>
    <w:p>
      <w:pPr>
        <w:pStyle w:val="Indenta"/>
      </w:pPr>
      <w:r>
        <w:tab/>
        <w:t>(c)</w:t>
      </w:r>
      <w:r>
        <w:tab/>
        <w:t>in any other case — 3 years.</w:t>
      </w:r>
    </w:p>
    <w:p>
      <w:pPr>
        <w:pStyle w:val="Subsection"/>
      </w:pPr>
      <w:r>
        <w:tab/>
        <w:t>(2)</w:t>
      </w:r>
      <w:r>
        <w:tab/>
        <w:t>For the purposes of the Act section 30, a business licence is to be renewed for a period of 3 years.</w:t>
      </w:r>
    </w:p>
    <w:p>
      <w:pPr>
        <w:pStyle w:val="Footnotesection"/>
      </w:pPr>
      <w:r>
        <w:tab/>
        <w:t>[Regulation 7E inserted in Gazette 24 Jun 2008 p. 2818.]</w:t>
      </w:r>
    </w:p>
    <w:p>
      <w:pPr>
        <w:pStyle w:val="Heading5"/>
      </w:pPr>
      <w:bookmarkStart w:id="17" w:name="_Toc393111204"/>
      <w:r>
        <w:rPr>
          <w:rStyle w:val="CharSectno"/>
        </w:rPr>
        <w:t>7F</w:t>
      </w:r>
      <w:r>
        <w:t>.</w:t>
      </w:r>
      <w:r>
        <w:tab/>
        <w:t>Renewal of licence, fees for (Act s. 31(3)(b))</w:t>
      </w:r>
      <w:bookmarkEnd w:id="17"/>
    </w:p>
    <w:p>
      <w:pPr>
        <w:pStyle w:val="Subsection"/>
      </w:pPr>
      <w:r>
        <w:tab/>
        <w:t>(1)</w:t>
      </w:r>
      <w:r>
        <w:tab/>
        <w:t xml:space="preserve">For the purposes of the Act section 31(3)(b), the prescribed fee is the sum of — </w:t>
      </w:r>
    </w:p>
    <w:p>
      <w:pPr>
        <w:pStyle w:val="Indenta"/>
      </w:pPr>
      <w:r>
        <w:tab/>
        <w:t>(a)</w:t>
      </w:r>
      <w:r>
        <w:tab/>
        <w:t>$161;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 regardless of the number of classes of repair work to which the application relates,</w:t>
      </w:r>
      <w:r>
        <w:rPr>
          <w:b/>
          <w:bCs/>
          <w:i/>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992" w:type="dxa"/>
          </w:tcPr>
          <w:p>
            <w:pPr>
              <w:pStyle w:val="TableNAm"/>
              <w:ind w:right="58"/>
              <w:jc w:val="right"/>
            </w:pPr>
            <w:r>
              <w:t>$698</w:t>
            </w:r>
          </w:p>
        </w:tc>
      </w:tr>
      <w:tr>
        <w:tc>
          <w:tcPr>
            <w:tcW w:w="658" w:type="dxa"/>
          </w:tcPr>
          <w:p>
            <w:pPr>
              <w:pStyle w:val="TableNAm"/>
            </w:pPr>
            <w:r>
              <w:t>2.</w:t>
            </w:r>
          </w:p>
        </w:tc>
        <w:tc>
          <w:tcPr>
            <w:tcW w:w="3118" w:type="dxa"/>
          </w:tcPr>
          <w:p>
            <w:pPr>
              <w:pStyle w:val="TableNAm"/>
            </w:pPr>
            <w:r>
              <w:t>3</w:t>
            </w:r>
          </w:p>
        </w:tc>
        <w:tc>
          <w:tcPr>
            <w:tcW w:w="992" w:type="dxa"/>
          </w:tcPr>
          <w:p>
            <w:pPr>
              <w:pStyle w:val="TableNAm"/>
              <w:ind w:right="58"/>
              <w:jc w:val="right"/>
            </w:pPr>
            <w:r>
              <w:t>$973</w:t>
            </w:r>
          </w:p>
        </w:tc>
      </w:tr>
      <w:tr>
        <w:tc>
          <w:tcPr>
            <w:tcW w:w="658" w:type="dxa"/>
          </w:tcPr>
          <w:p>
            <w:pPr>
              <w:pStyle w:val="TableNAm"/>
            </w:pPr>
            <w:r>
              <w:t>3.</w:t>
            </w:r>
          </w:p>
        </w:tc>
        <w:tc>
          <w:tcPr>
            <w:tcW w:w="3118" w:type="dxa"/>
          </w:tcPr>
          <w:p>
            <w:pPr>
              <w:pStyle w:val="TableNAm"/>
            </w:pPr>
            <w:r>
              <w:t>4</w:t>
            </w:r>
          </w:p>
        </w:tc>
        <w:tc>
          <w:tcPr>
            <w:tcW w:w="992" w:type="dxa"/>
          </w:tcPr>
          <w:p>
            <w:pPr>
              <w:pStyle w:val="TableNAm"/>
              <w:ind w:right="58"/>
              <w:jc w:val="right"/>
            </w:pPr>
            <w:r>
              <w:t>$1 215</w:t>
            </w:r>
          </w:p>
        </w:tc>
      </w:tr>
      <w:tr>
        <w:tc>
          <w:tcPr>
            <w:tcW w:w="658" w:type="dxa"/>
          </w:tcPr>
          <w:p>
            <w:pPr>
              <w:pStyle w:val="TableNAm"/>
            </w:pPr>
            <w:r>
              <w:t>4.</w:t>
            </w:r>
          </w:p>
        </w:tc>
        <w:tc>
          <w:tcPr>
            <w:tcW w:w="3118" w:type="dxa"/>
          </w:tcPr>
          <w:p>
            <w:pPr>
              <w:pStyle w:val="TableNAm"/>
            </w:pPr>
            <w:r>
              <w:t>5 to 7</w:t>
            </w:r>
          </w:p>
        </w:tc>
        <w:tc>
          <w:tcPr>
            <w:tcW w:w="992" w:type="dxa"/>
          </w:tcPr>
          <w:p>
            <w:pPr>
              <w:pStyle w:val="TableNAm"/>
              <w:ind w:right="58"/>
              <w:jc w:val="right"/>
            </w:pPr>
            <w:r>
              <w:t>$1 766</w:t>
            </w:r>
          </w:p>
        </w:tc>
      </w:tr>
      <w:tr>
        <w:tc>
          <w:tcPr>
            <w:tcW w:w="658" w:type="dxa"/>
          </w:tcPr>
          <w:p>
            <w:pPr>
              <w:pStyle w:val="TableNAm"/>
            </w:pPr>
            <w:r>
              <w:t>5.</w:t>
            </w:r>
          </w:p>
        </w:tc>
        <w:tc>
          <w:tcPr>
            <w:tcW w:w="3118" w:type="dxa"/>
          </w:tcPr>
          <w:p>
            <w:pPr>
              <w:pStyle w:val="TableNAm"/>
            </w:pPr>
            <w:r>
              <w:t>8 to 10</w:t>
            </w:r>
          </w:p>
        </w:tc>
        <w:tc>
          <w:tcPr>
            <w:tcW w:w="992" w:type="dxa"/>
          </w:tcPr>
          <w:p>
            <w:pPr>
              <w:pStyle w:val="TableNAm"/>
              <w:ind w:right="58"/>
              <w:jc w:val="right"/>
            </w:pPr>
            <w:r>
              <w:t>$2 248</w:t>
            </w:r>
          </w:p>
        </w:tc>
      </w:tr>
      <w:tr>
        <w:tc>
          <w:tcPr>
            <w:tcW w:w="658" w:type="dxa"/>
          </w:tcPr>
          <w:p>
            <w:pPr>
              <w:pStyle w:val="TableNAm"/>
            </w:pPr>
            <w:r>
              <w:t>6.</w:t>
            </w:r>
          </w:p>
        </w:tc>
        <w:tc>
          <w:tcPr>
            <w:tcW w:w="3118" w:type="dxa"/>
          </w:tcPr>
          <w:p>
            <w:pPr>
              <w:pStyle w:val="TableNAm"/>
            </w:pPr>
            <w:r>
              <w:t>11 or more</w:t>
            </w:r>
          </w:p>
        </w:tc>
        <w:tc>
          <w:tcPr>
            <w:tcW w:w="992" w:type="dxa"/>
          </w:tcPr>
          <w:p>
            <w:pPr>
              <w:pStyle w:val="TableNAm"/>
              <w:ind w:right="58"/>
              <w:jc w:val="right"/>
            </w:pPr>
            <w:r>
              <w:t>$2 833</w:t>
            </w:r>
          </w:p>
        </w:tc>
      </w:tr>
    </w:tbl>
    <w:p>
      <w:pPr>
        <w:pStyle w:val="Footnotesection"/>
      </w:pPr>
      <w:r>
        <w:tab/>
        <w:t>[Regulation 7F inserted in Gazette 24 Jun 2008 p. 2819; amended in Gazette 23 Jun 2009 p. 2448; 22 Jun 2011 p. 2371; 15 Jun 2012 p. 2596</w:t>
      </w:r>
      <w:r>
        <w:noBreakHyphen/>
        <w:t>7; 27 Jun 2013 p. 2699; 17 Jun 2014 p. 1971-2.]</w:t>
      </w:r>
    </w:p>
    <w:p>
      <w:pPr>
        <w:pStyle w:val="Heading5"/>
      </w:pPr>
      <w:bookmarkStart w:id="18" w:name="_Toc393111205"/>
      <w:r>
        <w:rPr>
          <w:rStyle w:val="CharSectno"/>
        </w:rPr>
        <w:t>7G</w:t>
      </w:r>
      <w:r>
        <w:t>.</w:t>
      </w:r>
      <w:r>
        <w:tab/>
        <w:t>Change of certain information, licensee to notify Commissioner of</w:t>
      </w:r>
      <w:bookmarkEnd w:id="18"/>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to which the business licence relates; and</w:t>
      </w:r>
    </w:p>
    <w:p>
      <w:pPr>
        <w:pStyle w:val="Defpara"/>
      </w:pPr>
      <w:r>
        <w:tab/>
        <w:t>(b)</w:t>
      </w:r>
      <w:r>
        <w:tab/>
        <w:t>if the business licence relates to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 amended in Gazette 30 Jun 2011 p. 2667.]</w:t>
      </w:r>
    </w:p>
    <w:p>
      <w:pPr>
        <w:pStyle w:val="Heading5"/>
      </w:pPr>
      <w:bookmarkStart w:id="19" w:name="_Toc393111206"/>
      <w:r>
        <w:rPr>
          <w:rStyle w:val="CharSectno"/>
        </w:rPr>
        <w:t>7H</w:t>
      </w:r>
      <w:r>
        <w:t>.</w:t>
      </w:r>
      <w:r>
        <w:tab/>
        <w:t>Exemption from requirement for planning certificate in Act s. 13, 58 and 60</w:t>
      </w:r>
      <w:bookmarkEnd w:id="19"/>
    </w:p>
    <w:p>
      <w:pPr>
        <w:pStyle w:val="Subsection"/>
      </w:pPr>
      <w:r>
        <w:tab/>
        <w:t>(1)</w:t>
      </w:r>
      <w:r>
        <w:tab/>
        <w:t xml:space="preserve">In this regulation — </w:t>
      </w:r>
    </w:p>
    <w:p>
      <w:pPr>
        <w:pStyle w:val="Defstart"/>
      </w:pPr>
      <w:r>
        <w:tab/>
      </w:r>
      <w:r>
        <w:rPr>
          <w:rStyle w:val="CharDefText"/>
        </w:rPr>
        <w:t>relevant day</w:t>
      </w:r>
      <w:r>
        <w:t xml:space="preserve"> means the day on which the </w:t>
      </w:r>
      <w:r>
        <w:rPr>
          <w:i/>
          <w:iCs/>
        </w:rPr>
        <w:t>Motor Vehicle Repairers Amendment Regulations 2009</w:t>
      </w:r>
      <w:r>
        <w:t>, other than regulations 1 and 2 of those regulations, come into operation</w:t>
      </w:r>
      <w:r>
        <w:rPr>
          <w:vertAlign w:val="superscript"/>
        </w:rPr>
        <w:t> 1</w:t>
      </w:r>
      <w:r>
        <w:t>.</w:t>
      </w:r>
    </w:p>
    <w:p>
      <w:pPr>
        <w:pStyle w:val="Subsection"/>
      </w:pPr>
      <w:r>
        <w:tab/>
        <w:t>(2)</w:t>
      </w:r>
      <w:r>
        <w:tab/>
        <w:t>On and after the relevant day, an application by an existing repair business for a business licence is exempt from the operation of sections 13(3)(b), 58(1)(b) and 60 of the Act in respect of each of the premises specified in the application.</w:t>
      </w:r>
    </w:p>
    <w:p>
      <w:pPr>
        <w:pStyle w:val="Footnotesection"/>
      </w:pPr>
      <w:r>
        <w:tab/>
        <w:t>[Regulation 7H inserted in Gazette 31 Mar 2009 p. 1021</w:t>
      </w:r>
      <w:r>
        <w:noBreakHyphen/>
        <w:t>2.]</w:t>
      </w:r>
    </w:p>
    <w:p>
      <w:pPr>
        <w:pStyle w:val="Heading2"/>
      </w:pPr>
      <w:bookmarkStart w:id="20" w:name="_Toc391647185"/>
      <w:bookmarkStart w:id="21" w:name="_Toc393111207"/>
      <w:r>
        <w:rPr>
          <w:rStyle w:val="CharPartNo"/>
        </w:rPr>
        <w:t>Part 2</w:t>
      </w:r>
      <w:r>
        <w:rPr>
          <w:rStyle w:val="CharDivNo"/>
        </w:rPr>
        <w:t> </w:t>
      </w:r>
      <w:r>
        <w:t>—</w:t>
      </w:r>
      <w:r>
        <w:rPr>
          <w:rStyle w:val="CharDivText"/>
        </w:rPr>
        <w:t> </w:t>
      </w:r>
      <w:r>
        <w:rPr>
          <w:rStyle w:val="CharPartText"/>
        </w:rPr>
        <w:t>Certification of individuals performing repair work</w:t>
      </w:r>
      <w:bookmarkEnd w:id="20"/>
      <w:bookmarkEnd w:id="21"/>
    </w:p>
    <w:p>
      <w:pPr>
        <w:pStyle w:val="Heading5"/>
      </w:pPr>
      <w:bookmarkStart w:id="22" w:name="_Toc393111208"/>
      <w:r>
        <w:rPr>
          <w:rStyle w:val="CharSectno"/>
        </w:rPr>
        <w:t>7</w:t>
      </w:r>
      <w:r>
        <w:t>.</w:t>
      </w:r>
      <w:r>
        <w:tab/>
        <w:t>Repairer’s certificate, fee for (Act s. 41(2)(b))</w:t>
      </w:r>
      <w:bookmarkEnd w:id="22"/>
    </w:p>
    <w:p>
      <w:pPr>
        <w:pStyle w:val="Subsection"/>
      </w:pPr>
      <w:r>
        <w:tab/>
      </w:r>
      <w:r>
        <w:tab/>
        <w:t>For the purposes of the Act section 41(2)(b), the prescribed fee, regardless of the number of classes of repair work, is $77.10.</w:t>
      </w:r>
    </w:p>
    <w:p>
      <w:pPr>
        <w:pStyle w:val="Footnotesection"/>
      </w:pPr>
      <w:r>
        <w:tab/>
        <w:t>[Regulation 7 amended in Gazette 17 Jun 2008 p. 2555; 24 Jun 2008 p. 2820; 23 Jun 2009 p. 2448; 22 Jun 2011 p. 2372; 15 Jun 2012 p. 2597; 27 Jun 2013 p. 2699; 17 Jun 2014 p. 1972.]</w:t>
      </w:r>
    </w:p>
    <w:p>
      <w:pPr>
        <w:pStyle w:val="Heading5"/>
      </w:pPr>
      <w:bookmarkStart w:id="23" w:name="_Toc393111209"/>
      <w:r>
        <w:rPr>
          <w:rStyle w:val="CharSectno"/>
        </w:rPr>
        <w:t>8</w:t>
      </w:r>
      <w:r>
        <w:t>.</w:t>
      </w:r>
      <w:r>
        <w:tab/>
        <w:t>Qualifications prescribed (Act s. 42(2)(a)(i))</w:t>
      </w:r>
      <w:bookmarkEnd w:id="23"/>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8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24" w:name="_Toc391647188"/>
      <w:bookmarkStart w:id="25" w:name="_Toc393111210"/>
      <w:r>
        <w:rPr>
          <w:rStyle w:val="CharPartNo"/>
        </w:rPr>
        <w:t>Part 3</w:t>
      </w:r>
      <w:r>
        <w:rPr>
          <w:b w:val="0"/>
        </w:rPr>
        <w:t> </w:t>
      </w:r>
      <w:r>
        <w:t>—</w:t>
      </w:r>
      <w:r>
        <w:rPr>
          <w:b w:val="0"/>
        </w:rPr>
        <w:t> </w:t>
      </w:r>
      <w:r>
        <w:rPr>
          <w:rStyle w:val="CharPartText"/>
        </w:rPr>
        <w:t>Provisions applicable to business licences and to certificates</w:t>
      </w:r>
      <w:bookmarkEnd w:id="24"/>
      <w:bookmarkEnd w:id="25"/>
    </w:p>
    <w:p>
      <w:pPr>
        <w:pStyle w:val="Footnoteheading"/>
      </w:pPr>
      <w:r>
        <w:tab/>
        <w:t>[Heading inserted in Gazette 24 Jun 2008 p. 2820.]</w:t>
      </w:r>
    </w:p>
    <w:p>
      <w:pPr>
        <w:pStyle w:val="Heading5"/>
      </w:pPr>
      <w:bookmarkStart w:id="26" w:name="_Toc393111211"/>
      <w:r>
        <w:rPr>
          <w:rStyle w:val="CharSectno"/>
        </w:rPr>
        <w:t>9</w:t>
      </w:r>
      <w:r>
        <w:t>.</w:t>
      </w:r>
      <w:r>
        <w:tab/>
        <w:t>Particulars etc. to be recorded in register (Act s. 50(1)(a))</w:t>
      </w:r>
      <w:bookmarkEnd w:id="26"/>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Indenta"/>
        <w:rPr>
          <w:color w:val="000000"/>
        </w:rPr>
      </w:pPr>
      <w:r>
        <w:rPr>
          <w:color w:val="000000"/>
        </w:rPr>
        <w:tab/>
        <w:t>(g)</w:t>
      </w:r>
      <w:r>
        <w:rPr>
          <w:color w:val="000000"/>
        </w:rPr>
        <w:tab/>
        <w:t>the class or classes of repair work to which the licence relates;</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
          <w:bCs/>
          <w:i/>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w:t>
      </w:r>
    </w:p>
    <w:p>
      <w:pPr>
        <w:pStyle w:val="Heading5"/>
      </w:pPr>
      <w:bookmarkStart w:id="27" w:name="_Toc393111212"/>
      <w:r>
        <w:rPr>
          <w:rStyle w:val="CharSectno"/>
        </w:rPr>
        <w:t>10</w:t>
      </w:r>
      <w:r>
        <w:t>.</w:t>
      </w:r>
      <w:r>
        <w:tab/>
        <w:t>Fees for inspecting, and obtaining copies of, register (Act s. 51)</w:t>
      </w:r>
      <w:bookmarkEnd w:id="27"/>
    </w:p>
    <w:p>
      <w:pPr>
        <w:pStyle w:val="Subsection"/>
      </w:pPr>
      <w:r>
        <w:tab/>
      </w:r>
      <w:r>
        <w:tab/>
        <w:t xml:space="preserve">For the purposes of the Act section 51, the prescribed fees in relation to a register are — </w:t>
      </w:r>
    </w:p>
    <w:p>
      <w:pPr>
        <w:pStyle w:val="Indenta"/>
      </w:pPr>
      <w:r>
        <w:tab/>
        <w:t>(a)</w:t>
      </w:r>
      <w:r>
        <w:tab/>
        <w:t>to inspect the register — $19.20;</w:t>
      </w:r>
    </w:p>
    <w:p>
      <w:pPr>
        <w:pStyle w:val="Indenta"/>
      </w:pPr>
      <w:r>
        <w:tab/>
        <w:t>(b)</w:t>
      </w:r>
      <w:r>
        <w:tab/>
        <w:t>to obtain a copy of one or more specific entries of the register — $19.20 for the first page and $3.80 for each subsequent page;</w:t>
      </w:r>
    </w:p>
    <w:p>
      <w:pPr>
        <w:pStyle w:val="Indenta"/>
      </w:pPr>
      <w:r>
        <w:tab/>
        <w:t>(c)</w:t>
      </w:r>
      <w:r>
        <w:tab/>
        <w:t>to obtain a copy of all entries in the register — $244.</w:t>
      </w:r>
    </w:p>
    <w:p>
      <w:pPr>
        <w:pStyle w:val="Footnotesection"/>
        <w:spacing w:before="100"/>
        <w:ind w:left="890" w:hanging="890"/>
      </w:pPr>
      <w:r>
        <w:tab/>
        <w:t>[Regulation 10 inserted in Gazette 17 Jun 2014 p. 1972.]</w:t>
      </w:r>
    </w:p>
    <w:p>
      <w:pPr>
        <w:pStyle w:val="Heading5"/>
      </w:pPr>
      <w:bookmarkStart w:id="28" w:name="_Toc393111213"/>
      <w:r>
        <w:rPr>
          <w:rStyle w:val="CharSectno"/>
        </w:rPr>
        <w:t>11</w:t>
      </w:r>
      <w:r>
        <w:t>.</w:t>
      </w:r>
      <w:r>
        <w:tab/>
        <w:t>Certified copy of certificate, fee for (Act s. 54(1))</w:t>
      </w:r>
      <w:bookmarkEnd w:id="28"/>
    </w:p>
    <w:p>
      <w:pPr>
        <w:pStyle w:val="Subsection"/>
      </w:pPr>
      <w:r>
        <w:tab/>
      </w:r>
      <w:r>
        <w:tab/>
        <w:t>For the purposes of the Act section 54(1), the prescribed fee is $42.30.</w:t>
      </w:r>
    </w:p>
    <w:p>
      <w:pPr>
        <w:pStyle w:val="Footnotesection"/>
      </w:pPr>
      <w:r>
        <w:tab/>
        <w:t>[Regulation 11 amended in Gazette 17 Jun 2008 p. 2555; 23 Jun 2009 p. 2449; 22 Jun 2011 p. 2372; 15 Jun 2012 p. 2597; 27 Jun 2013 p. 2700; 17 Jun 2014 p. 1972.]</w:t>
      </w:r>
    </w:p>
    <w:p>
      <w:pPr>
        <w:pStyle w:val="Heading2"/>
      </w:pPr>
      <w:bookmarkStart w:id="29" w:name="_Toc391647192"/>
      <w:bookmarkStart w:id="30" w:name="_Toc393111214"/>
      <w:r>
        <w:rPr>
          <w:rStyle w:val="CharPartNo"/>
        </w:rPr>
        <w:t>Part 4</w:t>
      </w:r>
      <w:r>
        <w:rPr>
          <w:b w:val="0"/>
        </w:rPr>
        <w:t> </w:t>
      </w:r>
      <w:r>
        <w:t>—</w:t>
      </w:r>
      <w:r>
        <w:rPr>
          <w:b w:val="0"/>
        </w:rPr>
        <w:t> </w:t>
      </w:r>
      <w:r>
        <w:rPr>
          <w:rStyle w:val="CharPartText"/>
        </w:rPr>
        <w:t>Miscellaneous</w:t>
      </w:r>
      <w:bookmarkEnd w:id="29"/>
      <w:bookmarkEnd w:id="30"/>
    </w:p>
    <w:p>
      <w:pPr>
        <w:pStyle w:val="Footnoteheading"/>
      </w:pPr>
      <w:r>
        <w:tab/>
        <w:t>[Heading inserted in Gazette 24 Jun 2008 p. 2822.]</w:t>
      </w:r>
    </w:p>
    <w:p>
      <w:pPr>
        <w:pStyle w:val="Heading5"/>
      </w:pPr>
      <w:bookmarkStart w:id="31" w:name="_Toc393111215"/>
      <w:r>
        <w:rPr>
          <w:rStyle w:val="CharSectno"/>
        </w:rPr>
        <w:t>12</w:t>
      </w:r>
      <w:r>
        <w:rPr>
          <w:color w:val="000000"/>
        </w:rPr>
        <w:t>.</w:t>
      </w:r>
      <w:r>
        <w:rPr>
          <w:color w:val="000000"/>
        </w:rPr>
        <w:tab/>
        <w:t>Changes of authorised premises, fees for (Act s. 61(1)(c))</w:t>
      </w:r>
      <w:bookmarkEnd w:id="31"/>
    </w:p>
    <w:p>
      <w:pPr>
        <w:pStyle w:val="Subsection"/>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pPr>
      <w:r>
        <w:rPr>
          <w:color w:val="000000"/>
        </w:rPr>
        <w:tab/>
        <w:t>(2)</w:t>
      </w:r>
      <w:r>
        <w:rPr>
          <w:color w:val="000000"/>
        </w:rPr>
        <w:tab/>
        <w:t xml:space="preserve">For the purposes of the Act section 61(1)(c), the prescribed fee is — </w:t>
      </w:r>
    </w:p>
    <w:p>
      <w:pPr>
        <w:pStyle w:val="Indenta"/>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$63.80 </w:t>
      </w:r>
      <w:r>
        <w:rPr>
          <w:color w:val="000000"/>
        </w:rPr>
        <w:t>for each of the mobile premises the particulars of which are to be added; and</w:t>
      </w:r>
    </w:p>
    <w:p>
      <w:pPr>
        <w:pStyle w:val="Indenta"/>
      </w:pPr>
      <w:r>
        <w:tab/>
        <w:t>(b)</w:t>
      </w:r>
      <w:r>
        <w:tab/>
        <w:t>if the application involves adding particulars of any fixed premises or substituting particulars of any premises with particulars of any fixed premises — $127 for each of the fixed premises the particulars of which are to be added.</w:t>
      </w:r>
    </w:p>
    <w:p>
      <w:pPr>
        <w:pStyle w:val="Footnotesection"/>
      </w:pPr>
      <w:r>
        <w:tab/>
        <w:t>[Regulation 12 inserted in Gazette 24 Jun 2008 p. 2822-3; amended in Gazette 23 Jun 2009 p. 2449; 22 Jun 2011 p. 2373; 15 Jun 2012 p. 2598; 27 Jun 2013 p. 2700; 17 Jun 2014 p. 1973.]</w:t>
      </w:r>
    </w:p>
    <w:p>
      <w:pPr>
        <w:pStyle w:val="Heading5"/>
      </w:pPr>
      <w:bookmarkStart w:id="32" w:name="_Toc393111216"/>
      <w:r>
        <w:rPr>
          <w:rStyle w:val="CharSectno"/>
        </w:rPr>
        <w:t>13</w:t>
      </w:r>
      <w:r>
        <w:t>.</w:t>
      </w:r>
      <w:r>
        <w:tab/>
        <w:t>Infringement notice offences and modified penalties (Act s. 98 and 99(1))</w:t>
      </w:r>
      <w:bookmarkEnd w:id="32"/>
    </w:p>
    <w:p>
      <w:pPr>
        <w:pStyle w:val="Subsection"/>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pPr>
      <w:r>
        <w:tab/>
        <w:t>(2)</w:t>
      </w:r>
      <w:r>
        <w:tab/>
        <w:t xml:space="preserve">For the purposes of the Act section 99(1), the modified penalty prescribed for the offence created by the provision specified in column 2 of an item in the Table to this regulation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pPr>
            <w:r>
              <w:rPr>
                <w:b/>
              </w:rPr>
              <w:t>Item</w:t>
            </w:r>
          </w:p>
        </w:tc>
        <w:tc>
          <w:tcPr>
            <w:tcW w:w="2202" w:type="dxa"/>
            <w:tcBorders>
              <w:top w:val="single" w:sz="4" w:space="0" w:color="auto"/>
              <w:bottom w:val="single" w:sz="4" w:space="0" w:color="auto"/>
            </w:tcBorders>
          </w:tcPr>
          <w:p>
            <w:pPr>
              <w:pStyle w:val="Table"/>
            </w:pPr>
            <w:r>
              <w:rPr>
                <w:b/>
              </w:rPr>
              <w:t>Provision</w:t>
            </w:r>
          </w:p>
        </w:tc>
        <w:tc>
          <w:tcPr>
            <w:tcW w:w="1589" w:type="dxa"/>
            <w:tcBorders>
              <w:top w:val="single" w:sz="4" w:space="0" w:color="auto"/>
              <w:bottom w:val="single" w:sz="4" w:space="0" w:color="auto"/>
            </w:tcBorders>
          </w:tcPr>
          <w:p>
            <w:pPr>
              <w:pStyle w:val="Table"/>
            </w:pPr>
            <w:r>
              <w:rPr>
                <w:b/>
              </w:rPr>
              <w:t>Modified penalty — individual</w:t>
            </w:r>
          </w:p>
        </w:tc>
        <w:tc>
          <w:tcPr>
            <w:tcW w:w="1737" w:type="dxa"/>
            <w:tcBorders>
              <w:top w:val="single" w:sz="4" w:space="0" w:color="auto"/>
              <w:bottom w:val="single" w:sz="4" w:space="0" w:color="auto"/>
            </w:tcBorders>
          </w:tcPr>
          <w:p>
            <w:pPr>
              <w:pStyle w:val="Table"/>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pPr>
      <w:r>
        <w:tab/>
        <w:t>[Regulation 13 inserted in Gazette 24 Jun 2008 p. 2823-4.]</w:t>
      </w:r>
    </w:p>
    <w:p>
      <w:pPr>
        <w:pStyle w:val="Heading5"/>
      </w:pPr>
      <w:bookmarkStart w:id="33" w:name="_Toc393111217"/>
      <w:r>
        <w:rPr>
          <w:rStyle w:val="CharSectno"/>
        </w:rPr>
        <w:t>14</w:t>
      </w:r>
      <w:r>
        <w:t>.</w:t>
      </w:r>
      <w:r>
        <w:tab/>
        <w:t>Infringement notice and withdrawal notice, forms of (Act s. 101(1) and 103(1))</w:t>
      </w:r>
      <w:bookmarkEnd w:id="33"/>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34" w:name="_Toc393111218"/>
      <w:r>
        <w:rPr>
          <w:rStyle w:val="CharSectno"/>
        </w:rPr>
        <w:t>15</w:t>
      </w:r>
      <w:r>
        <w:t>.</w:t>
      </w:r>
      <w:r>
        <w:tab/>
        <w:t>Refund of fee on withdrawal or refusal of certain applications</w:t>
      </w:r>
      <w:bookmarkEnd w:id="34"/>
    </w:p>
    <w:p>
      <w:pPr>
        <w:pStyle w:val="Subsection"/>
        <w:spacing w:before="180"/>
      </w:pPr>
      <w:r>
        <w:tab/>
        <w:t>(1)</w:t>
      </w:r>
      <w:r>
        <w:tab/>
        <w:t>This regulation does not apply to or in relation to a transitional application or replacement application.</w:t>
      </w:r>
    </w:p>
    <w:p>
      <w:pPr>
        <w:pStyle w:val="Subsection"/>
        <w:spacing w:before="180"/>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spacing w:before="180"/>
      </w:pPr>
      <w:r>
        <w:tab/>
        <w:t>(3)</w:t>
      </w:r>
      <w:r>
        <w:tab/>
        <w:t>If the Commissioner refuses an application made under the Act section 15, 17, 19 or 31, the Commissioner must refund to the applicant the amount paid under regulation 7A(1)(c)(ii) or 7F(1)(b), as the case requires.</w:t>
      </w:r>
    </w:p>
    <w:p>
      <w:pPr>
        <w:pStyle w:val="Subsection"/>
        <w:spacing w:before="180"/>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in Gazette 24 Jun 2008 p. 2824-5; amended in Gazette 30 Jun 2011 p. 2667.]</w:t>
      </w:r>
    </w:p>
    <w:p>
      <w:pPr>
        <w:pStyle w:val="Heading5"/>
        <w:spacing w:before="260"/>
      </w:pPr>
      <w:bookmarkStart w:id="35" w:name="_Toc393111219"/>
      <w:r>
        <w:rPr>
          <w:rStyle w:val="CharSectno"/>
        </w:rPr>
        <w:t>16</w:t>
      </w:r>
      <w:r>
        <w:t>.</w:t>
      </w:r>
      <w:r>
        <w:tab/>
        <w:t>Refund or waiver of fee etc. on withdrawal or refusal of replacement applications</w:t>
      </w:r>
      <w:bookmarkEnd w:id="35"/>
    </w:p>
    <w:p>
      <w:pPr>
        <w:pStyle w:val="Subsection"/>
        <w:spacing w:before="180"/>
      </w:pPr>
      <w:r>
        <w:tab/>
        <w:t>(1)</w:t>
      </w:r>
      <w:r>
        <w:tab/>
        <w:t>If an applicant withdraws a replacement application, the Commissioner must refund to the applicant so much (if any) of the amount paid under regulation 7A(1)(b)(i) as the Commissioner determines to be appropriate.</w:t>
      </w:r>
    </w:p>
    <w:p>
      <w:pPr>
        <w:pStyle w:val="Subsection"/>
        <w:keepNext/>
      </w:pPr>
      <w:r>
        <w:tab/>
        <w:t>(2)</w:t>
      </w:r>
      <w:r>
        <w:tab/>
        <w:t xml:space="preserve">If a replacement application is taken to have been withdrawn under regulation 7B(6), the Commissioner must — </w:t>
      </w:r>
    </w:p>
    <w:p>
      <w:pPr>
        <w:pStyle w:val="Indenta"/>
      </w:pPr>
      <w:r>
        <w:tab/>
        <w:t>(a)</w:t>
      </w:r>
      <w:r>
        <w:tab/>
        <w:t>if any amount of required payment was received by the Commissioner — refund the amount to the applicant;</w:t>
      </w:r>
    </w:p>
    <w:p>
      <w:pPr>
        <w:pStyle w:val="Indenta"/>
        <w:rPr>
          <w:b/>
          <w:bCs/>
          <w:i/>
          <w:iCs/>
        </w:rPr>
      </w:pPr>
      <w:r>
        <w:tab/>
        <w:t>(b)</w:t>
      </w:r>
      <w:r>
        <w:tab/>
        <w:t>if the old licence was returned to the Commissioner — return the licence to the applicant.</w:t>
      </w:r>
    </w:p>
    <w:p>
      <w:pPr>
        <w:pStyle w:val="Subsection"/>
      </w:pPr>
      <w:r>
        <w:tab/>
        <w:t>(3)</w:t>
      </w:r>
      <w:r>
        <w:tab/>
        <w:t>If the Commissioner proposes to refuse a replacement application,</w:t>
      </w:r>
      <w:r>
        <w:rPr>
          <w:color w:val="000000"/>
        </w:rPr>
        <w:t xml:space="preserve"> </w:t>
      </w:r>
      <w:r>
        <w:t>the Commissioner must waive the amount payable under regulation 7A(1)(b)(ii) in respect of the application.</w:t>
      </w:r>
    </w:p>
    <w:p>
      <w:pPr>
        <w:pStyle w:val="Footnotesection"/>
      </w:pPr>
      <w:r>
        <w:tab/>
        <w:t>[Regulation 16 inserted in Gazette 24 Jun 2008 p. 2825; amended in Gazette 30 Jun 2011 p. 2667.]</w:t>
      </w:r>
    </w:p>
    <w:p>
      <w:pPr>
        <w:pStyle w:val="Heading2"/>
      </w:pPr>
      <w:bookmarkStart w:id="36" w:name="_Toc391647198"/>
      <w:bookmarkStart w:id="37" w:name="_Toc393111220"/>
      <w:r>
        <w:rPr>
          <w:rStyle w:val="CharPartNo"/>
        </w:rPr>
        <w:t>Part 5</w:t>
      </w:r>
      <w:r>
        <w:rPr>
          <w:b w:val="0"/>
        </w:rPr>
        <w:t> </w:t>
      </w:r>
      <w:r>
        <w:t>—</w:t>
      </w:r>
      <w:r>
        <w:rPr>
          <w:b w:val="0"/>
        </w:rPr>
        <w:t> </w:t>
      </w:r>
      <w:r>
        <w:rPr>
          <w:rStyle w:val="CharPartText"/>
        </w:rPr>
        <w:t>Transitional matters</w:t>
      </w:r>
      <w:bookmarkEnd w:id="36"/>
      <w:bookmarkEnd w:id="37"/>
    </w:p>
    <w:p>
      <w:pPr>
        <w:pStyle w:val="Footnoteheading"/>
      </w:pPr>
      <w:r>
        <w:tab/>
        <w:t>[Heading inserted in Gazette 24 Jun 2008 p. 2825.]</w:t>
      </w:r>
    </w:p>
    <w:p>
      <w:pPr>
        <w:pStyle w:val="Heading5"/>
      </w:pPr>
      <w:bookmarkStart w:id="38" w:name="_Toc393111221"/>
      <w:r>
        <w:rPr>
          <w:rStyle w:val="CharSectno"/>
        </w:rPr>
        <w:t>17</w:t>
      </w:r>
      <w:r>
        <w:t>.</w:t>
      </w:r>
      <w:r>
        <w:tab/>
        <w:t>Application of Part</w:t>
      </w:r>
      <w:bookmarkEnd w:id="38"/>
    </w:p>
    <w:p>
      <w:pPr>
        <w:pStyle w:val="Subsection"/>
      </w:pPr>
      <w:r>
        <w:rPr>
          <w:color w:val="000000"/>
        </w:rPr>
        <w:tab/>
      </w:r>
      <w:r>
        <w:rPr>
          <w:color w:val="000000"/>
        </w:rPr>
        <w:tab/>
        <w:t>This Part applies to and in relation to transitional applications and transitional licences.</w:t>
      </w:r>
    </w:p>
    <w:p>
      <w:pPr>
        <w:pStyle w:val="Footnotesection"/>
      </w:pPr>
      <w:r>
        <w:tab/>
        <w:t>[Regulation 17 inserted in Gazette 24 Jun 2008 p. 2825.]</w:t>
      </w:r>
    </w:p>
    <w:p>
      <w:pPr>
        <w:pStyle w:val="Heading5"/>
      </w:pPr>
      <w:bookmarkStart w:id="39" w:name="_Toc393111222"/>
      <w:r>
        <w:rPr>
          <w:rStyle w:val="CharSectno"/>
        </w:rPr>
        <w:t>18</w:t>
      </w:r>
      <w:r>
        <w:t>.</w:t>
      </w:r>
      <w:r>
        <w:tab/>
        <w:t>Duration of transitional licences</w:t>
      </w:r>
      <w:bookmarkEnd w:id="39"/>
    </w:p>
    <w:p>
      <w:pPr>
        <w:pStyle w:val="Subsection"/>
      </w:pPr>
      <w:r>
        <w:tab/>
        <w:t>(1)</w:t>
      </w:r>
      <w:r>
        <w:tab/>
        <w:t xml:space="preserve">In this regulation — </w:t>
      </w:r>
    </w:p>
    <w:p>
      <w:pPr>
        <w:pStyle w:val="Defstart"/>
      </w:pPr>
      <w:r>
        <w:rPr>
          <w:b/>
        </w:rPr>
        <w:tab/>
      </w:r>
      <w:r>
        <w:rPr>
          <w:rStyle w:val="CharDefText"/>
        </w:rPr>
        <w:t>round of licence notices</w:t>
      </w:r>
      <w:r>
        <w:t>, in relation to a month specified in column 1 of the Table to this definition, means a round constituted by the number of licence notices specified, in column 2 of the Table opposite that month, as the number of licence notices constituting a round.</w:t>
      </w:r>
    </w:p>
    <w:p>
      <w:pPr>
        <w:pStyle w:val="MiscellaneousHeading"/>
        <w:spacing w:after="80"/>
        <w:ind w:left="1321"/>
      </w:pPr>
      <w:r>
        <w:rPr>
          <w:b/>
        </w:rPr>
        <w:t>Table</w:t>
      </w:r>
    </w:p>
    <w:tbl>
      <w:tblPr>
        <w:tblW w:w="5662" w:type="dxa"/>
        <w:tblInd w:w="1526" w:type="dxa"/>
        <w:tblLayout w:type="fixed"/>
        <w:tblLook w:val="0000" w:firstRow="0" w:lastRow="0" w:firstColumn="0" w:lastColumn="0" w:noHBand="0" w:noVBand="0"/>
      </w:tblPr>
      <w:tblGrid>
        <w:gridCol w:w="2126"/>
        <w:gridCol w:w="284"/>
        <w:gridCol w:w="3252"/>
      </w:tblGrid>
      <w:tr>
        <w:trPr>
          <w:tblHeader/>
        </w:trPr>
        <w:tc>
          <w:tcPr>
            <w:tcW w:w="2410" w:type="dxa"/>
            <w:gridSpan w:val="2"/>
            <w:tcBorders>
              <w:top w:val="single" w:sz="4" w:space="0" w:color="auto"/>
              <w:bottom w:val="single" w:sz="4" w:space="0" w:color="auto"/>
            </w:tcBorders>
          </w:tcPr>
          <w:p>
            <w:pPr>
              <w:pStyle w:val="Table"/>
              <w:jc w:val="center"/>
            </w:pPr>
            <w:r>
              <w:rPr>
                <w:b/>
              </w:rPr>
              <w:t>Month in which licence is to be issued</w:t>
            </w:r>
          </w:p>
        </w:tc>
        <w:tc>
          <w:tcPr>
            <w:tcW w:w="3252" w:type="dxa"/>
            <w:tcBorders>
              <w:top w:val="single" w:sz="4" w:space="0" w:color="auto"/>
              <w:bottom w:val="single" w:sz="4" w:space="0" w:color="auto"/>
            </w:tcBorders>
          </w:tcPr>
          <w:p>
            <w:pPr>
              <w:pStyle w:val="Table"/>
              <w:jc w:val="center"/>
            </w:pPr>
            <w:r>
              <w:rPr>
                <w:b/>
              </w:rPr>
              <w:t>Number of licence notices constituting a round</w:t>
            </w:r>
          </w:p>
        </w:tc>
      </w:tr>
      <w:tr>
        <w:tc>
          <w:tcPr>
            <w:tcW w:w="2126" w:type="dxa"/>
          </w:tcPr>
          <w:p>
            <w:pPr>
              <w:pStyle w:val="Table"/>
              <w:jc w:val="center"/>
            </w:pPr>
            <w:r>
              <w:t>August 2008</w:t>
            </w:r>
          </w:p>
        </w:tc>
        <w:tc>
          <w:tcPr>
            <w:tcW w:w="3536" w:type="dxa"/>
            <w:gridSpan w:val="2"/>
          </w:tcPr>
          <w:p>
            <w:pPr>
              <w:pStyle w:val="Table"/>
              <w:jc w:val="center"/>
            </w:pPr>
            <w:r>
              <w:t>24</w:t>
            </w:r>
          </w:p>
        </w:tc>
      </w:tr>
      <w:tr>
        <w:tc>
          <w:tcPr>
            <w:tcW w:w="2126" w:type="dxa"/>
          </w:tcPr>
          <w:p>
            <w:pPr>
              <w:pStyle w:val="Table"/>
              <w:spacing w:before="0"/>
              <w:jc w:val="center"/>
            </w:pPr>
            <w:r>
              <w:t>September 2008</w:t>
            </w:r>
          </w:p>
        </w:tc>
        <w:tc>
          <w:tcPr>
            <w:tcW w:w="3536" w:type="dxa"/>
            <w:gridSpan w:val="2"/>
          </w:tcPr>
          <w:p>
            <w:pPr>
              <w:pStyle w:val="Table"/>
              <w:spacing w:before="0"/>
              <w:jc w:val="center"/>
            </w:pPr>
            <w:r>
              <w:t>23</w:t>
            </w:r>
          </w:p>
        </w:tc>
      </w:tr>
      <w:tr>
        <w:tc>
          <w:tcPr>
            <w:tcW w:w="2126" w:type="dxa"/>
          </w:tcPr>
          <w:p>
            <w:pPr>
              <w:pStyle w:val="Table"/>
              <w:spacing w:before="0"/>
              <w:jc w:val="center"/>
            </w:pPr>
            <w:r>
              <w:t>October 2008</w:t>
            </w:r>
          </w:p>
        </w:tc>
        <w:tc>
          <w:tcPr>
            <w:tcW w:w="3536" w:type="dxa"/>
            <w:gridSpan w:val="2"/>
          </w:tcPr>
          <w:p>
            <w:pPr>
              <w:pStyle w:val="Table"/>
              <w:spacing w:before="0"/>
              <w:jc w:val="center"/>
            </w:pPr>
            <w:r>
              <w:t>22</w:t>
            </w:r>
          </w:p>
        </w:tc>
      </w:tr>
      <w:tr>
        <w:tc>
          <w:tcPr>
            <w:tcW w:w="2126" w:type="dxa"/>
          </w:tcPr>
          <w:p>
            <w:pPr>
              <w:pStyle w:val="Table"/>
              <w:spacing w:before="0"/>
              <w:jc w:val="center"/>
            </w:pPr>
            <w:r>
              <w:t>November 2008</w:t>
            </w:r>
          </w:p>
        </w:tc>
        <w:tc>
          <w:tcPr>
            <w:tcW w:w="3536" w:type="dxa"/>
            <w:gridSpan w:val="2"/>
          </w:tcPr>
          <w:p>
            <w:pPr>
              <w:pStyle w:val="Table"/>
              <w:spacing w:before="0"/>
              <w:jc w:val="center"/>
            </w:pPr>
            <w:r>
              <w:t>21</w:t>
            </w:r>
          </w:p>
        </w:tc>
      </w:tr>
      <w:tr>
        <w:tc>
          <w:tcPr>
            <w:tcW w:w="2126" w:type="dxa"/>
          </w:tcPr>
          <w:p>
            <w:pPr>
              <w:pStyle w:val="Table"/>
              <w:spacing w:before="0"/>
              <w:jc w:val="center"/>
            </w:pPr>
            <w:r>
              <w:t>December 2008</w:t>
            </w:r>
          </w:p>
        </w:tc>
        <w:tc>
          <w:tcPr>
            <w:tcW w:w="3536" w:type="dxa"/>
            <w:gridSpan w:val="2"/>
          </w:tcPr>
          <w:p>
            <w:pPr>
              <w:jc w:val="center"/>
              <w:rPr>
                <w:sz w:val="22"/>
              </w:rPr>
            </w:pPr>
            <w:r>
              <w:rPr>
                <w:sz w:val="22"/>
              </w:rPr>
              <w:t>20</w:t>
            </w:r>
          </w:p>
        </w:tc>
      </w:tr>
      <w:tr>
        <w:tc>
          <w:tcPr>
            <w:tcW w:w="2126" w:type="dxa"/>
          </w:tcPr>
          <w:p>
            <w:pPr>
              <w:pStyle w:val="Table"/>
              <w:spacing w:before="0"/>
              <w:jc w:val="center"/>
            </w:pPr>
            <w:r>
              <w:t>January 2009</w:t>
            </w:r>
          </w:p>
        </w:tc>
        <w:tc>
          <w:tcPr>
            <w:tcW w:w="3536" w:type="dxa"/>
            <w:gridSpan w:val="2"/>
          </w:tcPr>
          <w:p>
            <w:pPr>
              <w:jc w:val="center"/>
              <w:rPr>
                <w:sz w:val="22"/>
              </w:rPr>
            </w:pPr>
            <w:r>
              <w:rPr>
                <w:sz w:val="22"/>
              </w:rPr>
              <w:t>19</w:t>
            </w:r>
          </w:p>
        </w:tc>
      </w:tr>
      <w:tr>
        <w:tc>
          <w:tcPr>
            <w:tcW w:w="2126" w:type="dxa"/>
          </w:tcPr>
          <w:p>
            <w:pPr>
              <w:pStyle w:val="Table"/>
              <w:spacing w:before="0"/>
              <w:jc w:val="center"/>
            </w:pPr>
            <w:r>
              <w:t>February 2009</w:t>
            </w:r>
          </w:p>
        </w:tc>
        <w:tc>
          <w:tcPr>
            <w:tcW w:w="3536" w:type="dxa"/>
            <w:gridSpan w:val="2"/>
          </w:tcPr>
          <w:p>
            <w:pPr>
              <w:jc w:val="center"/>
              <w:rPr>
                <w:sz w:val="22"/>
              </w:rPr>
            </w:pPr>
            <w:r>
              <w:rPr>
                <w:sz w:val="22"/>
              </w:rPr>
              <w:t>18</w:t>
            </w:r>
          </w:p>
        </w:tc>
      </w:tr>
      <w:tr>
        <w:tc>
          <w:tcPr>
            <w:tcW w:w="2126" w:type="dxa"/>
          </w:tcPr>
          <w:p>
            <w:pPr>
              <w:pStyle w:val="Table"/>
              <w:spacing w:before="0"/>
              <w:jc w:val="center"/>
            </w:pPr>
            <w:r>
              <w:t>March 2009</w:t>
            </w:r>
          </w:p>
        </w:tc>
        <w:tc>
          <w:tcPr>
            <w:tcW w:w="3536" w:type="dxa"/>
            <w:gridSpan w:val="2"/>
          </w:tcPr>
          <w:p>
            <w:pPr>
              <w:jc w:val="center"/>
              <w:rPr>
                <w:sz w:val="22"/>
              </w:rPr>
            </w:pPr>
            <w:r>
              <w:rPr>
                <w:sz w:val="22"/>
              </w:rPr>
              <w:t>17</w:t>
            </w:r>
          </w:p>
        </w:tc>
      </w:tr>
      <w:tr>
        <w:tc>
          <w:tcPr>
            <w:tcW w:w="2126" w:type="dxa"/>
          </w:tcPr>
          <w:p>
            <w:pPr>
              <w:pStyle w:val="Table"/>
              <w:spacing w:before="0"/>
              <w:jc w:val="center"/>
            </w:pPr>
            <w:r>
              <w:t>April 2009</w:t>
            </w:r>
          </w:p>
        </w:tc>
        <w:tc>
          <w:tcPr>
            <w:tcW w:w="3536" w:type="dxa"/>
            <w:gridSpan w:val="2"/>
          </w:tcPr>
          <w:p>
            <w:pPr>
              <w:jc w:val="center"/>
              <w:rPr>
                <w:sz w:val="22"/>
              </w:rPr>
            </w:pPr>
            <w:r>
              <w:rPr>
                <w:sz w:val="22"/>
              </w:rPr>
              <w:t>16</w:t>
            </w:r>
          </w:p>
        </w:tc>
      </w:tr>
      <w:tr>
        <w:tc>
          <w:tcPr>
            <w:tcW w:w="2126" w:type="dxa"/>
          </w:tcPr>
          <w:p>
            <w:pPr>
              <w:pStyle w:val="Table"/>
              <w:spacing w:before="0"/>
              <w:jc w:val="center"/>
            </w:pPr>
            <w:r>
              <w:t>May 2009</w:t>
            </w:r>
          </w:p>
        </w:tc>
        <w:tc>
          <w:tcPr>
            <w:tcW w:w="3536" w:type="dxa"/>
            <w:gridSpan w:val="2"/>
          </w:tcPr>
          <w:p>
            <w:pPr>
              <w:pStyle w:val="Table"/>
              <w:spacing w:before="0"/>
              <w:jc w:val="center"/>
            </w:pPr>
            <w:r>
              <w:t>15</w:t>
            </w:r>
          </w:p>
        </w:tc>
      </w:tr>
      <w:tr>
        <w:tc>
          <w:tcPr>
            <w:tcW w:w="2126" w:type="dxa"/>
          </w:tcPr>
          <w:p>
            <w:pPr>
              <w:pStyle w:val="Table"/>
              <w:spacing w:before="0"/>
              <w:jc w:val="center"/>
            </w:pPr>
            <w:r>
              <w:t>June 2009</w:t>
            </w:r>
          </w:p>
        </w:tc>
        <w:tc>
          <w:tcPr>
            <w:tcW w:w="3536" w:type="dxa"/>
            <w:gridSpan w:val="2"/>
          </w:tcPr>
          <w:p>
            <w:pPr>
              <w:jc w:val="center"/>
              <w:rPr>
                <w:sz w:val="22"/>
              </w:rPr>
            </w:pPr>
            <w:r>
              <w:rPr>
                <w:sz w:val="22"/>
              </w:rPr>
              <w:t>14</w:t>
            </w:r>
          </w:p>
        </w:tc>
      </w:tr>
      <w:tr>
        <w:tc>
          <w:tcPr>
            <w:tcW w:w="2126" w:type="dxa"/>
          </w:tcPr>
          <w:p>
            <w:pPr>
              <w:pStyle w:val="Table"/>
              <w:spacing w:before="0"/>
              <w:jc w:val="center"/>
            </w:pPr>
            <w:r>
              <w:t>July 2009</w:t>
            </w:r>
          </w:p>
        </w:tc>
        <w:tc>
          <w:tcPr>
            <w:tcW w:w="3536" w:type="dxa"/>
            <w:gridSpan w:val="2"/>
          </w:tcPr>
          <w:p>
            <w:pPr>
              <w:pStyle w:val="Table"/>
              <w:spacing w:before="0"/>
              <w:jc w:val="center"/>
            </w:pPr>
            <w:r>
              <w:t>13</w:t>
            </w:r>
          </w:p>
        </w:tc>
      </w:tr>
      <w:tr>
        <w:tc>
          <w:tcPr>
            <w:tcW w:w="2126" w:type="dxa"/>
          </w:tcPr>
          <w:p>
            <w:pPr>
              <w:pStyle w:val="Table"/>
              <w:spacing w:before="0"/>
              <w:jc w:val="center"/>
            </w:pPr>
            <w:r>
              <w:t>August 2009</w:t>
            </w:r>
          </w:p>
        </w:tc>
        <w:tc>
          <w:tcPr>
            <w:tcW w:w="3536" w:type="dxa"/>
            <w:gridSpan w:val="2"/>
          </w:tcPr>
          <w:p>
            <w:pPr>
              <w:pStyle w:val="Table"/>
              <w:spacing w:before="0"/>
              <w:jc w:val="center"/>
            </w:pPr>
            <w:r>
              <w:t>12</w:t>
            </w:r>
          </w:p>
        </w:tc>
      </w:tr>
      <w:tr>
        <w:tc>
          <w:tcPr>
            <w:tcW w:w="2126" w:type="dxa"/>
          </w:tcPr>
          <w:p>
            <w:pPr>
              <w:pStyle w:val="Table"/>
              <w:spacing w:before="0"/>
              <w:jc w:val="center"/>
            </w:pPr>
            <w:r>
              <w:t>September 2009</w:t>
            </w:r>
          </w:p>
        </w:tc>
        <w:tc>
          <w:tcPr>
            <w:tcW w:w="3536" w:type="dxa"/>
            <w:gridSpan w:val="2"/>
          </w:tcPr>
          <w:p>
            <w:pPr>
              <w:jc w:val="center"/>
              <w:rPr>
                <w:sz w:val="22"/>
              </w:rPr>
            </w:pPr>
            <w:r>
              <w:rPr>
                <w:sz w:val="22"/>
              </w:rPr>
              <w:t>11</w:t>
            </w:r>
          </w:p>
        </w:tc>
      </w:tr>
      <w:tr>
        <w:tc>
          <w:tcPr>
            <w:tcW w:w="2126" w:type="dxa"/>
          </w:tcPr>
          <w:p>
            <w:pPr>
              <w:pStyle w:val="Table"/>
              <w:spacing w:before="0"/>
              <w:jc w:val="center"/>
            </w:pPr>
            <w:r>
              <w:t>October 2009</w:t>
            </w:r>
          </w:p>
        </w:tc>
        <w:tc>
          <w:tcPr>
            <w:tcW w:w="3536" w:type="dxa"/>
            <w:gridSpan w:val="2"/>
          </w:tcPr>
          <w:p>
            <w:pPr>
              <w:pStyle w:val="Table"/>
              <w:spacing w:before="0"/>
              <w:jc w:val="center"/>
            </w:pPr>
            <w:r>
              <w:t>10</w:t>
            </w:r>
          </w:p>
        </w:tc>
      </w:tr>
      <w:tr>
        <w:tc>
          <w:tcPr>
            <w:tcW w:w="2126" w:type="dxa"/>
          </w:tcPr>
          <w:p>
            <w:pPr>
              <w:pStyle w:val="Table"/>
              <w:spacing w:before="0"/>
              <w:jc w:val="center"/>
            </w:pPr>
            <w:r>
              <w:t>November 2009</w:t>
            </w:r>
          </w:p>
        </w:tc>
        <w:tc>
          <w:tcPr>
            <w:tcW w:w="3536" w:type="dxa"/>
            <w:gridSpan w:val="2"/>
          </w:tcPr>
          <w:p>
            <w:pPr>
              <w:pStyle w:val="Table"/>
              <w:spacing w:before="0"/>
              <w:jc w:val="center"/>
            </w:pPr>
            <w:r>
              <w:t>9</w:t>
            </w:r>
          </w:p>
        </w:tc>
      </w:tr>
      <w:tr>
        <w:tc>
          <w:tcPr>
            <w:tcW w:w="2126" w:type="dxa"/>
            <w:tcBorders>
              <w:bottom w:val="single" w:sz="4" w:space="0" w:color="auto"/>
            </w:tcBorders>
          </w:tcPr>
          <w:p>
            <w:pPr>
              <w:pStyle w:val="Table"/>
              <w:spacing w:before="0"/>
              <w:jc w:val="center"/>
            </w:pPr>
            <w:r>
              <w:t>December 2009</w:t>
            </w:r>
          </w:p>
        </w:tc>
        <w:tc>
          <w:tcPr>
            <w:tcW w:w="3536" w:type="dxa"/>
            <w:gridSpan w:val="2"/>
            <w:tcBorders>
              <w:bottom w:val="single" w:sz="4" w:space="0" w:color="auto"/>
            </w:tcBorders>
          </w:tcPr>
          <w:p>
            <w:pPr>
              <w:jc w:val="center"/>
              <w:rPr>
                <w:sz w:val="22"/>
              </w:rPr>
            </w:pPr>
            <w:r>
              <w:rPr>
                <w:sz w:val="22"/>
              </w:rPr>
              <w:t>8</w:t>
            </w:r>
          </w:p>
        </w:tc>
      </w:tr>
    </w:tbl>
    <w:p>
      <w:pPr>
        <w:pStyle w:val="Subsection"/>
      </w:pPr>
      <w:r>
        <w:tab/>
        <w:t>(2)</w:t>
      </w:r>
      <w:r>
        <w:tab/>
        <w:t xml:space="preserve">For the purposes of regulation 7E(1)(a), the period in respect of a transitional licence is to be determined as follows — </w:t>
      </w:r>
    </w:p>
    <w:p>
      <w:pPr>
        <w:pStyle w:val="Indenta"/>
      </w:pPr>
      <w:r>
        <w:tab/>
        <w:t>(a)</w:t>
      </w:r>
      <w:r>
        <w:tab/>
        <w:t xml:space="preserve">ascertain, in accordance with the definition of </w:t>
      </w:r>
      <w:r>
        <w:rPr>
          <w:b/>
          <w:i/>
        </w:rPr>
        <w:t>round of licence notices</w:t>
      </w:r>
      <w:r>
        <w:t>, the number of licence notices constituting a round of licence notices for the month in which the licence is to be issued;</w:t>
      </w:r>
    </w:p>
    <w:p>
      <w:pPr>
        <w:pStyle w:val="Indenta"/>
      </w:pPr>
      <w:r>
        <w:tab/>
        <w:t>(b)</w:t>
      </w:r>
      <w:r>
        <w:tab/>
        <w:t>ascertain the order in which the licence notice for the licence is to be issued in the current round of licence notices for that month;</w:t>
      </w:r>
    </w:p>
    <w:p>
      <w:pPr>
        <w:pStyle w:val="Indenta"/>
      </w:pPr>
      <w:r>
        <w:tab/>
        <w:t>(c)</w:t>
      </w:r>
      <w:r>
        <w:tab/>
        <w:t>the period in respect of the licence is the period specified, in column 2 of the Table to this subregulation, opposite the order ascertained under paragraph (b).</w:t>
      </w:r>
    </w:p>
    <w:p>
      <w:pPr>
        <w:pStyle w:val="MiscellaneousHeading"/>
      </w:pPr>
      <w:r>
        <w:rPr>
          <w:b/>
        </w:rPr>
        <w:t>Table</w:t>
      </w:r>
    </w:p>
    <w:p>
      <w:pPr>
        <w:pStyle w:val="NotesPerm"/>
        <w:tabs>
          <w:tab w:val="clear" w:pos="879"/>
          <w:tab w:val="left" w:pos="851"/>
        </w:tabs>
        <w:spacing w:before="60" w:after="80"/>
        <w:ind w:left="1418" w:hanging="1418"/>
      </w:pPr>
      <w:r>
        <w:tab/>
      </w:r>
      <w:r>
        <w:tab/>
        <w:t>Note:</w:t>
      </w:r>
      <w:r>
        <w:tab/>
        <w:t>The notes to this Table are set out in column 3 of the Table.</w:t>
      </w:r>
    </w:p>
    <w:tbl>
      <w:tblPr>
        <w:tblW w:w="6600" w:type="dxa"/>
        <w:tblInd w:w="588" w:type="dxa"/>
        <w:tblLayout w:type="fixed"/>
        <w:tblLook w:val="0000" w:firstRow="0" w:lastRow="0" w:firstColumn="0" w:lastColumn="0" w:noHBand="0" w:noVBand="0"/>
      </w:tblPr>
      <w:tblGrid>
        <w:gridCol w:w="2040"/>
        <w:gridCol w:w="1080"/>
        <w:gridCol w:w="3480"/>
      </w:tblGrid>
      <w:tr>
        <w:trPr>
          <w:tblHeader/>
        </w:trPr>
        <w:tc>
          <w:tcPr>
            <w:tcW w:w="2040" w:type="dxa"/>
            <w:tcBorders>
              <w:top w:val="single" w:sz="4" w:space="0" w:color="auto"/>
              <w:bottom w:val="single" w:sz="4" w:space="0" w:color="auto"/>
            </w:tcBorders>
          </w:tcPr>
          <w:p>
            <w:pPr>
              <w:pStyle w:val="Table"/>
              <w:jc w:val="center"/>
            </w:pPr>
            <w:r>
              <w:rPr>
                <w:b/>
              </w:rPr>
              <w:t>Order in which licence notice is to be issued in the round</w:t>
            </w:r>
          </w:p>
        </w:tc>
        <w:tc>
          <w:tcPr>
            <w:tcW w:w="1080" w:type="dxa"/>
            <w:tcBorders>
              <w:top w:val="single" w:sz="4" w:space="0" w:color="auto"/>
              <w:bottom w:val="single" w:sz="4" w:space="0" w:color="auto"/>
            </w:tcBorders>
          </w:tcPr>
          <w:p>
            <w:pPr>
              <w:pStyle w:val="Table"/>
              <w:jc w:val="center"/>
            </w:pPr>
            <w:r>
              <w:rPr>
                <w:b/>
              </w:rPr>
              <w:t>Period (months)</w:t>
            </w:r>
          </w:p>
        </w:tc>
        <w:tc>
          <w:tcPr>
            <w:tcW w:w="3480" w:type="dxa"/>
            <w:tcBorders>
              <w:top w:val="single" w:sz="4" w:space="0" w:color="auto"/>
              <w:bottom w:val="single" w:sz="4" w:space="0" w:color="auto"/>
            </w:tcBorders>
          </w:tcPr>
          <w:p>
            <w:pPr>
              <w:pStyle w:val="Table"/>
              <w:jc w:val="center"/>
            </w:pPr>
            <w:r>
              <w:rPr>
                <w:b/>
              </w:rPr>
              <w:t>Notes to Table</w:t>
            </w:r>
          </w:p>
        </w:tc>
      </w:tr>
      <w:tr>
        <w:tc>
          <w:tcPr>
            <w:tcW w:w="2040" w:type="dxa"/>
            <w:tcBorders>
              <w:top w:val="single" w:sz="4" w:space="0" w:color="auto"/>
            </w:tcBorders>
          </w:tcPr>
          <w:p>
            <w:pPr>
              <w:pStyle w:val="Table"/>
              <w:jc w:val="center"/>
            </w:pPr>
            <w:r>
              <w:t>1</w:t>
            </w:r>
            <w:r>
              <w:rPr>
                <w:vertAlign w:val="superscript"/>
              </w:rPr>
              <w:t>st</w:t>
            </w:r>
          </w:p>
        </w:tc>
        <w:tc>
          <w:tcPr>
            <w:tcW w:w="1080" w:type="dxa"/>
            <w:tcBorders>
              <w:top w:val="single" w:sz="4" w:space="0" w:color="auto"/>
            </w:tcBorders>
          </w:tcPr>
          <w:p>
            <w:pPr>
              <w:pStyle w:val="Table"/>
              <w:jc w:val="center"/>
            </w:pPr>
            <w:r>
              <w:t>24</w:t>
            </w:r>
          </w:p>
        </w:tc>
        <w:tc>
          <w:tcPr>
            <w:tcW w:w="3480" w:type="dxa"/>
            <w:tcBorders>
              <w:top w:val="single" w:sz="4" w:space="0" w:color="auto"/>
            </w:tcBorders>
          </w:tcPr>
          <w:p>
            <w:pPr>
              <w:pStyle w:val="Table"/>
              <w:jc w:val="center"/>
            </w:pPr>
          </w:p>
        </w:tc>
      </w:tr>
      <w:tr>
        <w:tc>
          <w:tcPr>
            <w:tcW w:w="2040" w:type="dxa"/>
          </w:tcPr>
          <w:p>
            <w:pPr>
              <w:pStyle w:val="Table"/>
              <w:jc w:val="center"/>
            </w:pPr>
            <w:r>
              <w:t>2</w:t>
            </w:r>
            <w:r>
              <w:rPr>
                <w:vertAlign w:val="superscript"/>
              </w:rPr>
              <w:t>nd</w:t>
            </w:r>
          </w:p>
        </w:tc>
        <w:tc>
          <w:tcPr>
            <w:tcW w:w="1080" w:type="dxa"/>
          </w:tcPr>
          <w:p>
            <w:pPr>
              <w:pStyle w:val="Table"/>
              <w:jc w:val="center"/>
            </w:pPr>
            <w:r>
              <w:t>25</w:t>
            </w:r>
          </w:p>
        </w:tc>
        <w:tc>
          <w:tcPr>
            <w:tcW w:w="3480" w:type="dxa"/>
          </w:tcPr>
          <w:p>
            <w:pPr>
              <w:pStyle w:val="Table"/>
              <w:jc w:val="center"/>
            </w:pPr>
          </w:p>
        </w:tc>
      </w:tr>
      <w:tr>
        <w:tc>
          <w:tcPr>
            <w:tcW w:w="2040" w:type="dxa"/>
          </w:tcPr>
          <w:p>
            <w:pPr>
              <w:pStyle w:val="Table"/>
              <w:jc w:val="center"/>
            </w:pPr>
            <w:r>
              <w:t>3</w:t>
            </w:r>
            <w:r>
              <w:rPr>
                <w:vertAlign w:val="superscript"/>
              </w:rPr>
              <w:t>rd</w:t>
            </w:r>
          </w:p>
        </w:tc>
        <w:tc>
          <w:tcPr>
            <w:tcW w:w="1080" w:type="dxa"/>
          </w:tcPr>
          <w:p>
            <w:pPr>
              <w:pStyle w:val="Table"/>
              <w:jc w:val="center"/>
            </w:pPr>
            <w:r>
              <w:t>26</w:t>
            </w:r>
          </w:p>
        </w:tc>
        <w:tc>
          <w:tcPr>
            <w:tcW w:w="3480" w:type="dxa"/>
          </w:tcPr>
          <w:p>
            <w:pPr>
              <w:pStyle w:val="Table"/>
              <w:jc w:val="center"/>
            </w:pPr>
          </w:p>
        </w:tc>
      </w:tr>
      <w:tr>
        <w:tc>
          <w:tcPr>
            <w:tcW w:w="2040" w:type="dxa"/>
          </w:tcPr>
          <w:p>
            <w:pPr>
              <w:pStyle w:val="Table"/>
              <w:jc w:val="center"/>
            </w:pPr>
            <w:r>
              <w:t>4</w:t>
            </w:r>
            <w:r>
              <w:rPr>
                <w:vertAlign w:val="superscript"/>
              </w:rPr>
              <w:t>th</w:t>
            </w:r>
          </w:p>
        </w:tc>
        <w:tc>
          <w:tcPr>
            <w:tcW w:w="1080" w:type="dxa"/>
          </w:tcPr>
          <w:p>
            <w:pPr>
              <w:pStyle w:val="Table"/>
              <w:jc w:val="center"/>
            </w:pPr>
            <w:r>
              <w:t>27</w:t>
            </w:r>
          </w:p>
        </w:tc>
        <w:tc>
          <w:tcPr>
            <w:tcW w:w="3480" w:type="dxa"/>
          </w:tcPr>
          <w:p>
            <w:pPr>
              <w:pStyle w:val="Table"/>
              <w:jc w:val="center"/>
            </w:pPr>
          </w:p>
        </w:tc>
      </w:tr>
      <w:tr>
        <w:tc>
          <w:tcPr>
            <w:tcW w:w="2040" w:type="dxa"/>
          </w:tcPr>
          <w:p>
            <w:pPr>
              <w:pStyle w:val="Table"/>
              <w:jc w:val="center"/>
            </w:pPr>
            <w:r>
              <w:t>5</w:t>
            </w:r>
            <w:r>
              <w:rPr>
                <w:vertAlign w:val="superscript"/>
              </w:rPr>
              <w:t>th</w:t>
            </w:r>
          </w:p>
        </w:tc>
        <w:tc>
          <w:tcPr>
            <w:tcW w:w="1080" w:type="dxa"/>
          </w:tcPr>
          <w:p>
            <w:pPr>
              <w:pStyle w:val="Table"/>
              <w:jc w:val="center"/>
            </w:pPr>
            <w:r>
              <w:t>28</w:t>
            </w:r>
          </w:p>
        </w:tc>
        <w:tc>
          <w:tcPr>
            <w:tcW w:w="3480" w:type="dxa"/>
          </w:tcPr>
          <w:p>
            <w:pPr>
              <w:pStyle w:val="Table"/>
              <w:jc w:val="center"/>
            </w:pPr>
          </w:p>
        </w:tc>
      </w:tr>
      <w:tr>
        <w:tc>
          <w:tcPr>
            <w:tcW w:w="2040" w:type="dxa"/>
          </w:tcPr>
          <w:p>
            <w:pPr>
              <w:pStyle w:val="Table"/>
              <w:jc w:val="center"/>
            </w:pPr>
            <w:r>
              <w:t>6</w:t>
            </w:r>
            <w:r>
              <w:rPr>
                <w:vertAlign w:val="superscript"/>
              </w:rPr>
              <w:t>th</w:t>
            </w:r>
          </w:p>
        </w:tc>
        <w:tc>
          <w:tcPr>
            <w:tcW w:w="1080" w:type="dxa"/>
          </w:tcPr>
          <w:p>
            <w:pPr>
              <w:pStyle w:val="Table"/>
              <w:jc w:val="center"/>
            </w:pPr>
            <w:r>
              <w:t>29</w:t>
            </w:r>
          </w:p>
        </w:tc>
        <w:tc>
          <w:tcPr>
            <w:tcW w:w="3480" w:type="dxa"/>
          </w:tcPr>
          <w:p>
            <w:pPr>
              <w:pStyle w:val="Table"/>
              <w:jc w:val="center"/>
            </w:pPr>
          </w:p>
        </w:tc>
      </w:tr>
      <w:tr>
        <w:tc>
          <w:tcPr>
            <w:tcW w:w="2040" w:type="dxa"/>
          </w:tcPr>
          <w:p>
            <w:pPr>
              <w:pStyle w:val="Table"/>
              <w:jc w:val="center"/>
            </w:pPr>
            <w:r>
              <w:t>7</w:t>
            </w:r>
            <w:r>
              <w:rPr>
                <w:vertAlign w:val="superscript"/>
              </w:rPr>
              <w:t>th</w:t>
            </w:r>
          </w:p>
        </w:tc>
        <w:tc>
          <w:tcPr>
            <w:tcW w:w="1080" w:type="dxa"/>
          </w:tcPr>
          <w:p>
            <w:pPr>
              <w:pStyle w:val="Table"/>
              <w:jc w:val="center"/>
            </w:pPr>
            <w:r>
              <w:t>30</w:t>
            </w:r>
          </w:p>
        </w:tc>
        <w:tc>
          <w:tcPr>
            <w:tcW w:w="3480" w:type="dxa"/>
          </w:tcPr>
          <w:p>
            <w:pPr>
              <w:pStyle w:val="Table"/>
              <w:jc w:val="center"/>
            </w:pPr>
          </w:p>
        </w:tc>
      </w:tr>
      <w:tr>
        <w:tc>
          <w:tcPr>
            <w:tcW w:w="2040" w:type="dxa"/>
          </w:tcPr>
          <w:p>
            <w:pPr>
              <w:pStyle w:val="Table"/>
              <w:jc w:val="center"/>
            </w:pPr>
            <w:r>
              <w:t>8</w:t>
            </w:r>
            <w:r>
              <w:rPr>
                <w:vertAlign w:val="superscript"/>
              </w:rPr>
              <w:t>th</w:t>
            </w:r>
          </w:p>
        </w:tc>
        <w:tc>
          <w:tcPr>
            <w:tcW w:w="1080" w:type="dxa"/>
          </w:tcPr>
          <w:p>
            <w:pPr>
              <w:pStyle w:val="Table"/>
              <w:jc w:val="center"/>
            </w:pPr>
            <w:r>
              <w:t>31</w:t>
            </w:r>
          </w:p>
        </w:tc>
        <w:tc>
          <w:tcPr>
            <w:tcW w:w="3480" w:type="dxa"/>
          </w:tcPr>
          <w:p>
            <w:pPr>
              <w:pStyle w:val="Table"/>
              <w:jc w:val="center"/>
            </w:pPr>
          </w:p>
        </w:tc>
      </w:tr>
      <w:tr>
        <w:tc>
          <w:tcPr>
            <w:tcW w:w="2040" w:type="dxa"/>
          </w:tcPr>
          <w:p>
            <w:pPr>
              <w:pStyle w:val="Table"/>
              <w:jc w:val="center"/>
            </w:pPr>
            <w:r>
              <w:t>9</w:t>
            </w:r>
            <w:r>
              <w:rPr>
                <w:vertAlign w:val="superscript"/>
              </w:rPr>
              <w:t>th</w:t>
            </w:r>
          </w:p>
        </w:tc>
        <w:tc>
          <w:tcPr>
            <w:tcW w:w="1080" w:type="dxa"/>
          </w:tcPr>
          <w:p>
            <w:pPr>
              <w:pStyle w:val="Table"/>
              <w:jc w:val="center"/>
            </w:pPr>
            <w:r>
              <w:t>32</w:t>
            </w:r>
          </w:p>
        </w:tc>
        <w:tc>
          <w:tcPr>
            <w:tcW w:w="3480" w:type="dxa"/>
          </w:tcPr>
          <w:p>
            <w:pPr>
              <w:pStyle w:val="Table"/>
              <w:jc w:val="center"/>
            </w:pPr>
            <w:r>
              <w:t>Item not applicable for</w:t>
            </w:r>
            <w:r>
              <w:br/>
              <w:t>December 2009</w:t>
            </w:r>
          </w:p>
        </w:tc>
      </w:tr>
      <w:tr>
        <w:tc>
          <w:tcPr>
            <w:tcW w:w="2040" w:type="dxa"/>
          </w:tcPr>
          <w:p>
            <w:pPr>
              <w:pStyle w:val="Table"/>
              <w:jc w:val="center"/>
            </w:pPr>
            <w:r>
              <w:t>10</w:t>
            </w:r>
            <w:r>
              <w:rPr>
                <w:vertAlign w:val="superscript"/>
              </w:rPr>
              <w:t>th</w:t>
            </w:r>
          </w:p>
        </w:tc>
        <w:tc>
          <w:tcPr>
            <w:tcW w:w="1080" w:type="dxa"/>
          </w:tcPr>
          <w:p>
            <w:pPr>
              <w:pStyle w:val="Table"/>
              <w:jc w:val="center"/>
            </w:pPr>
            <w:r>
              <w:t>33</w:t>
            </w:r>
          </w:p>
        </w:tc>
        <w:tc>
          <w:tcPr>
            <w:tcW w:w="3480" w:type="dxa"/>
          </w:tcPr>
          <w:p>
            <w:pPr>
              <w:pStyle w:val="Table"/>
              <w:jc w:val="center"/>
            </w:pPr>
            <w:r>
              <w:t>Item not applicable for November 2009 and December 2009</w:t>
            </w:r>
          </w:p>
        </w:tc>
      </w:tr>
      <w:tr>
        <w:tc>
          <w:tcPr>
            <w:tcW w:w="2040" w:type="dxa"/>
          </w:tcPr>
          <w:p>
            <w:pPr>
              <w:pStyle w:val="Table"/>
              <w:jc w:val="center"/>
            </w:pPr>
            <w:r>
              <w:t>11</w:t>
            </w:r>
            <w:r>
              <w:rPr>
                <w:vertAlign w:val="superscript"/>
              </w:rPr>
              <w:t>th</w:t>
            </w:r>
          </w:p>
        </w:tc>
        <w:tc>
          <w:tcPr>
            <w:tcW w:w="1080" w:type="dxa"/>
          </w:tcPr>
          <w:p>
            <w:pPr>
              <w:pStyle w:val="Table"/>
              <w:jc w:val="center"/>
            </w:pPr>
            <w:r>
              <w:t>34</w:t>
            </w:r>
          </w:p>
        </w:tc>
        <w:tc>
          <w:tcPr>
            <w:tcW w:w="3480" w:type="dxa"/>
          </w:tcPr>
          <w:p>
            <w:pPr>
              <w:pStyle w:val="Table"/>
              <w:jc w:val="center"/>
            </w:pPr>
            <w:r>
              <w:t>Item not applicable for</w:t>
            </w:r>
            <w:r>
              <w:br/>
              <w:t>October 2009 to December 2009</w:t>
            </w:r>
          </w:p>
        </w:tc>
      </w:tr>
      <w:tr>
        <w:tc>
          <w:tcPr>
            <w:tcW w:w="2040" w:type="dxa"/>
          </w:tcPr>
          <w:p>
            <w:pPr>
              <w:pStyle w:val="Table"/>
              <w:jc w:val="center"/>
            </w:pPr>
            <w:r>
              <w:t>12</w:t>
            </w:r>
            <w:r>
              <w:rPr>
                <w:vertAlign w:val="superscript"/>
              </w:rPr>
              <w:t>th</w:t>
            </w:r>
          </w:p>
        </w:tc>
        <w:tc>
          <w:tcPr>
            <w:tcW w:w="1080" w:type="dxa"/>
          </w:tcPr>
          <w:p>
            <w:pPr>
              <w:pStyle w:val="Table"/>
              <w:jc w:val="center"/>
            </w:pPr>
            <w:r>
              <w:t>35</w:t>
            </w:r>
          </w:p>
        </w:tc>
        <w:tc>
          <w:tcPr>
            <w:tcW w:w="3480" w:type="dxa"/>
          </w:tcPr>
          <w:p>
            <w:pPr>
              <w:pStyle w:val="Table"/>
              <w:jc w:val="center"/>
            </w:pPr>
            <w:r>
              <w:t>Item not applicable for September 2009 to December 2009</w:t>
            </w:r>
          </w:p>
        </w:tc>
      </w:tr>
      <w:tr>
        <w:tc>
          <w:tcPr>
            <w:tcW w:w="2040" w:type="dxa"/>
          </w:tcPr>
          <w:p>
            <w:pPr>
              <w:pStyle w:val="Table"/>
              <w:jc w:val="center"/>
            </w:pPr>
            <w:r>
              <w:t>13</w:t>
            </w:r>
            <w:r>
              <w:rPr>
                <w:vertAlign w:val="superscript"/>
              </w:rPr>
              <w:t>th</w:t>
            </w:r>
          </w:p>
        </w:tc>
        <w:tc>
          <w:tcPr>
            <w:tcW w:w="1080" w:type="dxa"/>
          </w:tcPr>
          <w:p>
            <w:pPr>
              <w:pStyle w:val="Table"/>
              <w:jc w:val="center"/>
            </w:pPr>
            <w:r>
              <w:t>36</w:t>
            </w:r>
          </w:p>
        </w:tc>
        <w:tc>
          <w:tcPr>
            <w:tcW w:w="3480" w:type="dxa"/>
          </w:tcPr>
          <w:p>
            <w:pPr>
              <w:pStyle w:val="Table"/>
              <w:jc w:val="center"/>
            </w:pPr>
            <w:r>
              <w:t>Item not applicable for</w:t>
            </w:r>
            <w:r>
              <w:br/>
              <w:t>August 2009 to December 2009</w:t>
            </w:r>
          </w:p>
        </w:tc>
      </w:tr>
      <w:tr>
        <w:tc>
          <w:tcPr>
            <w:tcW w:w="2040" w:type="dxa"/>
          </w:tcPr>
          <w:p>
            <w:pPr>
              <w:pStyle w:val="Table"/>
              <w:jc w:val="center"/>
            </w:pPr>
            <w:r>
              <w:t>14</w:t>
            </w:r>
            <w:r>
              <w:rPr>
                <w:vertAlign w:val="superscript"/>
              </w:rPr>
              <w:t>th</w:t>
            </w:r>
          </w:p>
        </w:tc>
        <w:tc>
          <w:tcPr>
            <w:tcW w:w="1080" w:type="dxa"/>
          </w:tcPr>
          <w:p>
            <w:pPr>
              <w:pStyle w:val="Table"/>
              <w:jc w:val="center"/>
            </w:pPr>
            <w:r>
              <w:t>37</w:t>
            </w:r>
          </w:p>
        </w:tc>
        <w:tc>
          <w:tcPr>
            <w:tcW w:w="3480" w:type="dxa"/>
          </w:tcPr>
          <w:p>
            <w:pPr>
              <w:pStyle w:val="Table"/>
              <w:jc w:val="center"/>
            </w:pPr>
            <w:r>
              <w:t>Item not applicable for</w:t>
            </w:r>
            <w:r>
              <w:br/>
              <w:t>July 2009 to December 2009</w:t>
            </w:r>
          </w:p>
        </w:tc>
      </w:tr>
      <w:tr>
        <w:tc>
          <w:tcPr>
            <w:tcW w:w="2040" w:type="dxa"/>
          </w:tcPr>
          <w:p>
            <w:pPr>
              <w:pStyle w:val="Table"/>
              <w:jc w:val="center"/>
            </w:pPr>
            <w:r>
              <w:t>15</w:t>
            </w:r>
            <w:r>
              <w:rPr>
                <w:vertAlign w:val="superscript"/>
              </w:rPr>
              <w:t>th</w:t>
            </w:r>
          </w:p>
        </w:tc>
        <w:tc>
          <w:tcPr>
            <w:tcW w:w="1080" w:type="dxa"/>
          </w:tcPr>
          <w:p>
            <w:pPr>
              <w:pStyle w:val="Table"/>
              <w:jc w:val="center"/>
            </w:pPr>
            <w:r>
              <w:t>38</w:t>
            </w:r>
          </w:p>
        </w:tc>
        <w:tc>
          <w:tcPr>
            <w:tcW w:w="3480" w:type="dxa"/>
          </w:tcPr>
          <w:p>
            <w:pPr>
              <w:pStyle w:val="Table"/>
              <w:jc w:val="center"/>
            </w:pPr>
            <w:r>
              <w:t>Item not applicable for</w:t>
            </w:r>
            <w:r>
              <w:br/>
              <w:t>June 2009 to December 2009</w:t>
            </w:r>
          </w:p>
        </w:tc>
      </w:tr>
      <w:tr>
        <w:tc>
          <w:tcPr>
            <w:tcW w:w="2040" w:type="dxa"/>
          </w:tcPr>
          <w:p>
            <w:pPr>
              <w:pStyle w:val="Table"/>
              <w:jc w:val="center"/>
            </w:pPr>
            <w:r>
              <w:t>16</w:t>
            </w:r>
            <w:r>
              <w:rPr>
                <w:vertAlign w:val="superscript"/>
              </w:rPr>
              <w:t>th</w:t>
            </w:r>
          </w:p>
        </w:tc>
        <w:tc>
          <w:tcPr>
            <w:tcW w:w="1080" w:type="dxa"/>
          </w:tcPr>
          <w:p>
            <w:pPr>
              <w:pStyle w:val="Table"/>
              <w:jc w:val="center"/>
            </w:pPr>
            <w:r>
              <w:t>39</w:t>
            </w:r>
          </w:p>
        </w:tc>
        <w:tc>
          <w:tcPr>
            <w:tcW w:w="3480" w:type="dxa"/>
          </w:tcPr>
          <w:p>
            <w:pPr>
              <w:pStyle w:val="Table"/>
              <w:jc w:val="center"/>
            </w:pPr>
            <w:r>
              <w:t>Item not applicable for</w:t>
            </w:r>
            <w:r>
              <w:br/>
              <w:t>May 2009 to December 2009</w:t>
            </w:r>
          </w:p>
        </w:tc>
      </w:tr>
      <w:tr>
        <w:tc>
          <w:tcPr>
            <w:tcW w:w="2040" w:type="dxa"/>
          </w:tcPr>
          <w:p>
            <w:pPr>
              <w:pStyle w:val="Table"/>
              <w:jc w:val="center"/>
            </w:pPr>
            <w:r>
              <w:t>17</w:t>
            </w:r>
            <w:r>
              <w:rPr>
                <w:vertAlign w:val="superscript"/>
              </w:rPr>
              <w:t>th</w:t>
            </w:r>
          </w:p>
        </w:tc>
        <w:tc>
          <w:tcPr>
            <w:tcW w:w="1080" w:type="dxa"/>
          </w:tcPr>
          <w:p>
            <w:pPr>
              <w:pStyle w:val="Table"/>
              <w:jc w:val="center"/>
            </w:pPr>
            <w:r>
              <w:t>40</w:t>
            </w:r>
          </w:p>
        </w:tc>
        <w:tc>
          <w:tcPr>
            <w:tcW w:w="3480" w:type="dxa"/>
          </w:tcPr>
          <w:p>
            <w:pPr>
              <w:pStyle w:val="Table"/>
              <w:jc w:val="center"/>
            </w:pPr>
            <w:r>
              <w:t>Item not applicable for</w:t>
            </w:r>
            <w:r>
              <w:br/>
              <w:t>April 2009 to December 2009</w:t>
            </w:r>
          </w:p>
        </w:tc>
      </w:tr>
      <w:tr>
        <w:tc>
          <w:tcPr>
            <w:tcW w:w="2040" w:type="dxa"/>
          </w:tcPr>
          <w:p>
            <w:pPr>
              <w:pStyle w:val="Table"/>
              <w:jc w:val="center"/>
            </w:pPr>
            <w:r>
              <w:t>18</w:t>
            </w:r>
            <w:r>
              <w:rPr>
                <w:vertAlign w:val="superscript"/>
              </w:rPr>
              <w:t>th</w:t>
            </w:r>
          </w:p>
        </w:tc>
        <w:tc>
          <w:tcPr>
            <w:tcW w:w="1080" w:type="dxa"/>
          </w:tcPr>
          <w:p>
            <w:pPr>
              <w:pStyle w:val="Table"/>
              <w:jc w:val="center"/>
            </w:pPr>
            <w:r>
              <w:t>41</w:t>
            </w:r>
          </w:p>
        </w:tc>
        <w:tc>
          <w:tcPr>
            <w:tcW w:w="3480" w:type="dxa"/>
          </w:tcPr>
          <w:p>
            <w:pPr>
              <w:pStyle w:val="Table"/>
              <w:jc w:val="center"/>
            </w:pPr>
            <w:r>
              <w:t>Item not applicable for</w:t>
            </w:r>
            <w:r>
              <w:br/>
              <w:t>March 2009 to December 2009</w:t>
            </w:r>
          </w:p>
        </w:tc>
      </w:tr>
      <w:tr>
        <w:tc>
          <w:tcPr>
            <w:tcW w:w="2040" w:type="dxa"/>
          </w:tcPr>
          <w:p>
            <w:pPr>
              <w:pStyle w:val="Table"/>
              <w:jc w:val="center"/>
            </w:pPr>
            <w:r>
              <w:t>19</w:t>
            </w:r>
            <w:r>
              <w:rPr>
                <w:vertAlign w:val="superscript"/>
              </w:rPr>
              <w:t>th</w:t>
            </w:r>
          </w:p>
        </w:tc>
        <w:tc>
          <w:tcPr>
            <w:tcW w:w="1080" w:type="dxa"/>
          </w:tcPr>
          <w:p>
            <w:pPr>
              <w:pStyle w:val="Table"/>
              <w:jc w:val="center"/>
            </w:pPr>
            <w:r>
              <w:t>42</w:t>
            </w:r>
          </w:p>
        </w:tc>
        <w:tc>
          <w:tcPr>
            <w:tcW w:w="3480" w:type="dxa"/>
          </w:tcPr>
          <w:p>
            <w:pPr>
              <w:pStyle w:val="Table"/>
              <w:jc w:val="center"/>
            </w:pPr>
            <w:r>
              <w:t>Item not applicable for</w:t>
            </w:r>
            <w:r>
              <w:br/>
              <w:t>February 2009 to December 2009</w:t>
            </w:r>
          </w:p>
        </w:tc>
      </w:tr>
      <w:tr>
        <w:tc>
          <w:tcPr>
            <w:tcW w:w="2040" w:type="dxa"/>
          </w:tcPr>
          <w:p>
            <w:pPr>
              <w:pStyle w:val="Table"/>
              <w:jc w:val="center"/>
            </w:pPr>
            <w:r>
              <w:t>20</w:t>
            </w:r>
            <w:r>
              <w:rPr>
                <w:vertAlign w:val="superscript"/>
              </w:rPr>
              <w:t>th</w:t>
            </w:r>
          </w:p>
        </w:tc>
        <w:tc>
          <w:tcPr>
            <w:tcW w:w="1080" w:type="dxa"/>
          </w:tcPr>
          <w:p>
            <w:pPr>
              <w:pStyle w:val="Table"/>
              <w:jc w:val="center"/>
            </w:pPr>
            <w:r>
              <w:t>43</w:t>
            </w:r>
          </w:p>
        </w:tc>
        <w:tc>
          <w:tcPr>
            <w:tcW w:w="3480" w:type="dxa"/>
          </w:tcPr>
          <w:p>
            <w:pPr>
              <w:pStyle w:val="Table"/>
              <w:jc w:val="center"/>
            </w:pPr>
            <w:r>
              <w:t>Item not applicable for</w:t>
            </w:r>
            <w:r>
              <w:br/>
              <w:t>January 2009 to December 2009</w:t>
            </w:r>
          </w:p>
        </w:tc>
      </w:tr>
      <w:tr>
        <w:tc>
          <w:tcPr>
            <w:tcW w:w="2040" w:type="dxa"/>
          </w:tcPr>
          <w:p>
            <w:pPr>
              <w:pStyle w:val="Table"/>
              <w:jc w:val="center"/>
            </w:pPr>
            <w:r>
              <w:t>21</w:t>
            </w:r>
            <w:r>
              <w:rPr>
                <w:vertAlign w:val="superscript"/>
              </w:rPr>
              <w:t>st</w:t>
            </w:r>
          </w:p>
        </w:tc>
        <w:tc>
          <w:tcPr>
            <w:tcW w:w="1080" w:type="dxa"/>
          </w:tcPr>
          <w:p>
            <w:pPr>
              <w:pStyle w:val="Table"/>
              <w:jc w:val="center"/>
            </w:pPr>
            <w:r>
              <w:t>44</w:t>
            </w:r>
          </w:p>
        </w:tc>
        <w:tc>
          <w:tcPr>
            <w:tcW w:w="3480" w:type="dxa"/>
          </w:tcPr>
          <w:p>
            <w:pPr>
              <w:pStyle w:val="Table"/>
              <w:jc w:val="center"/>
            </w:pPr>
            <w:r>
              <w:t>Item not applicable for December 2008 to December 2009</w:t>
            </w:r>
          </w:p>
        </w:tc>
      </w:tr>
      <w:tr>
        <w:tc>
          <w:tcPr>
            <w:tcW w:w="2040" w:type="dxa"/>
          </w:tcPr>
          <w:p>
            <w:pPr>
              <w:pStyle w:val="Table"/>
              <w:jc w:val="center"/>
            </w:pPr>
            <w:r>
              <w:t>22</w:t>
            </w:r>
            <w:r>
              <w:rPr>
                <w:vertAlign w:val="superscript"/>
              </w:rPr>
              <w:t>nd</w:t>
            </w:r>
          </w:p>
        </w:tc>
        <w:tc>
          <w:tcPr>
            <w:tcW w:w="1080" w:type="dxa"/>
          </w:tcPr>
          <w:p>
            <w:pPr>
              <w:pStyle w:val="Table"/>
              <w:jc w:val="center"/>
            </w:pPr>
            <w:r>
              <w:t>45</w:t>
            </w:r>
          </w:p>
        </w:tc>
        <w:tc>
          <w:tcPr>
            <w:tcW w:w="3480" w:type="dxa"/>
          </w:tcPr>
          <w:p>
            <w:pPr>
              <w:pStyle w:val="Table"/>
              <w:jc w:val="center"/>
            </w:pPr>
            <w:r>
              <w:t>Item not applicable for November 2008 to December 2009</w:t>
            </w:r>
          </w:p>
        </w:tc>
      </w:tr>
      <w:tr>
        <w:tc>
          <w:tcPr>
            <w:tcW w:w="2040" w:type="dxa"/>
          </w:tcPr>
          <w:p>
            <w:pPr>
              <w:pStyle w:val="Table"/>
              <w:jc w:val="center"/>
            </w:pPr>
            <w:r>
              <w:t>23</w:t>
            </w:r>
            <w:r>
              <w:rPr>
                <w:vertAlign w:val="superscript"/>
              </w:rPr>
              <w:t>rd</w:t>
            </w:r>
          </w:p>
        </w:tc>
        <w:tc>
          <w:tcPr>
            <w:tcW w:w="1080" w:type="dxa"/>
          </w:tcPr>
          <w:p>
            <w:pPr>
              <w:pStyle w:val="Table"/>
              <w:jc w:val="center"/>
            </w:pPr>
            <w:r>
              <w:t>46</w:t>
            </w:r>
          </w:p>
        </w:tc>
        <w:tc>
          <w:tcPr>
            <w:tcW w:w="3480" w:type="dxa"/>
          </w:tcPr>
          <w:p>
            <w:pPr>
              <w:pStyle w:val="Table"/>
              <w:jc w:val="center"/>
            </w:pPr>
            <w:r>
              <w:t>Item not applicable for</w:t>
            </w:r>
            <w:r>
              <w:br/>
              <w:t>October 2008 to December 2009</w:t>
            </w:r>
          </w:p>
        </w:tc>
      </w:tr>
      <w:tr>
        <w:tc>
          <w:tcPr>
            <w:tcW w:w="2040" w:type="dxa"/>
            <w:tcBorders>
              <w:bottom w:val="single" w:sz="4" w:space="0" w:color="auto"/>
            </w:tcBorders>
          </w:tcPr>
          <w:p>
            <w:pPr>
              <w:pStyle w:val="Table"/>
              <w:jc w:val="center"/>
            </w:pPr>
            <w:r>
              <w:t>24</w:t>
            </w:r>
            <w:r>
              <w:rPr>
                <w:vertAlign w:val="superscript"/>
              </w:rPr>
              <w:t>th</w:t>
            </w:r>
          </w:p>
        </w:tc>
        <w:tc>
          <w:tcPr>
            <w:tcW w:w="1080" w:type="dxa"/>
            <w:tcBorders>
              <w:bottom w:val="single" w:sz="4" w:space="0" w:color="auto"/>
            </w:tcBorders>
          </w:tcPr>
          <w:p>
            <w:pPr>
              <w:pStyle w:val="Table"/>
              <w:jc w:val="center"/>
            </w:pPr>
            <w:r>
              <w:t>47</w:t>
            </w:r>
          </w:p>
        </w:tc>
        <w:tc>
          <w:tcPr>
            <w:tcW w:w="3480" w:type="dxa"/>
            <w:tcBorders>
              <w:bottom w:val="single" w:sz="4" w:space="0" w:color="auto"/>
            </w:tcBorders>
          </w:tcPr>
          <w:p>
            <w:pPr>
              <w:pStyle w:val="Table"/>
              <w:jc w:val="center"/>
            </w:pPr>
            <w:r>
              <w:t>Item not applicable for September 2008 to December 2009</w:t>
            </w:r>
          </w:p>
        </w:tc>
      </w:tr>
    </w:tbl>
    <w:p>
      <w:pPr>
        <w:pStyle w:val="Footnotesection"/>
      </w:pPr>
      <w:r>
        <w:tab/>
        <w:t>[Regulation 18 inserted in Gazette 24 Jun 2008 p. 2826-8.]</w:t>
      </w:r>
    </w:p>
    <w:p>
      <w:pPr>
        <w:pStyle w:val="Heading5"/>
      </w:pPr>
      <w:bookmarkStart w:id="40" w:name="_Toc393111223"/>
      <w:r>
        <w:rPr>
          <w:rStyle w:val="CharSectno"/>
        </w:rPr>
        <w:t>19</w:t>
      </w:r>
      <w:r>
        <w:t>.</w:t>
      </w:r>
      <w:r>
        <w:tab/>
        <w:t>Notice and waiver of fee relating to transitional applications</w:t>
      </w:r>
      <w:bookmarkEnd w:id="40"/>
    </w:p>
    <w:p>
      <w:pPr>
        <w:pStyle w:val="Subsection"/>
      </w:pPr>
      <w:r>
        <w:tab/>
        <w:t>(1)</w:t>
      </w:r>
      <w:r>
        <w:tab/>
        <w:t xml:space="preserve">In this regulation — </w:t>
      </w:r>
    </w:p>
    <w:p>
      <w:pPr>
        <w:pStyle w:val="Defstart"/>
      </w:pPr>
      <w:r>
        <w:rPr>
          <w:b/>
          <w:color w:val="000000"/>
        </w:rPr>
        <w:tab/>
      </w:r>
      <w:r>
        <w:rPr>
          <w:rStyle w:val="CharDefText"/>
          <w:color w:val="000000"/>
        </w:rPr>
        <w:t>prescribed fee</w:t>
      </w:r>
      <w:r>
        <w:rPr>
          <w:color w:val="000000"/>
        </w:rPr>
        <w:t xml:space="preserve"> means the fee payable under the Act section 13(3)(a)(ii).</w:t>
      </w:r>
    </w:p>
    <w:p>
      <w:pPr>
        <w:pStyle w:val="Subsection"/>
      </w:pPr>
      <w:r>
        <w:rPr>
          <w:color w:val="000000"/>
        </w:rPr>
        <w:tab/>
        <w:t>(2)</w:t>
      </w:r>
      <w:r>
        <w:rPr>
          <w:color w:val="000000"/>
        </w:rPr>
        <w:tab/>
        <w:t>This regulation applies if the Board proposes to issue a transitional licence.</w:t>
      </w:r>
    </w:p>
    <w:p>
      <w:pPr>
        <w:pStyle w:val="Subsection"/>
      </w:pPr>
      <w:r>
        <w:tab/>
        <w:t>(3)</w:t>
      </w:r>
      <w:r>
        <w:tab/>
        <w:t>The Board must waive payment of so much (if any) of the prescribed fee as is determined under subregulation (5).</w:t>
      </w:r>
    </w:p>
    <w:p>
      <w:pPr>
        <w:pStyle w:val="Subsection"/>
      </w:pPr>
      <w:r>
        <w:tab/>
        <w:t>(4)</w:t>
      </w:r>
      <w:r>
        <w:tab/>
        <w:t xml:space="preserve">The Board must issue a notice to the existing repair business stating — </w:t>
      </w:r>
    </w:p>
    <w:p>
      <w:pPr>
        <w:pStyle w:val="Indenta"/>
      </w:pPr>
      <w:r>
        <w:tab/>
        <w:t>(a)</w:t>
      </w:r>
      <w:r>
        <w:tab/>
        <w:t>that the Board proposes to issue a business licence to the existing repair business on the proposed issue day specified in the notice, being the first day of a month and not later than 2 months after the date of the notice; and</w:t>
      </w:r>
    </w:p>
    <w:p>
      <w:pPr>
        <w:pStyle w:val="Indenta"/>
      </w:pPr>
      <w:r>
        <w:tab/>
        <w:t>(b)</w:t>
      </w:r>
      <w:r>
        <w:tab/>
        <w:t>the period for which the proposed licence is to be issued; and</w:t>
      </w:r>
    </w:p>
    <w:p>
      <w:pPr>
        <w:pStyle w:val="Indenta"/>
        <w:rPr>
          <w:color w:val="000000"/>
        </w:rPr>
      </w:pPr>
      <w:r>
        <w:tab/>
        <w:t>(c)</w:t>
      </w:r>
      <w:r>
        <w:tab/>
        <w:t xml:space="preserve">the amount of payment required, being the amount payable by the existing repair business under </w:t>
      </w:r>
      <w:r>
        <w:rPr>
          <w:color w:val="000000"/>
        </w:rPr>
        <w:t>regulation 7A(1)(a)(ii) less any waiver determined under subregulation (5); and</w:t>
      </w:r>
    </w:p>
    <w:p>
      <w:pPr>
        <w:pStyle w:val="Indenta"/>
      </w:pPr>
      <w:r>
        <w:tab/>
        <w:t>(d)</w:t>
      </w:r>
      <w:r>
        <w:tab/>
        <w:t>the provisions under subregulations (6) and (7); and</w:t>
      </w:r>
    </w:p>
    <w:p>
      <w:pPr>
        <w:pStyle w:val="Indenta"/>
      </w:pPr>
      <w:r>
        <w:tab/>
        <w:t>(e)</w:t>
      </w:r>
      <w:r>
        <w:tab/>
        <w:t>whether, for the purposes of subregulation (8), the notice is to cease to have effect or the application is to be taken to have been withdrawn i</w:t>
      </w:r>
      <w:r>
        <w:rPr>
          <w:color w:val="000000"/>
        </w:rPr>
        <w:t xml:space="preserve">f </w:t>
      </w:r>
      <w:r>
        <w:t>the required payment is not received by the Board before the proposed issue day.</w:t>
      </w:r>
    </w:p>
    <w:p>
      <w:pPr>
        <w:pStyle w:val="Subsection"/>
      </w:pPr>
      <w:r>
        <w:tab/>
        <w:t>(5)</w:t>
      </w:r>
      <w:r>
        <w:tab/>
        <w:t xml:space="preserve">For the purposes of subregulation (4)(c), the amount of the prescribed fee to be waived is — </w:t>
      </w:r>
    </w:p>
    <w:p>
      <w:pPr>
        <w:pStyle w:val="Indenta"/>
      </w:pPr>
      <w:r>
        <w:tab/>
        <w:t>(a)</w:t>
      </w:r>
      <w:r>
        <w:tab/>
      </w:r>
      <w:r>
        <w:rPr>
          <w:color w:val="000000"/>
        </w:rPr>
        <w:t xml:space="preserve">if the proposed issue day is before the </w:t>
      </w:r>
      <w:r>
        <w:t xml:space="preserve">expiry of 12 months after the commencement of the Act section 9, the following amount rounded to the nearest dollar — </w:t>
      </w:r>
    </w:p>
    <w:p>
      <w:pPr>
        <w:pStyle w:val="Equation"/>
        <w:jc w:val="center"/>
      </w:pPr>
      <w:r>
        <w:rPr>
          <w:position w:val="-24"/>
        </w:rPr>
        <w:drawing>
          <wp:inline distT="0" distB="0" distL="0" distR="0">
            <wp:extent cx="581025"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p>
      <w:pPr>
        <w:pStyle w:val="Indenta"/>
      </w:pPr>
      <w:r>
        <w:tab/>
      </w:r>
      <w:r>
        <w:tab/>
        <w:t xml:space="preserve">where — </w:t>
      </w:r>
    </w:p>
    <w:p>
      <w:pPr>
        <w:pStyle w:val="Indenti"/>
      </w:pPr>
      <w:r>
        <w:tab/>
        <w:t>a</w:t>
      </w:r>
      <w:r>
        <w:tab/>
        <w:t xml:space="preserve">has the meaning given in </w:t>
      </w:r>
      <w:r>
        <w:rPr>
          <w:color w:val="000000"/>
        </w:rPr>
        <w:t>regulation 7A(2); and</w:t>
      </w:r>
    </w:p>
    <w:p>
      <w:pPr>
        <w:pStyle w:val="Indenti"/>
      </w:pPr>
      <w:r>
        <w:tab/>
        <w:t>m</w:t>
      </w:r>
      <w:r>
        <w:tab/>
        <w:t xml:space="preserve">is </w:t>
      </w:r>
      <w:r>
        <w:rPr>
          <w:color w:val="000000"/>
        </w:rPr>
        <w:t>the number of months in the period beginning</w:t>
      </w:r>
      <w:r>
        <w:t xml:space="preserve"> on the proposed issue day and ending at the expiry of 12 months after the commencement of the Act section 9;</w:t>
      </w:r>
    </w:p>
    <w:p>
      <w:pPr>
        <w:pStyle w:val="Indenta"/>
      </w:pPr>
      <w:r>
        <w:tab/>
        <w:t>(b)</w:t>
      </w:r>
      <w:r>
        <w:tab/>
      </w:r>
      <w:r>
        <w:rPr>
          <w:color w:val="000000"/>
        </w:rPr>
        <w:t xml:space="preserve">if the proposed issue day is after the </w:t>
      </w:r>
      <w:r>
        <w:t>expiry of 12 months after the commencement of the Act section 9 — nil.</w:t>
      </w:r>
    </w:p>
    <w:p>
      <w:pPr>
        <w:pStyle w:val="Subsection"/>
      </w:pPr>
      <w:r>
        <w:tab/>
        <w:t>(6)</w:t>
      </w:r>
      <w:r>
        <w:tab/>
        <w:t>The existing repair business must, unless the existing repair business notifies the Board that he, she or it is withdrawing the application, ensure that the required payment is received by the Board before the proposed issue day.</w:t>
      </w:r>
    </w:p>
    <w:p>
      <w:pPr>
        <w:pStyle w:val="Subsection"/>
      </w:pPr>
      <w:r>
        <w:tab/>
        <w:t>(7)</w:t>
      </w:r>
      <w:r>
        <w:tab/>
      </w:r>
      <w:r>
        <w:rPr>
          <w:color w:val="000000"/>
        </w:rPr>
        <w:t xml:space="preserve">If </w:t>
      </w:r>
      <w:r>
        <w:t>the required payment is received by the Board before the proposed issue day</w:t>
      </w:r>
      <w:r>
        <w:rPr>
          <w:color w:val="000000"/>
        </w:rPr>
        <w:t xml:space="preserve">, </w:t>
      </w:r>
      <w:r>
        <w:t>the licence is to be taken to be issued on the proposed issue day.</w:t>
      </w:r>
    </w:p>
    <w:p>
      <w:pPr>
        <w:pStyle w:val="Subsection"/>
      </w:pPr>
      <w:r>
        <w:tab/>
        <w:t>(8)</w:t>
      </w:r>
      <w:r>
        <w:tab/>
      </w:r>
      <w:r>
        <w:rPr>
          <w:color w:val="000000"/>
        </w:rPr>
        <w:t xml:space="preserve">If </w:t>
      </w:r>
      <w:r>
        <w:t>the required payment is not received by the Board before the proposed issue day</w:t>
      </w:r>
      <w:r>
        <w:rPr>
          <w:color w:val="000000"/>
        </w:rPr>
        <w:t xml:space="preserve">, </w:t>
      </w:r>
      <w:r>
        <w:t>the notice ceases to have effect or the application is taken to have been withdrawn, as is stated in the notice</w:t>
      </w:r>
      <w:r>
        <w:rPr>
          <w:color w:val="000000"/>
        </w:rPr>
        <w:t>.</w:t>
      </w:r>
    </w:p>
    <w:p>
      <w:pPr>
        <w:pStyle w:val="Subsection"/>
      </w:pPr>
      <w:r>
        <w:tab/>
        <w:t>(9)</w:t>
      </w:r>
      <w:r>
        <w:tab/>
        <w:t>If a notice ceases to have effect under subregulation (8), the Board may issue another notice under this regulation specifying a new proposed issue day for the licence.</w:t>
      </w:r>
    </w:p>
    <w:p>
      <w:pPr>
        <w:pStyle w:val="Subsection"/>
      </w:pPr>
      <w:r>
        <w:tab/>
        <w:t>(10)</w:t>
      </w:r>
      <w:r>
        <w:tab/>
        <w:t>The issue of a notice by the Board under this regulation specifying a proposed issue day for a licence that is after the expiry of 12 months after the commencement of the Act section 9 is not to be taken as authorising the existing repair business to carry on the business after that expiry and before the issue of the licence.</w:t>
      </w:r>
    </w:p>
    <w:p>
      <w:pPr>
        <w:pStyle w:val="Footnotesection"/>
      </w:pPr>
      <w:r>
        <w:tab/>
        <w:t>[Regulation 19 inserted in Gazette 24 Jun 2008 p. 2828-30.]</w:t>
      </w:r>
    </w:p>
    <w:p>
      <w:pPr>
        <w:pStyle w:val="Heading5"/>
      </w:pPr>
      <w:bookmarkStart w:id="41" w:name="_Toc393111224"/>
      <w:r>
        <w:rPr>
          <w:rStyle w:val="CharSectno"/>
        </w:rPr>
        <w:t>20</w:t>
      </w:r>
      <w:r>
        <w:t>.</w:t>
      </w:r>
      <w:r>
        <w:tab/>
        <w:t>Refund or waiver of fee on withdrawal or refusal of transitional applications</w:t>
      </w:r>
      <w:bookmarkEnd w:id="41"/>
    </w:p>
    <w:p>
      <w:pPr>
        <w:pStyle w:val="Subsection"/>
      </w:pPr>
      <w:r>
        <w:tab/>
        <w:t>(1)</w:t>
      </w:r>
      <w:r>
        <w:tab/>
        <w:t>If an existing repair business withdraws a transitional application, the Board must refund to the existing repair business so much (if any) of the amount paid under regulation 7A(1)(a)(ii) as the Board determines to be appropriate.</w:t>
      </w:r>
    </w:p>
    <w:p>
      <w:pPr>
        <w:pStyle w:val="Subsection"/>
        <w:rPr>
          <w:color w:val="000000"/>
        </w:rPr>
      </w:pPr>
      <w:r>
        <w:tab/>
        <w:t>(2)</w:t>
      </w:r>
      <w:r>
        <w:tab/>
        <w:t>If the Board proposes to refuse a transitional application,</w:t>
      </w:r>
      <w:r>
        <w:rPr>
          <w:color w:val="000000"/>
        </w:rPr>
        <w:t xml:space="preserve"> </w:t>
      </w:r>
      <w:r>
        <w:t>the Board must waive the amount payable under regulation 7A(1)(a)(ii) in respect of the application.</w:t>
      </w:r>
    </w:p>
    <w:p>
      <w:pPr>
        <w:pStyle w:val="Footnotesection"/>
      </w:pPr>
      <w:r>
        <w:tab/>
        <w:t>[Regulation 20 inserted in Gazette 24 Jun 2008 p. 2831.]</w:t>
      </w:r>
    </w:p>
    <w:p>
      <w:pPr>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2" w:name="_Toc391647203"/>
      <w:bookmarkStart w:id="43" w:name="_Toc393111225"/>
      <w:r>
        <w:rPr>
          <w:rStyle w:val="CharSchNo"/>
        </w:rPr>
        <w:t>Schedule 1</w:t>
      </w:r>
      <w:r>
        <w:t> — </w:t>
      </w:r>
      <w:r>
        <w:rPr>
          <w:rStyle w:val="CharSchText"/>
        </w:rPr>
        <w:t>Forms</w:t>
      </w:r>
      <w:bookmarkEnd w:id="42"/>
      <w:bookmarkEnd w:id="43"/>
    </w:p>
    <w:p>
      <w:pPr>
        <w:pStyle w:val="yShoulderClause"/>
      </w:pPr>
      <w:r>
        <w:t>[r. 14]</w:t>
      </w:r>
    </w:p>
    <w:p>
      <w:pPr>
        <w:pStyle w:val="yFootnotesection"/>
      </w:pPr>
      <w:r>
        <w:tab/>
        <w:t>[Heading inserted in Gazette 24 Jun 2008 p. 2831.]</w:t>
      </w:r>
    </w:p>
    <w:p>
      <w:pPr>
        <w:pStyle w:val="yMiscellaneousHeading"/>
        <w:spacing w:before="240" w:after="120"/>
        <w:rPr>
          <w:b/>
        </w:rPr>
      </w:pPr>
      <w:r>
        <w:rPr>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single" w:sz="4" w:space="0" w:color="auto"/>
            </w:tcBorders>
          </w:tcPr>
          <w:p>
            <w:pPr>
              <w:pStyle w:val="yTable"/>
              <w:keepNext/>
              <w:spacing w:before="0"/>
              <w:ind w:right="-108"/>
              <w:rPr>
                <w:b/>
                <w:sz w:val="20"/>
              </w:rPr>
            </w:pPr>
          </w:p>
        </w:tc>
        <w:tc>
          <w:tcPr>
            <w:tcW w:w="5640" w:type="dxa"/>
            <w:gridSpan w:val="2"/>
            <w:tcBorders>
              <w:top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 amended in Gazette 30 Jun 2011 p. 2665-6; 20 Aug 2013 p. 3838.]</w:t>
      </w:r>
    </w:p>
    <w:p>
      <w:pPr>
        <w:pStyle w:val="yMiscellaneousHeading"/>
        <w:keepLines/>
        <w:pageBreakBefore/>
        <w:spacing w:before="240" w:after="80"/>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 amended in Gazette 30 Jun 2011 p. 2666.]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44" w:name="_Toc391647204"/>
      <w:bookmarkStart w:id="45" w:name="_Toc393111226"/>
      <w:r>
        <w:t>Notes</w:t>
      </w:r>
      <w:bookmarkEnd w:id="44"/>
      <w:bookmarkEnd w:id="45"/>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Regulations 2007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6" w:name="_Toc393111227"/>
      <w:r>
        <w:t>Compilation table</w:t>
      </w:r>
      <w:bookmarkEnd w:id="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before="60" w:after="60"/>
              <w:rPr>
                <w:b/>
                <w:sz w:val="19"/>
              </w:rPr>
            </w:pPr>
            <w:r>
              <w:rPr>
                <w:b/>
                <w:sz w:val="19"/>
              </w:rPr>
              <w:t>Citation</w:t>
            </w:r>
          </w:p>
        </w:tc>
        <w:tc>
          <w:tcPr>
            <w:tcW w:w="1276" w:type="dxa"/>
            <w:tcBorders>
              <w:bottom w:val="single" w:sz="8" w:space="0" w:color="auto"/>
            </w:tcBorders>
            <w:shd w:val="clear" w:color="auto" w:fill="auto"/>
          </w:tcPr>
          <w:p>
            <w:pPr>
              <w:pStyle w:val="nTable"/>
              <w:spacing w:before="60" w:after="60"/>
              <w:rPr>
                <w:b/>
                <w:sz w:val="19"/>
              </w:rPr>
            </w:pPr>
            <w:r>
              <w:rPr>
                <w:b/>
                <w:sz w:val="19"/>
              </w:rPr>
              <w:t>Gazettal</w:t>
            </w:r>
          </w:p>
        </w:tc>
        <w:tc>
          <w:tcPr>
            <w:tcW w:w="2693" w:type="dxa"/>
            <w:tcBorders>
              <w:bottom w:val="single" w:sz="8" w:space="0" w:color="auto"/>
            </w:tcBorders>
            <w:shd w:val="clear" w:color="auto" w:fill="auto"/>
          </w:tcPr>
          <w:p>
            <w:pPr>
              <w:pStyle w:val="nTable"/>
              <w:spacing w:before="60" w:after="60"/>
              <w:rPr>
                <w:b/>
                <w:sz w:val="19"/>
              </w:rPr>
            </w:pPr>
            <w:r>
              <w:rPr>
                <w:b/>
                <w:sz w:val="19"/>
              </w:rPr>
              <w:t>Commencement</w:t>
            </w:r>
          </w:p>
        </w:tc>
      </w:tr>
      <w:tr>
        <w:tc>
          <w:tcPr>
            <w:tcW w:w="3118" w:type="dxa"/>
            <w:tcBorders>
              <w:top w:val="single" w:sz="8" w:space="0" w:color="auto"/>
              <w:bottom w:val="nil"/>
            </w:tcBorders>
          </w:tcPr>
          <w:p>
            <w:pPr>
              <w:pStyle w:val="nTable"/>
              <w:spacing w:before="60" w:after="60"/>
              <w:rPr>
                <w:iCs/>
                <w:sz w:val="19"/>
              </w:rPr>
            </w:pPr>
            <w:r>
              <w:rPr>
                <w:i/>
                <w:sz w:val="19"/>
              </w:rPr>
              <w:t>Motor Vehicle Repairers Regulations 2007</w:t>
            </w:r>
            <w:r>
              <w:rPr>
                <w:iCs/>
                <w:sz w:val="19"/>
              </w:rPr>
              <w:t xml:space="preserve"> </w:t>
            </w:r>
          </w:p>
        </w:tc>
        <w:tc>
          <w:tcPr>
            <w:tcW w:w="1276" w:type="dxa"/>
            <w:tcBorders>
              <w:top w:val="single" w:sz="8" w:space="0" w:color="auto"/>
              <w:bottom w:val="nil"/>
            </w:tcBorders>
          </w:tcPr>
          <w:p>
            <w:pPr>
              <w:pStyle w:val="nTable"/>
              <w:spacing w:before="60" w:after="60"/>
              <w:rPr>
                <w:sz w:val="19"/>
              </w:rPr>
            </w:pPr>
            <w:r>
              <w:rPr>
                <w:sz w:val="19"/>
              </w:rPr>
              <w:t>9 Feb 2007 p. 391-426</w:t>
            </w:r>
          </w:p>
        </w:tc>
        <w:tc>
          <w:tcPr>
            <w:tcW w:w="2693" w:type="dxa"/>
            <w:tcBorders>
              <w:top w:val="single" w:sz="8" w:space="0" w:color="auto"/>
              <w:bottom w:val="nil"/>
            </w:tcBorders>
          </w:tcPr>
          <w:p>
            <w:pPr>
              <w:pStyle w:val="nTable"/>
              <w:spacing w:before="60" w:after="60"/>
              <w:rPr>
                <w:sz w:val="19"/>
              </w:rPr>
            </w:pPr>
            <w:r>
              <w:rPr>
                <w:sz w:val="19"/>
              </w:rPr>
              <w:t xml:space="preserve">19 Mar 2007 (see r. 2 and </w:t>
            </w:r>
            <w:r>
              <w:rPr>
                <w:i/>
                <w:iCs/>
                <w:sz w:val="19"/>
              </w:rPr>
              <w:t>Gazette</w:t>
            </w:r>
            <w:r>
              <w:rPr>
                <w:sz w:val="19"/>
              </w:rPr>
              <w:t xml:space="preserve"> 9 Feb 2007 p. 451)</w:t>
            </w:r>
          </w:p>
        </w:tc>
      </w:tr>
      <w:tr>
        <w:tc>
          <w:tcPr>
            <w:tcW w:w="3118" w:type="dxa"/>
            <w:tcBorders>
              <w:top w:val="nil"/>
              <w:bottom w:val="nil"/>
            </w:tcBorders>
          </w:tcPr>
          <w:p>
            <w:pPr>
              <w:pStyle w:val="nTable"/>
              <w:spacing w:before="60" w:after="60"/>
              <w:rPr>
                <w:i/>
                <w:sz w:val="19"/>
              </w:rPr>
            </w:pPr>
            <w:r>
              <w:rPr>
                <w:i/>
                <w:sz w:val="19"/>
              </w:rPr>
              <w:t>Motor Vehicle Repairers Amendment Regulations (No. 2) 2008</w:t>
            </w:r>
          </w:p>
        </w:tc>
        <w:tc>
          <w:tcPr>
            <w:tcW w:w="1276" w:type="dxa"/>
            <w:tcBorders>
              <w:top w:val="nil"/>
              <w:bottom w:val="nil"/>
            </w:tcBorders>
          </w:tcPr>
          <w:p>
            <w:pPr>
              <w:pStyle w:val="nTable"/>
              <w:spacing w:before="60" w:after="60"/>
              <w:rPr>
                <w:sz w:val="19"/>
              </w:rPr>
            </w:pPr>
            <w:r>
              <w:rPr>
                <w:sz w:val="19"/>
              </w:rPr>
              <w:t>17 Jun 2008 p. 2554-5</w:t>
            </w:r>
          </w:p>
        </w:tc>
        <w:tc>
          <w:tcPr>
            <w:tcW w:w="2693" w:type="dxa"/>
            <w:tcBorders>
              <w:top w:val="nil"/>
              <w:bottom w:val="nil"/>
            </w:tcBorders>
          </w:tcPr>
          <w:p>
            <w:pPr>
              <w:pStyle w:val="nTable"/>
              <w:spacing w:before="60" w:after="6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before="60" w:after="60"/>
              <w:rPr>
                <w:iCs/>
                <w:sz w:val="19"/>
              </w:rPr>
            </w:pPr>
            <w:r>
              <w:rPr>
                <w:i/>
                <w:sz w:val="19"/>
              </w:rPr>
              <w:t>Motor Vehicle Repairers Amendment Regulations 2008</w:t>
            </w:r>
            <w:r>
              <w:rPr>
                <w:iCs/>
                <w:sz w:val="19"/>
              </w:rPr>
              <w:t xml:space="preserve"> </w:t>
            </w:r>
          </w:p>
        </w:tc>
        <w:tc>
          <w:tcPr>
            <w:tcW w:w="1276" w:type="dxa"/>
            <w:tcBorders>
              <w:top w:val="nil"/>
              <w:bottom w:val="nil"/>
            </w:tcBorders>
          </w:tcPr>
          <w:p>
            <w:pPr>
              <w:pStyle w:val="nTable"/>
              <w:spacing w:before="60" w:after="60"/>
              <w:rPr>
                <w:sz w:val="19"/>
              </w:rPr>
            </w:pPr>
            <w:r>
              <w:rPr>
                <w:sz w:val="19"/>
              </w:rPr>
              <w:t>24 Jun 2008 p. 2801-33</w:t>
            </w:r>
          </w:p>
        </w:tc>
        <w:tc>
          <w:tcPr>
            <w:tcW w:w="2693" w:type="dxa"/>
            <w:tcBorders>
              <w:top w:val="nil"/>
              <w:bottom w:val="nil"/>
            </w:tcBorders>
          </w:tcPr>
          <w:p>
            <w:pPr>
              <w:pStyle w:val="nTable"/>
              <w:spacing w:before="60" w:after="60"/>
              <w:rPr>
                <w:sz w:val="19"/>
              </w:rPr>
            </w:pPr>
            <w:r>
              <w:rPr>
                <w:sz w:val="19"/>
              </w:rPr>
              <w:t>r. 1 and 2: 24 Jun 2008 (see r. 2(a));</w:t>
            </w:r>
            <w:r>
              <w:rPr>
                <w:sz w:val="19"/>
              </w:rPr>
              <w:br/>
              <w:t xml:space="preserve">Regulations other than r. 1 and 2: 1 Jul 2008 (see r. 2(b) and </w:t>
            </w:r>
            <w:r>
              <w:rPr>
                <w:i/>
                <w:iCs/>
                <w:sz w:val="19"/>
              </w:rPr>
              <w:t>Gazette</w:t>
            </w:r>
            <w:r>
              <w:rPr>
                <w:sz w:val="19"/>
              </w:rPr>
              <w:t xml:space="preserve"> 24 Jun 2008 p. 2885)</w:t>
            </w:r>
          </w:p>
        </w:tc>
      </w:tr>
      <w:tr>
        <w:trPr>
          <w:cantSplit/>
        </w:trPr>
        <w:tc>
          <w:tcPr>
            <w:tcW w:w="7087" w:type="dxa"/>
            <w:gridSpan w:val="3"/>
            <w:tcBorders>
              <w:top w:val="nil"/>
              <w:bottom w:val="nil"/>
            </w:tcBorders>
          </w:tcPr>
          <w:p>
            <w:pPr>
              <w:pStyle w:val="nTable"/>
              <w:spacing w:before="60" w:after="60"/>
              <w:rPr>
                <w:sz w:val="19"/>
              </w:rPr>
            </w:pPr>
            <w:r>
              <w:rPr>
                <w:b/>
                <w:bCs/>
                <w:sz w:val="19"/>
              </w:rPr>
              <w:t xml:space="preserve">Reprint 1: The </w:t>
            </w:r>
            <w:r>
              <w:rPr>
                <w:b/>
                <w:bCs/>
                <w:i/>
                <w:sz w:val="19"/>
              </w:rPr>
              <w:t>Motor Vehicle Repairers Regulations 2007</w:t>
            </w:r>
            <w:r>
              <w:rPr>
                <w:b/>
                <w:bCs/>
                <w:sz w:val="19"/>
              </w:rPr>
              <w:t xml:space="preserve"> as at 5 Sep 2008</w:t>
            </w:r>
            <w:r>
              <w:rPr>
                <w:sz w:val="19"/>
              </w:rPr>
              <w:t xml:space="preserve"> (includes amendments listed above)</w:t>
            </w:r>
          </w:p>
        </w:tc>
      </w:tr>
      <w:tr>
        <w:tc>
          <w:tcPr>
            <w:tcW w:w="3118" w:type="dxa"/>
            <w:tcBorders>
              <w:top w:val="nil"/>
              <w:bottom w:val="nil"/>
            </w:tcBorders>
          </w:tcPr>
          <w:p>
            <w:pPr>
              <w:pStyle w:val="nTable"/>
              <w:spacing w:before="60" w:after="60"/>
              <w:rPr>
                <w:iCs/>
                <w:sz w:val="19"/>
              </w:rPr>
            </w:pPr>
            <w:r>
              <w:rPr>
                <w:i/>
                <w:sz w:val="19"/>
              </w:rPr>
              <w:t>Motor Vehicle Repairers Amendment Regulations 2009</w:t>
            </w:r>
          </w:p>
        </w:tc>
        <w:tc>
          <w:tcPr>
            <w:tcW w:w="1276" w:type="dxa"/>
            <w:tcBorders>
              <w:top w:val="nil"/>
              <w:bottom w:val="nil"/>
            </w:tcBorders>
          </w:tcPr>
          <w:p>
            <w:pPr>
              <w:pStyle w:val="nTable"/>
              <w:spacing w:before="60" w:after="60"/>
              <w:rPr>
                <w:sz w:val="19"/>
              </w:rPr>
            </w:pPr>
            <w:r>
              <w:rPr>
                <w:sz w:val="19"/>
              </w:rPr>
              <w:t>31 Mar 2009 p. 1021</w:t>
            </w:r>
            <w:r>
              <w:rPr>
                <w:sz w:val="19"/>
              </w:rPr>
              <w:noBreakHyphen/>
              <w:t>2</w:t>
            </w:r>
          </w:p>
        </w:tc>
        <w:tc>
          <w:tcPr>
            <w:tcW w:w="2693" w:type="dxa"/>
            <w:tcBorders>
              <w:top w:val="nil"/>
              <w:bottom w:val="nil"/>
            </w:tcBorders>
          </w:tcPr>
          <w:p>
            <w:pPr>
              <w:pStyle w:val="nTable"/>
              <w:spacing w:before="60" w:after="60"/>
              <w:rPr>
                <w:sz w:val="19"/>
              </w:rPr>
            </w:pPr>
            <w:r>
              <w:rPr>
                <w:sz w:val="19"/>
              </w:rPr>
              <w:t>r. 1 and 2: 31 Mar 2009 (see r. 2(a));</w:t>
            </w:r>
            <w:r>
              <w:rPr>
                <w:sz w:val="19"/>
              </w:rPr>
              <w:br/>
              <w:t>Regulations other than r. 1 and 2: 1 Apr 2009 (see r. 2(b))</w:t>
            </w:r>
          </w:p>
        </w:tc>
      </w:tr>
      <w:tr>
        <w:tc>
          <w:tcPr>
            <w:tcW w:w="3118" w:type="dxa"/>
            <w:tcBorders>
              <w:top w:val="nil"/>
              <w:bottom w:val="nil"/>
            </w:tcBorders>
          </w:tcPr>
          <w:p>
            <w:pPr>
              <w:pStyle w:val="nTable"/>
              <w:spacing w:before="60" w:after="60"/>
              <w:rPr>
                <w:i/>
                <w:sz w:val="19"/>
              </w:rPr>
            </w:pPr>
            <w:r>
              <w:rPr>
                <w:i/>
                <w:sz w:val="19"/>
              </w:rPr>
              <w:t>Motor Vehicle Repairers Amendment Regulations (No. 2) 2009</w:t>
            </w:r>
          </w:p>
        </w:tc>
        <w:tc>
          <w:tcPr>
            <w:tcW w:w="1276" w:type="dxa"/>
            <w:tcBorders>
              <w:top w:val="nil"/>
              <w:bottom w:val="nil"/>
            </w:tcBorders>
          </w:tcPr>
          <w:p>
            <w:pPr>
              <w:pStyle w:val="nTable"/>
              <w:spacing w:before="60" w:after="60"/>
              <w:rPr>
                <w:sz w:val="19"/>
              </w:rPr>
            </w:pPr>
            <w:r>
              <w:rPr>
                <w:sz w:val="19"/>
              </w:rPr>
              <w:t>23 Jun 2009 p. 2447</w:t>
            </w:r>
            <w:r>
              <w:rPr>
                <w:sz w:val="19"/>
              </w:rPr>
              <w:noBreakHyphen/>
              <w:t>9</w:t>
            </w:r>
          </w:p>
        </w:tc>
        <w:tc>
          <w:tcPr>
            <w:tcW w:w="2693" w:type="dxa"/>
            <w:tcBorders>
              <w:top w:val="nil"/>
              <w:bottom w:val="nil"/>
            </w:tcBorders>
          </w:tcPr>
          <w:p>
            <w:pPr>
              <w:pStyle w:val="nTable"/>
              <w:spacing w:before="60" w:after="60"/>
              <w:rPr>
                <w:sz w:val="19"/>
              </w:rPr>
            </w:pPr>
            <w:r>
              <w:rPr>
                <w:snapToGrid w:val="0"/>
                <w:sz w:val="19"/>
              </w:rPr>
              <w:t>r. 1 and 2: 23 Jun 2009 (see r. 2(a));</w:t>
            </w:r>
            <w:r>
              <w:rPr>
                <w:snapToGrid w:val="0"/>
                <w:sz w:val="19"/>
              </w:rPr>
              <w:br/>
              <w:t>Regulations other than r. 1 and 2: 1 Jul 2009 (see r. 2(b))</w:t>
            </w:r>
          </w:p>
        </w:tc>
      </w:tr>
      <w:tr>
        <w:tc>
          <w:tcPr>
            <w:tcW w:w="3118" w:type="dxa"/>
            <w:tcBorders>
              <w:top w:val="nil"/>
              <w:bottom w:val="nil"/>
            </w:tcBorders>
          </w:tcPr>
          <w:p>
            <w:pPr>
              <w:pStyle w:val="nTable"/>
              <w:spacing w:before="60" w:after="60"/>
              <w:rPr>
                <w:i/>
                <w:sz w:val="19"/>
              </w:rPr>
            </w:pPr>
            <w:r>
              <w:rPr>
                <w:i/>
                <w:sz w:val="19"/>
              </w:rPr>
              <w:t>Motor Vehicle Repairers Amendment Regulations (No. 3) 2009</w:t>
            </w:r>
          </w:p>
        </w:tc>
        <w:tc>
          <w:tcPr>
            <w:tcW w:w="1276" w:type="dxa"/>
            <w:tcBorders>
              <w:top w:val="nil"/>
              <w:bottom w:val="nil"/>
            </w:tcBorders>
          </w:tcPr>
          <w:p>
            <w:pPr>
              <w:pStyle w:val="nTable"/>
              <w:spacing w:before="60" w:after="60"/>
              <w:rPr>
                <w:sz w:val="19"/>
              </w:rPr>
            </w:pPr>
            <w:r>
              <w:rPr>
                <w:sz w:val="19"/>
              </w:rPr>
              <w:t>28 Jul 2009 p. 2975-6</w:t>
            </w:r>
          </w:p>
        </w:tc>
        <w:tc>
          <w:tcPr>
            <w:tcW w:w="2693" w:type="dxa"/>
            <w:tcBorders>
              <w:top w:val="nil"/>
              <w:bottom w:val="nil"/>
            </w:tcBorders>
          </w:tcPr>
          <w:p>
            <w:pPr>
              <w:pStyle w:val="nTable"/>
              <w:spacing w:before="60" w:after="60"/>
              <w:rPr>
                <w:snapToGrid w:val="0"/>
                <w:sz w:val="19"/>
              </w:rPr>
            </w:pPr>
            <w:r>
              <w:rPr>
                <w:snapToGrid w:val="0"/>
                <w:sz w:val="19"/>
              </w:rPr>
              <w:t>r. 1 and 2: 28 Jul 2009 (see r. 2(a));</w:t>
            </w:r>
            <w:r>
              <w:rPr>
                <w:snapToGrid w:val="0"/>
                <w:sz w:val="19"/>
              </w:rPr>
              <w:br/>
              <w:t>Regulations other than r. 1 and 2: 28 Jul 2009 (see r. 2(b)(i))</w:t>
            </w:r>
          </w:p>
        </w:tc>
      </w:tr>
      <w:tr>
        <w:tc>
          <w:tcPr>
            <w:tcW w:w="3118" w:type="dxa"/>
            <w:tcBorders>
              <w:top w:val="nil"/>
              <w:bottom w:val="nil"/>
            </w:tcBorders>
          </w:tcPr>
          <w:p>
            <w:pPr>
              <w:pStyle w:val="nTable"/>
              <w:spacing w:before="60" w:after="60"/>
              <w:rPr>
                <w:i/>
                <w:sz w:val="19"/>
              </w:rPr>
            </w:pPr>
            <w:r>
              <w:rPr>
                <w:i/>
                <w:sz w:val="19"/>
              </w:rPr>
              <w:t>Motor Vehicle Repairers Amendment Regulations (No. 2) 2011</w:t>
            </w:r>
          </w:p>
        </w:tc>
        <w:tc>
          <w:tcPr>
            <w:tcW w:w="1276" w:type="dxa"/>
            <w:tcBorders>
              <w:top w:val="nil"/>
              <w:bottom w:val="nil"/>
            </w:tcBorders>
          </w:tcPr>
          <w:p>
            <w:pPr>
              <w:pStyle w:val="nTable"/>
              <w:spacing w:before="60" w:after="60"/>
              <w:rPr>
                <w:sz w:val="19"/>
              </w:rPr>
            </w:pPr>
            <w:r>
              <w:rPr>
                <w:sz w:val="19"/>
              </w:rPr>
              <w:t>22 Jun 2011 p. 2369-73</w:t>
            </w:r>
          </w:p>
        </w:tc>
        <w:tc>
          <w:tcPr>
            <w:tcW w:w="2693" w:type="dxa"/>
            <w:tcBorders>
              <w:top w:val="nil"/>
              <w:bottom w:val="nil"/>
            </w:tcBorders>
          </w:tcPr>
          <w:p>
            <w:pPr>
              <w:pStyle w:val="nTable"/>
              <w:spacing w:before="60" w:after="60"/>
              <w:rPr>
                <w:snapToGrid w:val="0"/>
                <w:sz w:val="19"/>
              </w:rPr>
            </w:pPr>
            <w:r>
              <w:rPr>
                <w:snapToGrid w:val="0"/>
                <w:sz w:val="19"/>
              </w:rPr>
              <w:t>r. 1 and 2: 22 Jun 2011 (see r. 2(a));</w:t>
            </w:r>
            <w:r>
              <w:rPr>
                <w:snapToGrid w:val="0"/>
                <w:sz w:val="19"/>
              </w:rPr>
              <w:br/>
              <w:t>Regulations other than r. 1 and 2: 1 Jul 2011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3) 2011</w:t>
            </w:r>
          </w:p>
        </w:tc>
        <w:tc>
          <w:tcPr>
            <w:tcW w:w="1276" w:type="dxa"/>
            <w:tcBorders>
              <w:top w:val="nil"/>
              <w:bottom w:val="nil"/>
            </w:tcBorders>
            <w:shd w:val="clear" w:color="auto" w:fill="auto"/>
          </w:tcPr>
          <w:p>
            <w:pPr>
              <w:pStyle w:val="nTable"/>
              <w:spacing w:before="60" w:after="60"/>
              <w:rPr>
                <w:sz w:val="19"/>
              </w:rPr>
            </w:pPr>
            <w:r>
              <w:rPr>
                <w:sz w:val="19"/>
              </w:rPr>
              <w:t>30 Jun 2011 p. 2665-7</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30 Jun 2011 (see r. 2(a));</w:t>
            </w:r>
            <w:r>
              <w:rPr>
                <w:snapToGrid w:val="0"/>
                <w:sz w:val="19"/>
              </w:rPr>
              <w:br/>
              <w:t>Regulations other than r. 1 and 2: 1 Jul 2011 (see r. 2(b))</w:t>
            </w:r>
          </w:p>
        </w:tc>
      </w:tr>
      <w:tr>
        <w:tc>
          <w:tcPr>
            <w:tcW w:w="7087" w:type="dxa"/>
            <w:gridSpan w:val="3"/>
            <w:tcBorders>
              <w:top w:val="nil"/>
              <w:bottom w:val="nil"/>
            </w:tcBorders>
            <w:shd w:val="clear" w:color="auto" w:fill="auto"/>
          </w:tcPr>
          <w:p>
            <w:pPr>
              <w:pStyle w:val="nTable"/>
              <w:spacing w:before="60" w:after="60"/>
              <w:rPr>
                <w:snapToGrid w:val="0"/>
                <w:sz w:val="19"/>
              </w:rPr>
            </w:pPr>
            <w:r>
              <w:rPr>
                <w:b/>
                <w:bCs/>
                <w:sz w:val="19"/>
              </w:rPr>
              <w:t xml:space="preserve">Reprint 2: The </w:t>
            </w:r>
            <w:r>
              <w:rPr>
                <w:b/>
                <w:bCs/>
                <w:i/>
                <w:sz w:val="19"/>
              </w:rPr>
              <w:t>Motor Vehicle Repairers Regulations 2007</w:t>
            </w:r>
            <w:r>
              <w:rPr>
                <w:b/>
                <w:bCs/>
                <w:sz w:val="19"/>
              </w:rPr>
              <w:t xml:space="preserve"> as at 6 Jan 2012</w:t>
            </w:r>
            <w:r>
              <w:rPr>
                <w:sz w:val="19"/>
              </w:rPr>
              <w:t xml:space="preserve"> (includes amendments listed above)</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2012</w:t>
            </w:r>
          </w:p>
        </w:tc>
        <w:tc>
          <w:tcPr>
            <w:tcW w:w="1276" w:type="dxa"/>
            <w:tcBorders>
              <w:top w:val="nil"/>
              <w:bottom w:val="nil"/>
            </w:tcBorders>
            <w:shd w:val="clear" w:color="auto" w:fill="auto"/>
          </w:tcPr>
          <w:p>
            <w:pPr>
              <w:pStyle w:val="nTable"/>
              <w:spacing w:before="60" w:after="60"/>
              <w:rPr>
                <w:sz w:val="19"/>
              </w:rPr>
            </w:pPr>
            <w:r>
              <w:rPr>
                <w:sz w:val="19"/>
              </w:rPr>
              <w:t>15 Jun 2012 p. 2595</w:t>
            </w:r>
            <w:r>
              <w:rPr>
                <w:sz w:val="19"/>
              </w:rPr>
              <w:noBreakHyphen/>
              <w:t>8</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15 Jun 2012 (see r. 2(a));</w:t>
            </w:r>
            <w:r>
              <w:rPr>
                <w:snapToGrid w:val="0"/>
                <w:sz w:val="19"/>
              </w:rPr>
              <w:br/>
              <w:t>Regulations other than r. 1 and 2: 1 Jul 2012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3) 2013</w:t>
            </w:r>
          </w:p>
        </w:tc>
        <w:tc>
          <w:tcPr>
            <w:tcW w:w="1276" w:type="dxa"/>
            <w:tcBorders>
              <w:top w:val="nil"/>
              <w:bottom w:val="nil"/>
            </w:tcBorders>
            <w:shd w:val="clear" w:color="auto" w:fill="auto"/>
          </w:tcPr>
          <w:p>
            <w:pPr>
              <w:pStyle w:val="nTable"/>
              <w:spacing w:before="60" w:after="60"/>
              <w:rPr>
                <w:sz w:val="19"/>
              </w:rPr>
            </w:pPr>
            <w:r>
              <w:rPr>
                <w:sz w:val="19"/>
              </w:rPr>
              <w:t>27 Jun 2013 p. 2697-700</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27 Jun 2013 (see r. 2(a));</w:t>
            </w:r>
            <w:r>
              <w:rPr>
                <w:snapToGrid w:val="0"/>
                <w:sz w:val="19"/>
              </w:rPr>
              <w:br/>
              <w:t>Regulations other than r. 1 and 2: 1 Jul 2013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2) 2013</w:t>
            </w:r>
          </w:p>
        </w:tc>
        <w:tc>
          <w:tcPr>
            <w:tcW w:w="1276" w:type="dxa"/>
            <w:tcBorders>
              <w:top w:val="nil"/>
              <w:bottom w:val="nil"/>
            </w:tcBorders>
            <w:shd w:val="clear" w:color="auto" w:fill="auto"/>
          </w:tcPr>
          <w:p>
            <w:pPr>
              <w:pStyle w:val="nTable"/>
              <w:spacing w:before="60" w:after="60"/>
              <w:rPr>
                <w:sz w:val="19"/>
              </w:rPr>
            </w:pPr>
            <w:r>
              <w:rPr>
                <w:sz w:val="19"/>
              </w:rPr>
              <w:t>20 Aug 2013 p. 3838</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20 Aug 2013 (see r. 2(a));</w:t>
            </w:r>
            <w:r>
              <w:rPr>
                <w:snapToGrid w:val="0"/>
                <w:sz w:val="19"/>
              </w:rPr>
              <w:br/>
              <w:t xml:space="preserve">Regulations other than r. 1 and 2: 21 Aug 2013 (see r. 2(b) and </w:t>
            </w:r>
            <w:r>
              <w:rPr>
                <w:i/>
                <w:snapToGrid w:val="0"/>
                <w:sz w:val="19"/>
              </w:rPr>
              <w:t>Gazette</w:t>
            </w:r>
            <w:r>
              <w:rPr>
                <w:snapToGrid w:val="0"/>
                <w:sz w:val="19"/>
              </w:rPr>
              <w:t xml:space="preserve"> 20 Aug 2013 p. 3815)</w:t>
            </w:r>
          </w:p>
        </w:tc>
      </w:tr>
      <w:tr>
        <w:trPr>
          <w:cantSplit/>
        </w:trPr>
        <w:tc>
          <w:tcPr>
            <w:tcW w:w="3118" w:type="dxa"/>
            <w:tcBorders>
              <w:top w:val="nil"/>
              <w:bottom w:val="single" w:sz="4" w:space="0" w:color="auto"/>
            </w:tcBorders>
            <w:shd w:val="clear" w:color="auto" w:fill="auto"/>
          </w:tcPr>
          <w:p>
            <w:pPr>
              <w:pStyle w:val="nTable"/>
              <w:spacing w:before="60" w:after="60"/>
              <w:rPr>
                <w:i/>
                <w:sz w:val="19"/>
              </w:rPr>
            </w:pPr>
            <w:r>
              <w:rPr>
                <w:i/>
              </w:rPr>
              <w:t>Motor Vehicle Repairers Amendment Regulations (No. 3) 2014</w:t>
            </w:r>
          </w:p>
        </w:tc>
        <w:tc>
          <w:tcPr>
            <w:tcW w:w="1276" w:type="dxa"/>
            <w:tcBorders>
              <w:top w:val="nil"/>
              <w:bottom w:val="single" w:sz="4" w:space="0" w:color="auto"/>
            </w:tcBorders>
            <w:shd w:val="clear" w:color="auto" w:fill="auto"/>
          </w:tcPr>
          <w:p>
            <w:pPr>
              <w:pStyle w:val="nTable"/>
              <w:spacing w:before="60" w:after="60"/>
              <w:rPr>
                <w:sz w:val="19"/>
              </w:rPr>
            </w:pPr>
            <w:r>
              <w:rPr>
                <w:sz w:val="19"/>
              </w:rPr>
              <w:t>17 Jun 2014 p. 1970-3</w:t>
            </w:r>
          </w:p>
        </w:tc>
        <w:tc>
          <w:tcPr>
            <w:tcW w:w="2693" w:type="dxa"/>
            <w:tcBorders>
              <w:top w:val="nil"/>
              <w:bottom w:val="single" w:sz="4" w:space="0" w:color="auto"/>
            </w:tcBorders>
            <w:shd w:val="clear" w:color="auto" w:fill="auto"/>
          </w:tcPr>
          <w:p>
            <w:pPr>
              <w:pStyle w:val="nTable"/>
              <w:spacing w:before="60" w:after="60"/>
              <w:rPr>
                <w:snapToGrid w:val="0"/>
                <w:sz w:val="19"/>
              </w:rPr>
            </w:pPr>
            <w:r>
              <w:rPr>
                <w:rFonts w:ascii="Times" w:hAnsi="Times"/>
                <w:bCs/>
                <w:snapToGrid w:val="0"/>
                <w:spacing w:val="-2"/>
                <w:sz w:val="19"/>
              </w:rPr>
              <w:t>r. 1 and 2: 17 Jun 2014 (see r. 2(a));</w:t>
            </w:r>
            <w:r>
              <w:rPr>
                <w:rFonts w:ascii="Times" w:hAnsi="Times"/>
                <w:bCs/>
                <w:snapToGrid w:val="0"/>
                <w:spacing w:val="-2"/>
                <w:sz w:val="19"/>
              </w:rPr>
              <w:br/>
              <w:t>Regulations other than r. 1 and 2: 1 Jul 2014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 w:name="_Toc393111228"/>
      <w:r>
        <w:t>Provisions that have not come into operation</w:t>
      </w:r>
      <w:bookmarkEnd w:id="47"/>
    </w:p>
    <w:tbl>
      <w:tblPr>
        <w:tblW w:w="0" w:type="auto"/>
        <w:tblInd w:w="3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Pr>
          <w:p>
            <w:pPr>
              <w:pStyle w:val="nTable"/>
              <w:spacing w:after="40"/>
              <w:ind w:right="113"/>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rPr>
          <w:cantSplit/>
        </w:trPr>
        <w:tc>
          <w:tcPr>
            <w:tcW w:w="3119" w:type="dxa"/>
          </w:tcPr>
          <w:p>
            <w:pPr>
              <w:pStyle w:val="nTable"/>
              <w:spacing w:after="40"/>
              <w:ind w:right="113"/>
            </w:pPr>
            <w:r>
              <w:rPr>
                <w:i/>
              </w:rPr>
              <w:t>Motor Vehicle Repairers Amendment Regulations 2014</w:t>
            </w:r>
            <w:r>
              <w:t xml:space="preserve"> r. 3-5</w:t>
            </w:r>
            <w:r>
              <w:rPr>
                <w:vertAlign w:val="superscript"/>
              </w:rPr>
              <w:t> 2</w:t>
            </w:r>
          </w:p>
        </w:tc>
        <w:tc>
          <w:tcPr>
            <w:tcW w:w="1276" w:type="dxa"/>
          </w:tcPr>
          <w:p>
            <w:pPr>
              <w:pStyle w:val="nTable"/>
              <w:spacing w:after="40"/>
              <w:rPr>
                <w:sz w:val="19"/>
              </w:rPr>
            </w:pPr>
            <w:r>
              <w:rPr>
                <w:sz w:val="19"/>
              </w:rPr>
              <w:t>15 Jul 2014 p. 2462-3</w:t>
            </w:r>
          </w:p>
        </w:tc>
        <w:tc>
          <w:tcPr>
            <w:tcW w:w="2693" w:type="dxa"/>
          </w:tcPr>
          <w:p>
            <w:pPr>
              <w:pStyle w:val="nTable"/>
              <w:spacing w:after="40"/>
              <w:rPr>
                <w:sz w:val="19"/>
              </w:rPr>
            </w:pPr>
            <w:r>
              <w:rPr>
                <w:sz w:val="19"/>
              </w:rPr>
              <w:t>1 Aug 2014 (see r.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Motor Vehicle Repairers Amendment Regulations 2014 </w:t>
      </w:r>
      <w:r>
        <w:rPr>
          <w:snapToGrid w:val="0"/>
        </w:rPr>
        <w:t>r. 3-5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Motor Vehicle Repairers Regulations 2007</w:t>
      </w:r>
      <w:r>
        <w:t>.</w:t>
      </w:r>
    </w:p>
    <w:p>
      <w:pPr>
        <w:pStyle w:val="nzHeading5"/>
      </w:pPr>
      <w:r>
        <w:rPr>
          <w:rStyle w:val="CharSectno"/>
        </w:rPr>
        <w:t>4</w:t>
      </w:r>
      <w:r>
        <w:t>.</w:t>
      </w:r>
      <w:r>
        <w:tab/>
        <w:t>Regulation 7A amended</w:t>
      </w:r>
    </w:p>
    <w:p>
      <w:pPr>
        <w:pStyle w:val="nzSubsection"/>
      </w:pPr>
      <w:r>
        <w:tab/>
      </w:r>
      <w:r>
        <w:tab/>
        <w:t>Delete regulation 7A(1)(c)(i) and insert:</w:t>
      </w:r>
    </w:p>
    <w:p>
      <w:pPr>
        <w:pStyle w:val="BlankOpen"/>
        <w:rPr>
          <w:sz w:val="20"/>
          <w:szCs w:val="20"/>
        </w:rPr>
      </w:pPr>
    </w:p>
    <w:p>
      <w:pPr>
        <w:pStyle w:val="zIndenti"/>
        <w:rPr>
          <w:sz w:val="20"/>
        </w:rPr>
      </w:pPr>
      <w:r>
        <w:rPr>
          <w:sz w:val="20"/>
        </w:rPr>
        <w:tab/>
        <w:t>(i)</w:t>
      </w:r>
      <w:r>
        <w:rPr>
          <w:sz w:val="20"/>
        </w:rPr>
        <w:tab/>
        <w:t>$165; and</w:t>
      </w:r>
    </w:p>
    <w:p>
      <w:pPr>
        <w:pStyle w:val="BlankClose"/>
        <w:rPr>
          <w:sz w:val="20"/>
          <w:szCs w:val="20"/>
        </w:rPr>
      </w:pPr>
    </w:p>
    <w:p>
      <w:pPr>
        <w:pStyle w:val="nzHeading5"/>
      </w:pPr>
      <w:r>
        <w:rPr>
          <w:rStyle w:val="CharSectno"/>
        </w:rPr>
        <w:t>5</w:t>
      </w:r>
      <w:r>
        <w:t>.</w:t>
      </w:r>
      <w:r>
        <w:tab/>
        <w:t>Regulation 7F amended</w:t>
      </w:r>
    </w:p>
    <w:p>
      <w:pPr>
        <w:pStyle w:val="nzSubsection"/>
      </w:pPr>
      <w:r>
        <w:tab/>
      </w:r>
      <w:r>
        <w:tab/>
        <w:t>Delete regulation 7F(1)(a) and insert:</w:t>
      </w:r>
    </w:p>
    <w:p>
      <w:pPr>
        <w:pStyle w:val="BlankOpen"/>
        <w:rPr>
          <w:sz w:val="20"/>
          <w:szCs w:val="20"/>
        </w:rPr>
      </w:pPr>
    </w:p>
    <w:p>
      <w:pPr>
        <w:pStyle w:val="zIndenta"/>
        <w:rPr>
          <w:sz w:val="20"/>
        </w:rPr>
      </w:pPr>
      <w:r>
        <w:rPr>
          <w:sz w:val="20"/>
        </w:rPr>
        <w:tab/>
        <w:t>(a)</w:t>
      </w:r>
      <w:r>
        <w:rPr>
          <w:sz w:val="20"/>
        </w:rPr>
        <w:tab/>
        <w:t>$165; and</w:t>
      </w:r>
    </w:p>
    <w:p>
      <w:pPr>
        <w:pStyle w:val="BlankClose"/>
        <w:rPr>
          <w:sz w:val="20"/>
          <w:szCs w:val="20"/>
        </w:rPr>
      </w:pPr>
    </w:p>
    <w:p>
      <w:pPr>
        <w:pStyle w:val="BlankClose"/>
        <w:rPr>
          <w:sz w:val="20"/>
          <w:szCs w:val="20"/>
        </w:rPr>
      </w:pPr>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48" w:name="_Toc391647206"/>
      <w:bookmarkStart w:id="49" w:name="_Toc393111229"/>
      <w:r>
        <w:rPr>
          <w:sz w:val="28"/>
        </w:rPr>
        <w:t>Defined Terms</w:t>
      </w:r>
      <w:bookmarkEnd w:id="48"/>
      <w:bookmarkEnd w:id="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0" w:name="DefinedTerms"/>
      <w:bookmarkEnd w:id="50"/>
      <w:r>
        <w:t>accessory</w:t>
      </w:r>
      <w:r>
        <w:tab/>
        <w:t>3(1)</w:t>
      </w:r>
    </w:p>
    <w:p>
      <w:pPr>
        <w:pStyle w:val="DefinedTerms"/>
      </w:pPr>
      <w:r>
        <w:t>air conditioning work</w:t>
      </w:r>
      <w:r>
        <w:tab/>
        <w:t>3(1)</w:t>
      </w:r>
    </w:p>
    <w:p>
      <w:pPr>
        <w:pStyle w:val="DefinedTerms"/>
      </w:pPr>
      <w:r>
        <w:t>apprentice</w:t>
      </w:r>
      <w:r>
        <w:tab/>
        <w:t>3(1)</w:t>
      </w:r>
    </w:p>
    <w:p>
      <w:pPr>
        <w:pStyle w:val="DefinedTerms"/>
      </w:pPr>
      <w:r>
        <w:t>AUR05</w:t>
      </w:r>
      <w:r>
        <w:tab/>
        <w:t>8(1)</w:t>
      </w:r>
    </w:p>
    <w:p>
      <w:pPr>
        <w:pStyle w:val="DefinedTerms"/>
      </w:pPr>
      <w:r>
        <w:t>AUR99</w:t>
      </w:r>
      <w:r>
        <w:tab/>
        <w:t>8(1)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cooling system work</w:t>
      </w:r>
      <w:r>
        <w:tab/>
        <w:t>3(1)</w:t>
      </w:r>
    </w:p>
    <w:p>
      <w:pPr>
        <w:pStyle w:val="DefinedTerms"/>
      </w:pPr>
      <w:r>
        <w:t>cylinder head reconditioning work</w:t>
      </w:r>
      <w:r>
        <w:tab/>
        <w:t>3(1)</w:t>
      </w:r>
    </w:p>
    <w:p>
      <w:pPr>
        <w:pStyle w:val="DefinedTerms"/>
      </w:pPr>
      <w:r>
        <w:t>descriptor</w:t>
      </w:r>
      <w:r>
        <w:tab/>
        <w:t>8(1)</w:t>
      </w:r>
    </w:p>
    <w:p>
      <w:pPr>
        <w:pStyle w:val="DefinedTerms"/>
      </w:pPr>
      <w:r>
        <w:t>diesel fitting work</w:t>
      </w:r>
      <w:r>
        <w:tab/>
        <w:t>3(1)</w:t>
      </w:r>
    </w:p>
    <w:p>
      <w:pPr>
        <w:pStyle w:val="DefinedTerms"/>
      </w:pPr>
      <w:r>
        <w:t>diesel fuel and engine work</w:t>
      </w:r>
      <w:r>
        <w:tab/>
        <w:t>3(1)</w:t>
      </w:r>
    </w:p>
    <w:p>
      <w:pPr>
        <w:pStyle w:val="DefinedTerms"/>
      </w:pPr>
      <w:r>
        <w:t>driveline</w:t>
      </w:r>
      <w:r>
        <w:tab/>
        <w:t>3(1)</w:t>
      </w:r>
    </w:p>
    <w:p>
      <w:pPr>
        <w:pStyle w:val="DefinedTerms"/>
      </w:pPr>
      <w:r>
        <w:t>driveline servicing and repairing work</w:t>
      </w:r>
      <w:r>
        <w:tab/>
        <w:t>3(1)</w:t>
      </w:r>
    </w:p>
    <w:p>
      <w:pPr>
        <w:pStyle w:val="DefinedTerms"/>
      </w:pPr>
      <w:r>
        <w:t>driveline work</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exhaust system work</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licence notice</w:t>
      </w:r>
      <w:r>
        <w:tab/>
        <w:t>3(1)</w:t>
      </w:r>
    </w:p>
    <w:p>
      <w:pPr>
        <w:pStyle w:val="DefinedTerms"/>
      </w:pPr>
      <w:r>
        <w:t>light vehicle</w:t>
      </w:r>
      <w:r>
        <w:tab/>
        <w:t>3(1)</w:t>
      </w:r>
    </w:p>
    <w:p>
      <w:pPr>
        <w:pStyle w:val="DefinedTerms"/>
      </w:pPr>
      <w:r>
        <w:t>light vehicle servicing work</w:t>
      </w:r>
      <w:r>
        <w:tab/>
        <w:t>3(1)</w:t>
      </w:r>
    </w:p>
    <w:p>
      <w:pPr>
        <w:pStyle w:val="DefinedTerms"/>
      </w:pPr>
      <w:r>
        <w:t>light vehicle work</w:t>
      </w:r>
      <w:r>
        <w:tab/>
        <w:t>3(1)</w:t>
      </w:r>
    </w:p>
    <w:p>
      <w:pPr>
        <w:pStyle w:val="DefinedTerms"/>
      </w:pPr>
      <w:r>
        <w:t>mechanical accessory</w:t>
      </w:r>
      <w:r>
        <w:tab/>
        <w:t>3(1)</w:t>
      </w:r>
    </w:p>
    <w:p>
      <w:pPr>
        <w:pStyle w:val="DefinedTerms"/>
      </w:pPr>
      <w:r>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old licence</w:t>
      </w:r>
      <w:r>
        <w:tab/>
        <w:t>3(1)</w:t>
      </w:r>
    </w:p>
    <w:p>
      <w:pPr>
        <w:pStyle w:val="DefinedTerms"/>
      </w:pPr>
      <w:r>
        <w:t>outstanding fee</w:t>
      </w:r>
      <w:r>
        <w:tab/>
        <w:t>7B(1)</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power assisted pedal cycle</w:t>
      </w:r>
      <w:r>
        <w:tab/>
        <w:t>3(1)</w:t>
      </w:r>
    </w:p>
    <w:p>
      <w:pPr>
        <w:pStyle w:val="DefinedTerms"/>
      </w:pPr>
      <w:r>
        <w:t>prescribed accessory</w:t>
      </w:r>
      <w:r>
        <w:tab/>
        <w:t>3(1)</w:t>
      </w:r>
    </w:p>
    <w:p>
      <w:pPr>
        <w:pStyle w:val="DefinedTerms"/>
      </w:pPr>
      <w:r>
        <w:t>prescribed fee</w:t>
      </w:r>
      <w:r>
        <w:tab/>
        <w:t>19(1)</w:t>
      </w:r>
    </w:p>
    <w:p>
      <w:pPr>
        <w:pStyle w:val="DefinedTerms"/>
      </w:pPr>
      <w:r>
        <w:t>proposed refund</w:t>
      </w:r>
      <w:r>
        <w:tab/>
        <w:t>7B(1)</w:t>
      </w:r>
    </w:p>
    <w:p>
      <w:pPr>
        <w:pStyle w:val="DefinedTerms"/>
      </w:pPr>
      <w:r>
        <w:t>qualified repairer</w:t>
      </w:r>
      <w:r>
        <w:tab/>
        <w:t>7G(1)</w:t>
      </w:r>
    </w:p>
    <w:p>
      <w:pPr>
        <w:pStyle w:val="DefinedTerms"/>
      </w:pPr>
      <w:r>
        <w:t>register of certificates</w:t>
      </w:r>
      <w:r>
        <w:tab/>
        <w:t>3(1)</w:t>
      </w:r>
    </w:p>
    <w:p>
      <w:pPr>
        <w:pStyle w:val="DefinedTerms"/>
      </w:pPr>
      <w:r>
        <w:t>relevant authority</w:t>
      </w:r>
      <w:r>
        <w:tab/>
        <w:t>3(1)</w:t>
      </w:r>
    </w:p>
    <w:p>
      <w:pPr>
        <w:pStyle w:val="DefinedTerms"/>
      </w:pPr>
      <w:r>
        <w:t>relevant day</w:t>
      </w:r>
      <w:r>
        <w:tab/>
        <w:t>7H(1)</w:t>
      </w:r>
    </w:p>
    <w:p>
      <w:pPr>
        <w:pStyle w:val="DefinedTerms"/>
      </w:pPr>
      <w:r>
        <w:t>repair</w:t>
      </w:r>
      <w:r>
        <w:tab/>
        <w:t>3(1)</w:t>
      </w:r>
    </w:p>
    <w:p>
      <w:pPr>
        <w:pStyle w:val="DefinedTerms"/>
      </w:pPr>
      <w:r>
        <w:t>repairer</w:t>
      </w:r>
      <w:r>
        <w:tab/>
        <w:t>3(1)</w:t>
      </w:r>
    </w:p>
    <w:p>
      <w:pPr>
        <w:pStyle w:val="DefinedTerms"/>
      </w:pPr>
      <w:r>
        <w:t>replacement application</w:t>
      </w:r>
      <w:r>
        <w:tab/>
        <w:t>3(1)</w:t>
      </w:r>
    </w:p>
    <w:p>
      <w:pPr>
        <w:pStyle w:val="DefinedTerms"/>
      </w:pPr>
      <w:r>
        <w:t>replacement licence</w:t>
      </w:r>
      <w:r>
        <w:tab/>
        <w:t>3(1)</w:t>
      </w:r>
    </w:p>
    <w:p>
      <w:pPr>
        <w:pStyle w:val="DefinedTerms"/>
      </w:pPr>
      <w:r>
        <w:t>replacement licence notice</w:t>
      </w:r>
      <w:r>
        <w:tab/>
        <w:t>3(1)</w:t>
      </w:r>
    </w:p>
    <w:p>
      <w:pPr>
        <w:pStyle w:val="DefinedTerms"/>
      </w:pPr>
      <w:r>
        <w:t>retrofit</w:t>
      </w:r>
      <w:r>
        <w:tab/>
        <w:t>3(1)</w:t>
      </w:r>
    </w:p>
    <w:p>
      <w:pPr>
        <w:pStyle w:val="DefinedTerms"/>
      </w:pPr>
      <w:r>
        <w:t>Road Traffic Act</w:t>
      </w:r>
      <w:r>
        <w:tab/>
        <w:t>3(1)</w:t>
      </w:r>
    </w:p>
    <w:p>
      <w:pPr>
        <w:pStyle w:val="DefinedTerms"/>
      </w:pPr>
      <w:r>
        <w:t>round of licence notices</w:t>
      </w:r>
      <w:r>
        <w:tab/>
        <w:t>18(1)</w:t>
      </w:r>
    </w:p>
    <w:p>
      <w:pPr>
        <w:pStyle w:val="DefinedTerms"/>
      </w:pPr>
      <w:r>
        <w:t>service</w:t>
      </w:r>
      <w:r>
        <w:tab/>
        <w:t>3(1)</w:t>
      </w:r>
    </w:p>
    <w:p>
      <w:pPr>
        <w:pStyle w:val="DefinedTerms"/>
      </w:pPr>
      <w:r>
        <w:t>steering, suspension and wheel aligning work</w:t>
      </w:r>
      <w:r>
        <w:tab/>
        <w:t>3(1)</w:t>
      </w:r>
    </w:p>
    <w:p>
      <w:pPr>
        <w:pStyle w:val="DefinedTerms"/>
      </w:pPr>
      <w:r>
        <w:t>transitional application</w:t>
      </w:r>
      <w:r>
        <w:tab/>
        <w:t>3(1)</w:t>
      </w:r>
    </w:p>
    <w:p>
      <w:pPr>
        <w:pStyle w:val="DefinedTerms"/>
      </w:pPr>
      <w:r>
        <w:t>transitional licence</w:t>
      </w:r>
      <w:r>
        <w:tab/>
        <w:t>3(1)</w:t>
      </w:r>
    </w:p>
    <w:p>
      <w:pPr>
        <w:pStyle w:val="DefinedTerms"/>
      </w:pPr>
      <w:r>
        <w:t>transmission work</w:t>
      </w:r>
      <w:r>
        <w:tab/>
        <w:t>3(1)</w:t>
      </w:r>
    </w:p>
    <w:p>
      <w:pPr>
        <w:pStyle w:val="DefinedTerms"/>
      </w:pPr>
      <w:r>
        <w:t>trimming work</w:t>
      </w:r>
      <w:r>
        <w:tab/>
        <w:t>3(1)</w:t>
      </w:r>
    </w:p>
    <w:p>
      <w:pPr>
        <w:pStyle w:val="DefinedTerms"/>
      </w:pPr>
      <w:r>
        <w:t>tyre fitting (heavy) work</w:t>
      </w:r>
      <w:r>
        <w:tab/>
        <w:t>3(1)</w:t>
      </w:r>
    </w:p>
    <w:p>
      <w:pPr>
        <w:pStyle w:val="DefinedTerms"/>
      </w:pPr>
      <w:r>
        <w:t>tyre fitting (light) work</w:t>
      </w:r>
      <w:r>
        <w:tab/>
        <w:t>3(1)</w:t>
      </w:r>
    </w:p>
    <w:p>
      <w:pPr>
        <w:pStyle w:val="DefinedTerms"/>
      </w:pPr>
      <w:r>
        <w:t>underbody work</w:t>
      </w:r>
      <w:r>
        <w:tab/>
        <w:t>3(1)</w:t>
      </w:r>
    </w:p>
    <w:p>
      <w:pPr>
        <w:pStyle w:val="DefinedTerms"/>
      </w:pPr>
      <w:r>
        <w:t>vintage vehicle</w:t>
      </w:r>
      <w:r>
        <w:tab/>
        <w:t>3(1)</w:t>
      </w:r>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Repairers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Repairers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4C1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0497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D6B3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604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94CA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0E16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E01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F6B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8ADB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BD2A4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E6C94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23121650"/>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image" Target="media/image5.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13023</Words>
  <Characters>64597</Characters>
  <Application>Microsoft Office Word</Application>
  <DocSecurity>0</DocSecurity>
  <Lines>2583</Lines>
  <Paragraphs>1687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2007 - 02-f0-00</dc:title>
  <dc:subject/>
  <dc:creator/>
  <cp:keywords/>
  <dc:description/>
  <cp:lastModifiedBy>svcMRProcess</cp:lastModifiedBy>
  <cp:revision>4</cp:revision>
  <cp:lastPrinted>2012-01-17T04:19:00Z</cp:lastPrinted>
  <dcterms:created xsi:type="dcterms:W3CDTF">2020-02-26T03:36:00Z</dcterms:created>
  <dcterms:modified xsi:type="dcterms:W3CDTF">2020-02-26T03:36:00Z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CommencementDate">
    <vt:lpwstr>20140715</vt:lpwstr>
  </property>
  <property fmtid="{D5CDD505-2E9C-101B-9397-08002B2CF9AE}" pid="4" name="OwlsUID">
    <vt:i4>38522</vt:i4>
  </property>
  <property fmtid="{D5CDD505-2E9C-101B-9397-08002B2CF9AE}" pid="5" name="AsAtDate">
    <vt:lpwstr>15 Jul 2014</vt:lpwstr>
  </property>
  <property fmtid="{D5CDD505-2E9C-101B-9397-08002B2CF9AE}" pid="6" name="Suffix">
    <vt:lpwstr>02-f0-00</vt:lpwstr>
  </property>
  <property fmtid="{D5CDD505-2E9C-101B-9397-08002B2CF9AE}" pid="7" name="ReprintNo">
    <vt:lpwstr>2</vt:lpwstr>
  </property>
  <property fmtid="{D5CDD505-2E9C-101B-9397-08002B2CF9AE}" pid="8" name="ReprintedAsAt">
    <vt:filetime>2012-01-05T16:00:00Z</vt:filetime>
  </property>
  <property fmtid="{D5CDD505-2E9C-101B-9397-08002B2CF9AE}" pid="9" name="DocumentType">
    <vt:lpwstr>Reg</vt:lpwstr>
  </property>
</Properties>
</file>