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City of Perth Act 1925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Local Government (Consequential Amendments) Act 1996</w:t>
      </w:r>
      <w:r>
        <w:rPr>
          <w:color w:val="000000"/>
          <w:sz w:val="22"/>
          <w:szCs w:val="22"/>
        </w:rPr>
        <w:t xml:space="preserve"> s. 3 (No. 14 of 1996) as at 1 Jul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15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153" w:val="UsedStyles"/>
    <w:docVar w:name="WAFER_20160412134153_GUID" w:val="620d5063-9c75-4438-aa12-646b5c5c3cd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Perth Act 1925 - 01-b0-02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19960701</vt:lpwstr>
  </property>
</Properties>
</file>