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Fruit Cases Act 1919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(Agricultural Products) and Repeal Act 1982</w:t>
      </w:r>
      <w:r>
        <w:rPr>
          <w:color w:val="000000"/>
          <w:sz w:val="22"/>
          <w:szCs w:val="22"/>
        </w:rPr>
        <w:t xml:space="preserve"> s. 13 (No. 61 of 1982) as at 1 Oct 1983.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64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643" w:val="UsedStyles"/>
    <w:docVar w:name="WAFER_20160412140643_GUID" w:val="8af1e060-3697-4f5f-b82a-bf38dc3a336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Cases Act 1919 - 02-b0-02</dc:title>
  <dc:subject/>
  <dc:creator/>
  <cp:keywords/>
  <dc:description/>
  <cp:lastModifiedBy>svcMRProcess</cp:lastModifiedBy>
  <cp:revision>3</cp:revision>
  <dcterms:created xsi:type="dcterms:W3CDTF">2016-04-12T06:16:00Z</dcterms:created>
  <dcterms:modified xsi:type="dcterms:W3CDTF">2016-04-12T06:16:00Z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Oct 1983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19831001</vt:lpwstr>
  </property>
</Properties>
</file>