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Rural and Industries Bank Act 1944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</w:t>
      </w:r>
      <w:r>
        <w:rPr>
          <w:i/>
          <w:color w:val="000000"/>
          <w:sz w:val="22"/>
          <w:szCs w:val="22"/>
        </w:rPr>
        <w:t xml:space="preserve">The Rural and Industries Bank of Western Australia Act 1987 </w:t>
      </w:r>
      <w:r>
        <w:rPr>
          <w:color w:val="000000"/>
          <w:sz w:val="22"/>
          <w:szCs w:val="22"/>
        </w:rPr>
        <w:t>s. 36 (No. 83 of 1987) as at 1 Apr 1988.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492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4923" w:val="UsedStyles"/>
    <w:docVar w:name="WAFER_20160419084923_GUID" w:val="15c922a1-5bf5-463f-95ca-a69102f3411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224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and Industries Bank Act 1944 - 02-b0-02</dc:title>
  <dc:subject/>
  <dc:creator/>
  <cp:keywords/>
  <dc:description/>
  <cp:lastModifiedBy>svcMRProcess</cp:lastModifiedBy>
  <cp:revision>3</cp:revision>
  <dcterms:created xsi:type="dcterms:W3CDTF">2016-04-19T00:51:00Z</dcterms:created>
  <dcterms:modified xsi:type="dcterms:W3CDTF">2016-04-19T00:51:00Z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Apr 1988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19880401</vt:lpwstr>
  </property>
</Properties>
</file>