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Trading Stamp Act 1948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Trading Stamp Act 1981 </w:t>
      </w:r>
      <w:r>
        <w:rPr>
          <w:color w:val="000000"/>
          <w:sz w:val="22"/>
          <w:szCs w:val="22"/>
        </w:rPr>
        <w:t>s. 7 (No. 46 of 1981) as at 1 Nov 1981.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65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655" w:val="UsedStyles"/>
    <w:docVar w:name="WAFER_20160419090655_GUID" w:val="77b23ebf-f391-4dbd-9457-5e1808834e2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Trading Stamp Act 1948 - 01-b0-02</dc:title>
  <dc:subject/>
  <dc:creator/>
  <cp:keywords/>
  <dc:description/>
  <cp:lastModifiedBy>svcMRProcess</cp:lastModifiedBy>
  <cp:revision>3</cp:revision>
  <dcterms:created xsi:type="dcterms:W3CDTF">2016-04-19T01:15:00Z</dcterms:created>
  <dcterms:modified xsi:type="dcterms:W3CDTF">2016-04-19T01:15:00Z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Nov 1981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19811101</vt:lpwstr>
  </property>
</Properties>
</file>