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  <w:ind w:left="284" w:right="292"/>
      </w:pPr>
      <w:bookmarkStart w:id="2" w:name="Citation"/>
      <w:bookmarkEnd w:id="2"/>
      <w:r>
        <w:t>Dairy Products Marketing Regulation Act 1934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Dairy Industry Act 1973</w:t>
      </w:r>
      <w:r>
        <w:rPr>
          <w:color w:val="000000"/>
          <w:sz w:val="22"/>
          <w:szCs w:val="22"/>
        </w:rPr>
        <w:t xml:space="preserve"> s. 4(1) (No. 92 of 1973) as at 11 Mar 1974.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92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924" w:val="UsedStyles"/>
    <w:docVar w:name="WAFER_20160412134924_GUID" w:val="33927b1f-c121-4ebe-accb-1046280363a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210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Products Marketing Regulation Act 1934 - 02-b0-02</dc:title>
  <dc:subject/>
  <dc:creator/>
  <cp:keywords/>
  <dc:description/>
  <cp:lastModifiedBy>svcMRProcess</cp:lastModifiedBy>
  <cp:revision>3</cp:revision>
  <dcterms:created xsi:type="dcterms:W3CDTF">2016-04-12T05:52:00Z</dcterms:created>
  <dcterms:modified xsi:type="dcterms:W3CDTF">2016-04-12T05:52:00Z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11 Mar 1974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19740311</vt:lpwstr>
  </property>
</Properties>
</file>