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Fremantle Municipal Tramways and Electric Lighting Act 1903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City of Fremantle and Town of East Fremantle Trust Funds Act 1961</w:t>
      </w:r>
      <w:r>
        <w:rPr>
          <w:color w:val="000000"/>
          <w:sz w:val="22"/>
          <w:szCs w:val="22"/>
        </w:rPr>
        <w:t xml:space="preserve"> s. 4 (No. 78 of 1961) as at 25 Nov 1961.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62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621" w:val="UsedStyles"/>
    <w:docVar w:name="WAFER_20160412140621_GUID" w:val="5fb9bb6f-63e1-4ff4-a6d9-9a5ca9e3a5e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254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Fremantle Municipal Tramways and Electric Lighting Act 1903 - 01-b0-02</dc:title>
  <dc:subject/>
  <dc:creator/>
  <cp:keywords/>
  <dc:description/>
  <cp:lastModifiedBy>svcMRProcess</cp:lastModifiedBy>
  <cp:revision>3</cp:revision>
  <dcterms:created xsi:type="dcterms:W3CDTF">2016-04-12T06:16:00Z</dcterms:created>
  <dcterms:modified xsi:type="dcterms:W3CDTF">2016-04-12T06:16:00Z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25 Nov 1961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19611125</vt:lpwstr>
  </property>
</Properties>
</file>