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Censorship of Films Act 1947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 xml:space="preserve">Censorship Act 1996 </w:t>
      </w:r>
      <w:r>
        <w:rPr>
          <w:color w:val="000000"/>
          <w:sz w:val="22"/>
          <w:szCs w:val="22"/>
        </w:rPr>
        <w:t>s. 153(2) (No. 40 of 1996) as at 5 Nov 1996.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33925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33925" w:val="UsedStyles"/>
    <w:docVar w:name="WAFER_20160412133925_GUID" w:val="ddb80df8-c517-43f4-afe4-2f779eab76aa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193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Censorship of Films Act 1947 - 02-b0-02</dc:title>
  <dc:subject/>
  <dc:creator/>
  <cp:keywords/>
  <dc:description/>
  <cp:lastModifiedBy>svcMRProcess</cp:lastModifiedBy>
  <cp:revision>3</cp:revision>
  <dcterms:created xsi:type="dcterms:W3CDTF">2016-04-12T05:49:00Z</dcterms:created>
  <dcterms:modified xsi:type="dcterms:W3CDTF">2016-04-12T05:49:00Z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02-b0-02</vt:lpwstr>
  </property>
  <property fmtid="{D5CDD505-2E9C-101B-9397-08002B2CF9AE}" pid="3" name="AsAtDate">
    <vt:lpwstr>05 Nov 1996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19961105</vt:lpwstr>
  </property>
</Properties>
</file>