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Door to Door Trading Act 1987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8 August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138229"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2"/>
        </w:numPr>
        <w:tabs>
          <w:tab w:val="clear" w:pos="360"/>
          <w:tab w:val="num" w:pos="1209"/>
        </w:tabs>
        <w:ind w:left="1200"/>
        <w:rPr>
          <w:sz w:val="20"/>
        </w:rPr>
      </w:pPr>
      <w:r>
        <w:rPr>
          <w:sz w:val="20"/>
        </w:rPr>
        <w:t>removed (because it was repealed or deleted from the law); or</w:t>
      </w:r>
    </w:p>
    <w:p>
      <w:pPr>
        <w:numPr>
          <w:ilvl w:val="0"/>
          <w:numId w:val="42"/>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 August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Door to Door Trading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_Toc395879688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_Toc395879689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_Toc395879690 \h </w:instrText>
      </w:r>
      <w:r>
        <w:fldChar w:fldCharType="separate"/>
      </w:r>
      <w:r>
        <w:t>2</w:t>
      </w:r>
      <w:r>
        <w:fldChar w:fldCharType="end"/>
      </w:r>
    </w:p>
    <w:p>
      <w:pPr>
        <w:pStyle w:val="TOC8"/>
        <w:rPr>
          <w:rFonts w:asciiTheme="minorHAnsi" w:eastAsiaTheme="minorEastAsia" w:hAnsiTheme="minorHAnsi" w:cstheme="minorBidi"/>
          <w:szCs w:val="22"/>
        </w:rPr>
      </w:pPr>
      <w:r>
        <w:t>3B.</w:t>
      </w:r>
      <w:r>
        <w:tab/>
        <w:t>Expiry of Act</w:t>
      </w:r>
      <w:r>
        <w:tab/>
      </w:r>
      <w:r>
        <w:fldChar w:fldCharType="begin"/>
      </w:r>
      <w:r>
        <w:instrText xml:space="preserve"> PAGEREF _Toc395879691 \h </w:instrText>
      </w:r>
      <w:r>
        <w:fldChar w:fldCharType="separate"/>
      </w:r>
      <w:r>
        <w:t>2</w:t>
      </w:r>
      <w:r>
        <w:fldChar w:fldCharType="end"/>
      </w:r>
    </w:p>
    <w:p>
      <w:pPr>
        <w:pStyle w:val="TOC8"/>
        <w:rPr>
          <w:rFonts w:asciiTheme="minorHAnsi" w:eastAsiaTheme="minorEastAsia" w:hAnsiTheme="minorHAnsi" w:cstheme="minorBidi"/>
          <w:szCs w:val="22"/>
        </w:rPr>
      </w:pPr>
      <w:r>
        <w:t>3C.</w:t>
      </w:r>
      <w:r>
        <w:tab/>
        <w:t>Act continues to apply for certain purposes</w:t>
      </w:r>
      <w:r>
        <w:tab/>
      </w:r>
      <w:r>
        <w:fldChar w:fldCharType="begin"/>
      </w:r>
      <w:r>
        <w:instrText xml:space="preserve"> PAGEREF _Toc395879692 \h </w:instrText>
      </w:r>
      <w:r>
        <w:fldChar w:fldCharType="separate"/>
      </w:r>
      <w:r>
        <w:t>2</w:t>
      </w:r>
      <w:r>
        <w:fldChar w:fldCharType="end"/>
      </w:r>
    </w:p>
    <w:p>
      <w:pPr>
        <w:pStyle w:val="TOC8"/>
        <w:rPr>
          <w:rFonts w:asciiTheme="minorHAnsi" w:eastAsiaTheme="minorEastAsia" w:hAnsiTheme="minorHAnsi" w:cstheme="minorBidi"/>
          <w:szCs w:val="22"/>
        </w:rPr>
      </w:pPr>
      <w:r>
        <w:t>3D.</w:t>
      </w:r>
      <w:r>
        <w:tab/>
        <w:t>Acts or omissions that occurred before commencement day</w:t>
      </w:r>
      <w:r>
        <w:tab/>
      </w:r>
      <w:r>
        <w:fldChar w:fldCharType="begin"/>
      </w:r>
      <w:r>
        <w:instrText xml:space="preserve"> PAGEREF _Toc395879693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_Toc395879694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Contracts to which this Act applies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Contracts generally</w:t>
      </w:r>
    </w:p>
    <w:p>
      <w:pPr>
        <w:pStyle w:val="TOC8"/>
        <w:rPr>
          <w:rFonts w:asciiTheme="minorHAnsi" w:eastAsiaTheme="minorEastAsia" w:hAnsiTheme="minorHAnsi" w:cstheme="minorBidi"/>
          <w:szCs w:val="22"/>
        </w:rPr>
      </w:pPr>
      <w:r>
        <w:t>4</w:t>
      </w:r>
      <w:r>
        <w:rPr>
          <w:snapToGrid w:val="0"/>
        </w:rPr>
        <w:t>.</w:t>
      </w:r>
      <w:r>
        <w:rPr>
          <w:snapToGrid w:val="0"/>
        </w:rPr>
        <w:tab/>
        <w:t>Criteria for determining whether contract is one to which this Act applies</w:t>
      </w:r>
      <w:r>
        <w:tab/>
      </w:r>
      <w:r>
        <w:fldChar w:fldCharType="begin"/>
      </w:r>
      <w:r>
        <w:instrText xml:space="preserve"> PAGEREF _Toc395879697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contractual terms prohibited</w:t>
      </w:r>
      <w:r>
        <w:tab/>
      </w:r>
      <w:r>
        <w:fldChar w:fldCharType="begin"/>
      </w:r>
      <w:r>
        <w:instrText xml:space="preserve"> PAGEREF _Toc395879698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Prescribed contracts</w:t>
      </w:r>
    </w:p>
    <w:p>
      <w:pPr>
        <w:pStyle w:val="TOC8"/>
        <w:rPr>
          <w:rFonts w:asciiTheme="minorHAnsi" w:eastAsiaTheme="minorEastAsia" w:hAnsiTheme="minorHAnsi" w:cstheme="minorBidi"/>
          <w:szCs w:val="22"/>
        </w:rPr>
      </w:pPr>
      <w:r>
        <w:t>6</w:t>
      </w:r>
      <w:r>
        <w:rPr>
          <w:snapToGrid w:val="0"/>
        </w:rPr>
        <w:t>.</w:t>
      </w:r>
      <w:r>
        <w:rPr>
          <w:snapToGrid w:val="0"/>
        </w:rPr>
        <w:tab/>
        <w:t>Term used: prescribed contract</w:t>
      </w:r>
      <w:r>
        <w:tab/>
      </w:r>
      <w:r>
        <w:fldChar w:fldCharType="begin"/>
      </w:r>
      <w:r>
        <w:instrText xml:space="preserve"> PAGEREF _Toc395879700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in relation to prescribed contracts</w:t>
      </w:r>
      <w:r>
        <w:tab/>
      </w:r>
      <w:r>
        <w:fldChar w:fldCharType="begin"/>
      </w:r>
      <w:r>
        <w:instrText xml:space="preserve"> PAGEREF _Toc395879701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Consideration not to be accepted from consumer nor services supplied before expiration of cooling</w:t>
      </w:r>
      <w:r>
        <w:rPr>
          <w:snapToGrid w:val="0"/>
        </w:rPr>
        <w:noBreakHyphen/>
        <w:t>off period</w:t>
      </w:r>
      <w:r>
        <w:tab/>
      </w:r>
      <w:r>
        <w:fldChar w:fldCharType="begin"/>
      </w:r>
      <w:r>
        <w:instrText xml:space="preserve"> PAGEREF _Toc395879702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III — Regulation of door to door trading practices</w:t>
      </w:r>
    </w:p>
    <w:p>
      <w:pPr>
        <w:pStyle w:val="TOC8"/>
        <w:rPr>
          <w:rFonts w:asciiTheme="minorHAnsi" w:eastAsiaTheme="minorEastAsia" w:hAnsiTheme="minorHAnsi" w:cstheme="minorBidi"/>
          <w:szCs w:val="22"/>
        </w:rPr>
      </w:pPr>
      <w:r>
        <w:t>9</w:t>
      </w:r>
      <w:r>
        <w:rPr>
          <w:snapToGrid w:val="0"/>
        </w:rPr>
        <w:t>.</w:t>
      </w:r>
      <w:r>
        <w:rPr>
          <w:snapToGrid w:val="0"/>
        </w:rPr>
        <w:tab/>
        <w:t>Dealers not to call during certain hours</w:t>
      </w:r>
      <w:r>
        <w:tab/>
      </w:r>
      <w:r>
        <w:fldChar w:fldCharType="begin"/>
      </w:r>
      <w:r>
        <w:instrText xml:space="preserve"> PAGEREF _Toc395879704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Dealers to leave premises when so requested</w:t>
      </w:r>
      <w:r>
        <w:tab/>
      </w:r>
      <w:r>
        <w:fldChar w:fldCharType="begin"/>
      </w:r>
      <w:r>
        <w:instrText xml:space="preserve"> PAGEREF _Toc395879705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Dealers to indicate their purpose for making calls</w:t>
      </w:r>
      <w:r>
        <w:tab/>
      </w:r>
      <w:r>
        <w:fldChar w:fldCharType="begin"/>
      </w:r>
      <w:r>
        <w:instrText xml:space="preserve"> PAGEREF _Toc395879706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Offence to harass or coerce</w:t>
      </w:r>
      <w:r>
        <w:tab/>
      </w:r>
      <w:r>
        <w:fldChar w:fldCharType="begin"/>
      </w:r>
      <w:r>
        <w:instrText xml:space="preserve"> PAGEREF _Toc395879707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IV — Rescission of contracts to which this Act applies</w:t>
      </w:r>
    </w:p>
    <w:p>
      <w:pPr>
        <w:pStyle w:val="TOC8"/>
        <w:rPr>
          <w:rFonts w:asciiTheme="minorHAnsi" w:eastAsiaTheme="minorEastAsia" w:hAnsiTheme="minorHAnsi" w:cstheme="minorBidi"/>
          <w:szCs w:val="22"/>
        </w:rPr>
      </w:pPr>
      <w:r>
        <w:t>13</w:t>
      </w:r>
      <w:r>
        <w:rPr>
          <w:snapToGrid w:val="0"/>
        </w:rPr>
        <w:t>.</w:t>
      </w:r>
      <w:r>
        <w:rPr>
          <w:snapToGrid w:val="0"/>
        </w:rPr>
        <w:tab/>
        <w:t>Right of consumer to rescind contracts to which this Act applies</w:t>
      </w:r>
      <w:r>
        <w:tab/>
      </w:r>
      <w:r>
        <w:fldChar w:fldCharType="begin"/>
      </w:r>
      <w:r>
        <w:instrText xml:space="preserve"> PAGEREF _Toc395879709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right of rescission</w:t>
      </w:r>
      <w:r>
        <w:tab/>
      </w:r>
      <w:r>
        <w:fldChar w:fldCharType="begin"/>
      </w:r>
      <w:r>
        <w:instrText xml:space="preserve"> PAGEREF _Toc395879710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Restitution following rescission</w:t>
      </w:r>
      <w:r>
        <w:tab/>
      </w:r>
      <w:r>
        <w:fldChar w:fldCharType="begin"/>
      </w:r>
      <w:r>
        <w:instrText xml:space="preserve"> PAGEREF _Toc395879711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Related contract or instrument also void</w:t>
      </w:r>
      <w:r>
        <w:tab/>
      </w:r>
      <w:r>
        <w:fldChar w:fldCharType="begin"/>
      </w:r>
      <w:r>
        <w:instrText xml:space="preserve"> PAGEREF _Toc395879712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Consumers not competent to waive rights</w:t>
      </w:r>
      <w:r>
        <w:tab/>
      </w:r>
      <w:r>
        <w:fldChar w:fldCharType="begin"/>
      </w:r>
      <w:r>
        <w:instrText xml:space="preserve"> PAGEREF _Toc395879713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Prohibition of action to recover amount under contract in certain circumstances</w:t>
      </w:r>
      <w:r>
        <w:tab/>
      </w:r>
      <w:r>
        <w:fldChar w:fldCharType="begin"/>
      </w:r>
      <w:r>
        <w:instrText xml:space="preserve"> PAGEREF _Toc395879714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19</w:t>
      </w:r>
      <w:r>
        <w:rPr>
          <w:snapToGrid w:val="0"/>
        </w:rPr>
        <w:t>.</w:t>
      </w:r>
      <w:r>
        <w:rPr>
          <w:snapToGrid w:val="0"/>
        </w:rPr>
        <w:tab/>
        <w:t>Prohibition on securities hawking unaffected by this Act</w:t>
      </w:r>
      <w:r>
        <w:tab/>
      </w:r>
      <w:r>
        <w:fldChar w:fldCharType="begin"/>
      </w:r>
      <w:r>
        <w:instrText xml:space="preserve"> PAGEREF _Toc395879716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Vicarious liability</w:t>
      </w:r>
      <w:r>
        <w:tab/>
      </w:r>
      <w:r>
        <w:fldChar w:fldCharType="begin"/>
      </w:r>
      <w:r>
        <w:instrText xml:space="preserve"> PAGEREF _Toc395879717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Evidentiary provision</w:t>
      </w:r>
      <w:r>
        <w:tab/>
      </w:r>
      <w:r>
        <w:fldChar w:fldCharType="begin"/>
      </w:r>
      <w:r>
        <w:instrText xml:space="preserve"> PAGEREF _Toc395879718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_Toc395879719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Repeal and saving provision</w:t>
      </w:r>
      <w:r>
        <w:tab/>
      </w:r>
      <w:r>
        <w:fldChar w:fldCharType="begin"/>
      </w:r>
      <w:r>
        <w:instrText xml:space="preserve"> PAGEREF _Toc395879720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_Toc395879722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2"/>
      </w:pP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August 2014</w:t>
            </w:r>
            <w:r>
              <w:rPr>
                <w:b/>
                <w:sz w:val="22"/>
              </w:rPr>
              <w:fldChar w:fldCharType="end"/>
            </w:r>
          </w:p>
        </w:tc>
      </w:tr>
    </w:tbl>
    <w:p>
      <w:pPr>
        <w:pStyle w:val="WA"/>
        <w:spacing w:before="120"/>
      </w:pPr>
      <w:r>
        <w:t>Western Australia</w:t>
      </w:r>
    </w:p>
    <w:p>
      <w:pPr>
        <w:pStyle w:val="NameofActReg"/>
        <w:spacing w:before="1200"/>
      </w:pPr>
      <w:r>
        <w:t xml:space="preserve">Door to Door Trading Act 1987 </w:t>
      </w:r>
    </w:p>
    <w:p>
      <w:pPr>
        <w:pStyle w:val="LongTitle"/>
        <w:rPr>
          <w:snapToGrid w:val="0"/>
        </w:rPr>
      </w:pPr>
      <w:r>
        <w:rPr>
          <w:snapToGrid w:val="0"/>
        </w:rPr>
        <w:t xml:space="preserve">An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2" w:name="_Toc395879687"/>
      <w:r>
        <w:rPr>
          <w:rStyle w:val="CharPartNo"/>
        </w:rPr>
        <w:t>Part I</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39587968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4" w:name="_Toc39587968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pPr>
      <w:bookmarkStart w:id="5" w:name="_Toc395879690"/>
      <w:r>
        <w:rPr>
          <w:rStyle w:val="CharSectno"/>
        </w:rPr>
        <w:t>3A</w:t>
      </w:r>
      <w:r>
        <w:t>.</w:t>
      </w:r>
      <w:r>
        <w:tab/>
        <w:t>Application of Act limited</w:t>
      </w:r>
      <w:bookmarkEnd w:id="5"/>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3C and 3D.</w:t>
      </w:r>
    </w:p>
    <w:p>
      <w:pPr>
        <w:pStyle w:val="Footnotesection"/>
      </w:pPr>
      <w:r>
        <w:tab/>
        <w:t xml:space="preserve">[Section 3A inserted by No. 57 of 2010 s. 125.] </w:t>
      </w:r>
    </w:p>
    <w:p>
      <w:pPr>
        <w:pStyle w:val="Heading5"/>
      </w:pPr>
      <w:bookmarkStart w:id="6" w:name="_Toc395879691"/>
      <w:r>
        <w:rPr>
          <w:rStyle w:val="CharSectno"/>
        </w:rPr>
        <w:t>3B</w:t>
      </w:r>
      <w:r>
        <w:t>.</w:t>
      </w:r>
      <w:r>
        <w:tab/>
        <w:t>Expiry of Act</w:t>
      </w:r>
      <w:bookmarkEnd w:id="6"/>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 xml:space="preserve">[Section 3B inserted by No. 57 of 2010 s. 125.] </w:t>
      </w:r>
    </w:p>
    <w:p>
      <w:pPr>
        <w:pStyle w:val="Heading5"/>
      </w:pPr>
      <w:bookmarkStart w:id="7" w:name="_Toc395879692"/>
      <w:r>
        <w:rPr>
          <w:rStyle w:val="CharSectno"/>
        </w:rPr>
        <w:t>3C</w:t>
      </w:r>
      <w:r>
        <w:t>.</w:t>
      </w:r>
      <w:r>
        <w:tab/>
        <w:t>Act continues to apply for certain purposes</w:t>
      </w:r>
      <w:bookmarkEnd w:id="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2</w:t>
      </w:r>
      <w:r>
        <w:t>.</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Footnotesection"/>
      </w:pPr>
      <w:r>
        <w:tab/>
        <w:t xml:space="preserve">[Section 3C inserted by No. 57 of 2010 s. 125.] </w:t>
      </w:r>
    </w:p>
    <w:p>
      <w:pPr>
        <w:pStyle w:val="Heading5"/>
      </w:pPr>
      <w:bookmarkStart w:id="8" w:name="_Toc395879693"/>
      <w:r>
        <w:rPr>
          <w:rStyle w:val="CharSectno"/>
        </w:rPr>
        <w:t>3D</w:t>
      </w:r>
      <w:r>
        <w:t>.</w:t>
      </w:r>
      <w:r>
        <w:tab/>
        <w:t>Acts or omissions that occurred before commencement day</w:t>
      </w:r>
      <w:bookmarkEnd w:id="8"/>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 xml:space="preserve">[Section 3D inserted by No. 57 of 2010 s. 125.] </w:t>
      </w:r>
    </w:p>
    <w:p>
      <w:pPr>
        <w:pStyle w:val="Heading5"/>
        <w:rPr>
          <w:snapToGrid w:val="0"/>
        </w:rPr>
      </w:pPr>
      <w:bookmarkStart w:id="9" w:name="_Toc395879694"/>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rPr>
          <w:b/>
        </w:rPr>
      </w:pPr>
      <w:r>
        <w:rPr>
          <w:rStyle w:val="CharDefText"/>
        </w:rPr>
        <w:tab/>
        <w:t>contract to which this Act applies</w:t>
      </w:r>
      <w:r>
        <w:t xml:space="preserve"> means a contract to which this Act applies by virtue of section 4;</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rPr>
          <w:snapToGrid w:val="0"/>
        </w:rPr>
      </w:pPr>
      <w:r>
        <w:rPr>
          <w:snapToGrid w:val="0"/>
        </w:rPr>
        <w:tab/>
        <w:t>(i)</w:t>
      </w:r>
      <w:r>
        <w:rPr>
          <w:snapToGrid w:val="0"/>
        </w:rPr>
        <w:tab/>
        <w:t>goes from place to place; or</w:t>
      </w:r>
    </w:p>
    <w:p>
      <w:pPr>
        <w:pStyle w:val="Defsubpara"/>
        <w:rPr>
          <w:snapToGrid w:val="0"/>
        </w:rPr>
      </w:pPr>
      <w:r>
        <w:rPr>
          <w:snapToGrid w:val="0"/>
        </w:rPr>
        <w:tab/>
        <w:t>(ii)</w:t>
      </w:r>
      <w:r>
        <w:rPr>
          <w:snapToGrid w:val="0"/>
        </w:rP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 or</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keepNext/>
      </w:pPr>
      <w:r>
        <w:tab/>
        <w:t>(2)</w:t>
      </w:r>
      <w:r>
        <w:tab/>
        <w:t>In </w:t>
      </w:r>
      <w:r>
        <w:rPr>
          <w:snapToGrid w:val="0"/>
        </w:rPr>
        <w:t>this</w:t>
      </w:r>
      <w:r>
        <w:t xml:space="preserve"> Act — </w:t>
      </w:r>
    </w:p>
    <w:p>
      <w:pPr>
        <w:pStyle w:val="Indenta"/>
      </w:pPr>
      <w:r>
        <w:tab/>
        <w:t>(a)</w:t>
      </w:r>
      <w:r>
        <w:tab/>
        <w:t>a reference to the supply of goods or services extends to the supply of both goods and services; and</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10" w:name="_Toc395879695"/>
      <w:r>
        <w:rPr>
          <w:rStyle w:val="CharPartNo"/>
        </w:rPr>
        <w:t>Part II</w:t>
      </w:r>
      <w:r>
        <w:t> — </w:t>
      </w:r>
      <w:r>
        <w:rPr>
          <w:rStyle w:val="CharPartText"/>
        </w:rPr>
        <w:t>Contracts to which this Act applies</w:t>
      </w:r>
      <w:bookmarkEnd w:id="10"/>
      <w:r>
        <w:rPr>
          <w:rStyle w:val="CharPartText"/>
        </w:rPr>
        <w:t xml:space="preserve"> </w:t>
      </w:r>
    </w:p>
    <w:p>
      <w:pPr>
        <w:pStyle w:val="Heading3"/>
        <w:rPr>
          <w:snapToGrid w:val="0"/>
        </w:rPr>
      </w:pPr>
      <w:bookmarkStart w:id="11" w:name="_Toc395879696"/>
      <w:r>
        <w:rPr>
          <w:rStyle w:val="CharDivNo"/>
        </w:rPr>
        <w:t>Division 1</w:t>
      </w:r>
      <w:r>
        <w:rPr>
          <w:snapToGrid w:val="0"/>
        </w:rPr>
        <w:t> — </w:t>
      </w:r>
      <w:r>
        <w:rPr>
          <w:rStyle w:val="CharDivText"/>
        </w:rPr>
        <w:t>Contracts generally</w:t>
      </w:r>
      <w:bookmarkEnd w:id="11"/>
      <w:r>
        <w:rPr>
          <w:rStyle w:val="CharDivText"/>
        </w:rPr>
        <w:t xml:space="preserve"> </w:t>
      </w:r>
    </w:p>
    <w:p>
      <w:pPr>
        <w:pStyle w:val="Heading5"/>
        <w:spacing w:before="240"/>
        <w:rPr>
          <w:snapToGrid w:val="0"/>
        </w:rPr>
      </w:pPr>
      <w:bookmarkStart w:id="12" w:name="_Toc395879697"/>
      <w:r>
        <w:rPr>
          <w:rStyle w:val="CharSectno"/>
        </w:rPr>
        <w:t>4</w:t>
      </w:r>
      <w:r>
        <w:rPr>
          <w:snapToGrid w:val="0"/>
        </w:rPr>
        <w:t>.</w:t>
      </w:r>
      <w:r>
        <w:rPr>
          <w:snapToGrid w:val="0"/>
        </w:rPr>
        <w:tab/>
        <w:t>Criteria for determining whether contract is one to which this Act applies</w:t>
      </w:r>
      <w:bookmarkEnd w:id="12"/>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13" w:name="_Toc395879698"/>
      <w:r>
        <w:rPr>
          <w:rStyle w:val="CharSectno"/>
        </w:rPr>
        <w:t>5</w:t>
      </w:r>
      <w:r>
        <w:rPr>
          <w:snapToGrid w:val="0"/>
        </w:rPr>
        <w:t>.</w:t>
      </w:r>
      <w:r>
        <w:rPr>
          <w:snapToGrid w:val="0"/>
        </w:rPr>
        <w:tab/>
        <w:t>Certain contractual terms prohibited</w:t>
      </w:r>
      <w:bookmarkEnd w:id="13"/>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 or</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 or</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keepNext w:val="0"/>
        <w:pageBreakBefore/>
        <w:spacing w:before="120"/>
        <w:rPr>
          <w:snapToGrid w:val="0"/>
        </w:rPr>
      </w:pPr>
      <w:bookmarkStart w:id="14" w:name="_Toc395879699"/>
      <w:r>
        <w:rPr>
          <w:rStyle w:val="CharDivNo"/>
        </w:rPr>
        <w:t>Division 2</w:t>
      </w:r>
      <w:r>
        <w:rPr>
          <w:snapToGrid w:val="0"/>
        </w:rPr>
        <w:t> — </w:t>
      </w:r>
      <w:r>
        <w:rPr>
          <w:rStyle w:val="CharDivText"/>
        </w:rPr>
        <w:t>Prescribed contracts</w:t>
      </w:r>
      <w:bookmarkEnd w:id="14"/>
      <w:r>
        <w:rPr>
          <w:rStyle w:val="CharDivText"/>
        </w:rPr>
        <w:t xml:space="preserve"> </w:t>
      </w:r>
    </w:p>
    <w:p>
      <w:pPr>
        <w:pStyle w:val="Heading5"/>
        <w:rPr>
          <w:snapToGrid w:val="0"/>
        </w:rPr>
      </w:pPr>
      <w:bookmarkStart w:id="15" w:name="_Toc395879700"/>
      <w:r>
        <w:rPr>
          <w:rStyle w:val="CharSectno"/>
        </w:rPr>
        <w:t>6</w:t>
      </w:r>
      <w:r>
        <w:rPr>
          <w:snapToGrid w:val="0"/>
        </w:rPr>
        <w:t>.</w:t>
      </w:r>
      <w:r>
        <w:rPr>
          <w:snapToGrid w:val="0"/>
        </w:rPr>
        <w:tab/>
        <w:t>Term used: prescribed contract</w:t>
      </w:r>
      <w:bookmarkEnd w:id="15"/>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 or</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tab/>
      </w:r>
      <w:bookmarkStart w:id="16" w:name="endcomma"/>
      <w:bookmarkEnd w:id="16"/>
      <w:r>
        <w:rPr>
          <w:rStyle w:val="CharDefText"/>
        </w:rPr>
        <w:t>prescribed amount</w:t>
      </w:r>
      <w:r>
        <w:t xml:space="preserve"> </w:t>
      </w:r>
      <w:bookmarkStart w:id="17" w:name="comma"/>
      <w:bookmarkEnd w:id="17"/>
      <w:r>
        <w:t>means $50 or such other amount as may be prescribed.</w:t>
      </w:r>
    </w:p>
    <w:p>
      <w:pPr>
        <w:pStyle w:val="Heading5"/>
        <w:rPr>
          <w:snapToGrid w:val="0"/>
        </w:rPr>
      </w:pPr>
      <w:bookmarkStart w:id="18" w:name="_Toc395879701"/>
      <w:r>
        <w:rPr>
          <w:rStyle w:val="CharSectno"/>
        </w:rPr>
        <w:t>7</w:t>
      </w:r>
      <w:r>
        <w:rPr>
          <w:snapToGrid w:val="0"/>
        </w:rPr>
        <w:t>.</w:t>
      </w:r>
      <w:r>
        <w:rPr>
          <w:snapToGrid w:val="0"/>
        </w:rPr>
        <w:tab/>
        <w:t>Requirements in relation to prescribed contracts</w:t>
      </w:r>
      <w:bookmarkEnd w:id="18"/>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 and</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 and</w:t>
      </w:r>
    </w:p>
    <w:p>
      <w:pPr>
        <w:pStyle w:val="Indenta"/>
        <w:rPr>
          <w:snapToGrid w:val="0"/>
        </w:rPr>
      </w:pPr>
      <w:r>
        <w:rPr>
          <w:snapToGrid w:val="0"/>
        </w:rPr>
        <w:tab/>
        <w:t>(d)</w:t>
      </w:r>
      <w:r>
        <w:rPr>
          <w:snapToGrid w:val="0"/>
        </w:rPr>
        <w:tab/>
        <w:t>the consumer must be given a duplicate of the contract immediately after the making of the contract; and</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 and</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 and</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 and</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19" w:name="_Toc395879702"/>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19"/>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20" w:name="_Toc395879703"/>
      <w:r>
        <w:rPr>
          <w:rStyle w:val="CharPartNo"/>
        </w:rPr>
        <w:t>Part III</w:t>
      </w:r>
      <w:r>
        <w:rPr>
          <w:rStyle w:val="CharDivNo"/>
        </w:rPr>
        <w:t> </w:t>
      </w:r>
      <w:r>
        <w:t>—</w:t>
      </w:r>
      <w:r>
        <w:rPr>
          <w:rStyle w:val="CharDivText"/>
        </w:rPr>
        <w:t> </w:t>
      </w:r>
      <w:r>
        <w:rPr>
          <w:rStyle w:val="CharPartText"/>
        </w:rPr>
        <w:t>Regulation of door to door trading practices</w:t>
      </w:r>
      <w:bookmarkEnd w:id="20"/>
      <w:r>
        <w:rPr>
          <w:rStyle w:val="CharPartText"/>
        </w:rPr>
        <w:t xml:space="preserve"> </w:t>
      </w:r>
    </w:p>
    <w:p>
      <w:pPr>
        <w:pStyle w:val="Heading5"/>
        <w:rPr>
          <w:snapToGrid w:val="0"/>
        </w:rPr>
      </w:pPr>
      <w:bookmarkStart w:id="21" w:name="_Toc395879704"/>
      <w:r>
        <w:rPr>
          <w:rStyle w:val="CharSectno"/>
        </w:rPr>
        <w:t>9</w:t>
      </w:r>
      <w:r>
        <w:rPr>
          <w:snapToGrid w:val="0"/>
        </w:rPr>
        <w:t>.</w:t>
      </w:r>
      <w:r>
        <w:rPr>
          <w:snapToGrid w:val="0"/>
        </w:rPr>
        <w:tab/>
        <w:t>Dealers not to call during certain hours</w:t>
      </w:r>
      <w:bookmarkEnd w:id="21"/>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 or</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22" w:name="_Toc395879705"/>
      <w:r>
        <w:rPr>
          <w:rStyle w:val="CharSectno"/>
        </w:rPr>
        <w:t>10</w:t>
      </w:r>
      <w:r>
        <w:rPr>
          <w:snapToGrid w:val="0"/>
        </w:rPr>
        <w:t>.</w:t>
      </w:r>
      <w:r>
        <w:rPr>
          <w:snapToGrid w:val="0"/>
        </w:rPr>
        <w:tab/>
        <w:t>Dealers to leave premises when so requested</w:t>
      </w:r>
      <w:bookmarkEnd w:id="22"/>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23" w:name="_Toc395879706"/>
      <w:r>
        <w:rPr>
          <w:rStyle w:val="CharSectno"/>
        </w:rPr>
        <w:t>11</w:t>
      </w:r>
      <w:r>
        <w:rPr>
          <w:snapToGrid w:val="0"/>
        </w:rPr>
        <w:t>.</w:t>
      </w:r>
      <w:r>
        <w:rPr>
          <w:snapToGrid w:val="0"/>
        </w:rPr>
        <w:tab/>
        <w:t>Dealers to indicate their purpose for making calls</w:t>
      </w:r>
      <w:bookmarkEnd w:id="23"/>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24" w:name="_Toc395879707"/>
      <w:r>
        <w:rPr>
          <w:rStyle w:val="CharSectno"/>
        </w:rPr>
        <w:t>12</w:t>
      </w:r>
      <w:r>
        <w:rPr>
          <w:snapToGrid w:val="0"/>
        </w:rPr>
        <w:t>.</w:t>
      </w:r>
      <w:r>
        <w:rPr>
          <w:snapToGrid w:val="0"/>
        </w:rPr>
        <w:tab/>
        <w:t>Offence to harass or coerce</w:t>
      </w:r>
      <w:bookmarkEnd w:id="24"/>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25" w:name="_Toc395879708"/>
      <w:r>
        <w:rPr>
          <w:rStyle w:val="CharPartNo"/>
        </w:rPr>
        <w:t>Part IV</w:t>
      </w:r>
      <w:r>
        <w:rPr>
          <w:rStyle w:val="CharDivNo"/>
        </w:rPr>
        <w:t> </w:t>
      </w:r>
      <w:r>
        <w:t>—</w:t>
      </w:r>
      <w:r>
        <w:rPr>
          <w:rStyle w:val="CharDivText"/>
        </w:rPr>
        <w:t> </w:t>
      </w:r>
      <w:r>
        <w:rPr>
          <w:rStyle w:val="CharPartText"/>
        </w:rPr>
        <w:t>Rescission of contracts to which this Act applies</w:t>
      </w:r>
      <w:bookmarkEnd w:id="25"/>
      <w:r>
        <w:rPr>
          <w:rStyle w:val="CharPartText"/>
        </w:rPr>
        <w:t xml:space="preserve"> </w:t>
      </w:r>
    </w:p>
    <w:p>
      <w:pPr>
        <w:pStyle w:val="Heading5"/>
        <w:rPr>
          <w:snapToGrid w:val="0"/>
        </w:rPr>
      </w:pPr>
      <w:bookmarkStart w:id="26" w:name="_Toc395879709"/>
      <w:r>
        <w:rPr>
          <w:rStyle w:val="CharSectno"/>
        </w:rPr>
        <w:t>13</w:t>
      </w:r>
      <w:r>
        <w:rPr>
          <w:snapToGrid w:val="0"/>
        </w:rPr>
        <w:t>.</w:t>
      </w:r>
      <w:r>
        <w:rPr>
          <w:snapToGrid w:val="0"/>
        </w:rPr>
        <w:tab/>
        <w:t>Right of consumer to rescind contracts to which this Act applies</w:t>
      </w:r>
      <w:bookmarkEnd w:id="26"/>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 or</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kind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27" w:name="_Toc395879710"/>
      <w:r>
        <w:rPr>
          <w:rStyle w:val="CharSectno"/>
        </w:rPr>
        <w:t>14</w:t>
      </w:r>
      <w:r>
        <w:rPr>
          <w:snapToGrid w:val="0"/>
        </w:rPr>
        <w:t>.</w:t>
      </w:r>
      <w:r>
        <w:rPr>
          <w:snapToGrid w:val="0"/>
        </w:rPr>
        <w:tab/>
        <w:t>Exercise of right of rescission</w:t>
      </w:r>
      <w:bookmarkEnd w:id="27"/>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 and</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28" w:name="_Toc395879711"/>
      <w:r>
        <w:rPr>
          <w:rStyle w:val="CharSectno"/>
        </w:rPr>
        <w:t>15</w:t>
      </w:r>
      <w:r>
        <w:rPr>
          <w:snapToGrid w:val="0"/>
        </w:rPr>
        <w:t>.</w:t>
      </w:r>
      <w:r>
        <w:rPr>
          <w:snapToGrid w:val="0"/>
        </w:rPr>
        <w:tab/>
        <w:t>Restitution following rescission</w:t>
      </w:r>
      <w:bookmarkEnd w:id="28"/>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spacing w:before="120"/>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spacing w:before="120"/>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spacing w:before="120"/>
        <w:rPr>
          <w:snapToGrid w:val="0"/>
        </w:rPr>
      </w:pPr>
      <w:r>
        <w:rPr>
          <w:snapToGrid w:val="0"/>
        </w:rPr>
        <w:tab/>
        <w:t>(5)</w:t>
      </w:r>
      <w:r>
        <w:rPr>
          <w:snapToGrid w:val="0"/>
        </w:rPr>
        <w:tab/>
        <w:t>The obligations imposed by this section may be enforced by action in any court of competent jurisdiction.</w:t>
      </w:r>
    </w:p>
    <w:p>
      <w:pPr>
        <w:pStyle w:val="Subsection"/>
        <w:spacing w:before="120"/>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spacing w:before="120"/>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spacing w:before="180"/>
        <w:rPr>
          <w:snapToGrid w:val="0"/>
        </w:rPr>
      </w:pPr>
      <w:bookmarkStart w:id="29" w:name="_Toc395879712"/>
      <w:r>
        <w:rPr>
          <w:rStyle w:val="CharSectno"/>
        </w:rPr>
        <w:t>16</w:t>
      </w:r>
      <w:r>
        <w:rPr>
          <w:snapToGrid w:val="0"/>
        </w:rPr>
        <w:t>.</w:t>
      </w:r>
      <w:r>
        <w:rPr>
          <w:snapToGrid w:val="0"/>
        </w:rPr>
        <w:tab/>
        <w:t>Related contract or instrument also void</w:t>
      </w:r>
      <w:bookmarkEnd w:id="29"/>
      <w:r>
        <w:rPr>
          <w:snapToGrid w:val="0"/>
        </w:rPr>
        <w:t xml:space="preserve"> </w:t>
      </w:r>
    </w:p>
    <w:p>
      <w:pPr>
        <w:pStyle w:val="Subsection"/>
        <w:spacing w:before="140"/>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spacing w:before="140"/>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spacing w:before="80"/>
        <w:ind w:left="890" w:hanging="890"/>
      </w:pPr>
      <w:r>
        <w:tab/>
        <w:t xml:space="preserve">[Section 16 amended by No. 30 of 1996 s. 13; No. 14 of 2010 s. 10.] </w:t>
      </w:r>
    </w:p>
    <w:p>
      <w:pPr>
        <w:pStyle w:val="Heading5"/>
        <w:rPr>
          <w:snapToGrid w:val="0"/>
        </w:rPr>
      </w:pPr>
      <w:bookmarkStart w:id="30" w:name="_Toc395879713"/>
      <w:r>
        <w:rPr>
          <w:rStyle w:val="CharSectno"/>
        </w:rPr>
        <w:t>17</w:t>
      </w:r>
      <w:r>
        <w:rPr>
          <w:snapToGrid w:val="0"/>
        </w:rPr>
        <w:t>.</w:t>
      </w:r>
      <w:r>
        <w:rPr>
          <w:snapToGrid w:val="0"/>
        </w:rPr>
        <w:tab/>
        <w:t>Consumers not competent to waive rights</w:t>
      </w:r>
      <w:bookmarkEnd w:id="30"/>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31" w:name="_Toc395879714"/>
      <w:r>
        <w:rPr>
          <w:rStyle w:val="CharSectno"/>
        </w:rPr>
        <w:t>18</w:t>
      </w:r>
      <w:r>
        <w:rPr>
          <w:snapToGrid w:val="0"/>
        </w:rPr>
        <w:t>.</w:t>
      </w:r>
      <w:r>
        <w:rPr>
          <w:snapToGrid w:val="0"/>
        </w:rPr>
        <w:tab/>
        <w:t>Prohibition of action to recover amount under contract in certain circumstances</w:t>
      </w:r>
      <w:bookmarkEnd w:id="31"/>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 or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r>
        <w:tab/>
        <w:t>[Section 18 amended by No. 84 of 2004 s. 82.]</w:t>
      </w:r>
    </w:p>
    <w:p>
      <w:pPr>
        <w:pStyle w:val="Heading2"/>
      </w:pPr>
      <w:bookmarkStart w:id="32" w:name="_Toc395879715"/>
      <w:r>
        <w:rPr>
          <w:rStyle w:val="CharPartNo"/>
        </w:rPr>
        <w:t>Part V</w:t>
      </w:r>
      <w:r>
        <w:rPr>
          <w:rStyle w:val="CharDivNo"/>
        </w:rPr>
        <w:t> </w:t>
      </w:r>
      <w:r>
        <w:t>—</w:t>
      </w:r>
      <w:r>
        <w:rPr>
          <w:rStyle w:val="CharDivText"/>
        </w:rPr>
        <w:t> </w:t>
      </w:r>
      <w:r>
        <w:rPr>
          <w:rStyle w:val="CharPartText"/>
        </w:rPr>
        <w:t>Miscellaneous</w:t>
      </w:r>
      <w:bookmarkEnd w:id="32"/>
      <w:r>
        <w:rPr>
          <w:rStyle w:val="CharPartText"/>
        </w:rPr>
        <w:t xml:space="preserve"> </w:t>
      </w:r>
    </w:p>
    <w:p>
      <w:pPr>
        <w:pStyle w:val="Heading5"/>
        <w:rPr>
          <w:snapToGrid w:val="0"/>
        </w:rPr>
      </w:pPr>
      <w:bookmarkStart w:id="33" w:name="_Toc395879716"/>
      <w:r>
        <w:rPr>
          <w:rStyle w:val="CharSectno"/>
        </w:rPr>
        <w:t>19</w:t>
      </w:r>
      <w:r>
        <w:rPr>
          <w:snapToGrid w:val="0"/>
        </w:rPr>
        <w:t>.</w:t>
      </w:r>
      <w:r>
        <w:rPr>
          <w:snapToGrid w:val="0"/>
        </w:rPr>
        <w:tab/>
        <w:t>Prohibition on securities hawking unaffected by this Act</w:t>
      </w:r>
      <w:bookmarkEnd w:id="33"/>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34" w:name="_Toc395879717"/>
      <w:r>
        <w:rPr>
          <w:rStyle w:val="CharSectno"/>
        </w:rPr>
        <w:t>20</w:t>
      </w:r>
      <w:r>
        <w:rPr>
          <w:snapToGrid w:val="0"/>
        </w:rPr>
        <w:t>.</w:t>
      </w:r>
      <w:r>
        <w:rPr>
          <w:snapToGrid w:val="0"/>
        </w:rPr>
        <w:tab/>
        <w:t>Vicarious liability</w:t>
      </w:r>
      <w:bookmarkEnd w:id="34"/>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35" w:name="_Toc395879718"/>
      <w:r>
        <w:rPr>
          <w:rStyle w:val="CharSectno"/>
        </w:rPr>
        <w:t>21</w:t>
      </w:r>
      <w:r>
        <w:rPr>
          <w:snapToGrid w:val="0"/>
        </w:rPr>
        <w:t>.</w:t>
      </w:r>
      <w:r>
        <w:rPr>
          <w:snapToGrid w:val="0"/>
        </w:rPr>
        <w:tab/>
        <w:t>Evidentiary provision</w:t>
      </w:r>
      <w:bookmarkEnd w:id="35"/>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36" w:name="_Toc395879719"/>
      <w:r>
        <w:rPr>
          <w:rStyle w:val="CharSectno"/>
        </w:rPr>
        <w:t>22</w:t>
      </w:r>
      <w:r>
        <w:rPr>
          <w:snapToGrid w:val="0"/>
        </w:rPr>
        <w:t>.</w:t>
      </w:r>
      <w:r>
        <w:rPr>
          <w:snapToGrid w:val="0"/>
        </w:rPr>
        <w:tab/>
        <w:t>Regulations</w:t>
      </w:r>
      <w:bookmarkEnd w:id="3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7" w:name="_Toc378170495"/>
      <w:bookmarkStart w:id="38" w:name="_Toc395879720"/>
      <w:r>
        <w:rPr>
          <w:rStyle w:val="CharSectno"/>
        </w:rPr>
        <w:t>23</w:t>
      </w:r>
      <w:r>
        <w:rPr>
          <w:snapToGrid w:val="0"/>
        </w:rPr>
        <w:t>.</w:t>
      </w:r>
      <w:r>
        <w:rPr>
          <w:snapToGrid w:val="0"/>
        </w:rPr>
        <w:tab/>
        <w:t>Repeal and saving provision</w:t>
      </w:r>
      <w:bookmarkEnd w:id="37"/>
      <w:bookmarkEnd w:id="38"/>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nHeading2"/>
      </w:pPr>
      <w:bookmarkStart w:id="39" w:name="_Toc395879721"/>
      <w:r>
        <w:t>Notes</w:t>
      </w:r>
      <w:bookmarkEnd w:id="3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8 August 2014</w:t>
      </w:r>
      <w:r>
        <w:rPr>
          <w:snapToGrid w:val="0"/>
        </w:rPr>
        <w:fldChar w:fldCharType="end"/>
      </w:r>
      <w:r>
        <w:rPr>
          <w:snapToGrid w:val="0"/>
        </w:rPr>
        <w:t xml:space="preserve"> of the </w:t>
      </w:r>
      <w:r>
        <w:rPr>
          <w:i/>
        </w:rPr>
        <w:t>Door to Door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95879722"/>
      <w:r>
        <w:rPr>
          <w:snapToGrid w:val="0"/>
        </w:rPr>
        <w:t>Compilation table</w:t>
      </w:r>
      <w:bookmarkEnd w:id="40"/>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ind w:left="62"/>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ind w:left="2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ind w:left="62"/>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Door to Door Trading Act 1987</w:t>
            </w:r>
          </w:p>
        </w:tc>
        <w:tc>
          <w:tcPr>
            <w:tcW w:w="1134" w:type="dxa"/>
            <w:tcBorders>
              <w:top w:val="single" w:sz="8" w:space="0" w:color="auto"/>
            </w:tcBorders>
          </w:tcPr>
          <w:p>
            <w:pPr>
              <w:pStyle w:val="nTable"/>
              <w:spacing w:after="40"/>
              <w:ind w:left="62"/>
              <w:rPr>
                <w:sz w:val="19"/>
              </w:rPr>
            </w:pPr>
            <w:r>
              <w:rPr>
                <w:sz w:val="19"/>
              </w:rPr>
              <w:t>7 of 1987</w:t>
            </w:r>
          </w:p>
        </w:tc>
        <w:tc>
          <w:tcPr>
            <w:tcW w:w="1134" w:type="dxa"/>
            <w:tcBorders>
              <w:top w:val="single" w:sz="8" w:space="0" w:color="auto"/>
            </w:tcBorders>
          </w:tcPr>
          <w:p>
            <w:pPr>
              <w:pStyle w:val="nTable"/>
              <w:spacing w:after="40"/>
              <w:ind w:left="20"/>
              <w:rPr>
                <w:sz w:val="19"/>
              </w:rPr>
            </w:pPr>
            <w:r>
              <w:rPr>
                <w:sz w:val="19"/>
              </w:rPr>
              <w:t>5 Jun 1987</w:t>
            </w:r>
          </w:p>
        </w:tc>
        <w:tc>
          <w:tcPr>
            <w:tcW w:w="2551" w:type="dxa"/>
            <w:tcBorders>
              <w:top w:val="single" w:sz="8" w:space="0" w:color="auto"/>
            </w:tcBorders>
          </w:tcPr>
          <w:p>
            <w:pPr>
              <w:spacing w:before="40" w:after="40" w:line="170" w:lineRule="exact"/>
              <w:ind w:left="113"/>
              <w:rPr>
                <w:color w:val="000000"/>
                <w:sz w:val="19"/>
              </w:rPr>
            </w:pPr>
            <w:r>
              <w:rPr>
                <w:color w:val="000000"/>
                <w:sz w:val="19"/>
              </w:rPr>
              <w:t>s. 1 and 2: 5 Jun 1987;</w:t>
            </w:r>
          </w:p>
          <w:p>
            <w:pPr>
              <w:pStyle w:val="nTable"/>
              <w:spacing w:after="40"/>
              <w:ind w:left="62"/>
              <w:rPr>
                <w:sz w:val="19"/>
              </w:rPr>
            </w:pPr>
            <w:r>
              <w:rPr>
                <w:snapToGrid w:val="0"/>
                <w:color w:val="000000"/>
                <w:sz w:val="19"/>
              </w:rPr>
              <w:t xml:space="preserve">Act other than s. 1 and 2: </w:t>
            </w:r>
            <w:r>
              <w:rPr>
                <w:sz w:val="19"/>
              </w:rPr>
              <w:t xml:space="preserve">1 Sep 1987 (see s. 2 and </w:t>
            </w:r>
            <w:r>
              <w:rPr>
                <w:i/>
                <w:sz w:val="19"/>
              </w:rPr>
              <w:t>Gazette</w:t>
            </w:r>
            <w:r>
              <w:rPr>
                <w:sz w:val="19"/>
              </w:rPr>
              <w:t xml:space="preserve"> 24 Jul 1987 p. 2813)</w:t>
            </w:r>
          </w:p>
        </w:tc>
      </w:tr>
      <w:tr>
        <w:trPr>
          <w:cantSplit/>
        </w:trPr>
        <w:tc>
          <w:tcPr>
            <w:tcW w:w="2268" w:type="dxa"/>
          </w:tcPr>
          <w:p>
            <w:pPr>
              <w:pStyle w:val="nTable"/>
              <w:spacing w:after="40"/>
              <w:ind w:right="113"/>
              <w:rPr>
                <w:sz w:val="19"/>
              </w:rPr>
            </w:pPr>
            <w:r>
              <w:rPr>
                <w:i/>
                <w:sz w:val="19"/>
              </w:rPr>
              <w:t>Door to Door Trading Amendment Act 1987</w:t>
            </w:r>
          </w:p>
        </w:tc>
        <w:tc>
          <w:tcPr>
            <w:tcW w:w="1134" w:type="dxa"/>
          </w:tcPr>
          <w:p>
            <w:pPr>
              <w:pStyle w:val="nTable"/>
              <w:spacing w:after="40"/>
              <w:ind w:left="62"/>
              <w:rPr>
                <w:sz w:val="19"/>
              </w:rPr>
            </w:pPr>
            <w:r>
              <w:rPr>
                <w:sz w:val="19"/>
              </w:rPr>
              <w:t>94 of 1987</w:t>
            </w:r>
          </w:p>
        </w:tc>
        <w:tc>
          <w:tcPr>
            <w:tcW w:w="1134" w:type="dxa"/>
          </w:tcPr>
          <w:p>
            <w:pPr>
              <w:pStyle w:val="nTable"/>
              <w:spacing w:after="40"/>
              <w:ind w:left="20"/>
              <w:rPr>
                <w:sz w:val="19"/>
              </w:rPr>
            </w:pPr>
            <w:r>
              <w:rPr>
                <w:sz w:val="19"/>
              </w:rPr>
              <w:t>16 Dec 1987</w:t>
            </w:r>
          </w:p>
        </w:tc>
        <w:tc>
          <w:tcPr>
            <w:tcW w:w="2551" w:type="dxa"/>
          </w:tcPr>
          <w:p>
            <w:pPr>
              <w:pStyle w:val="nTable"/>
              <w:spacing w:after="40"/>
              <w:ind w:left="62"/>
              <w:rPr>
                <w:sz w:val="19"/>
              </w:rPr>
            </w:pPr>
            <w:r>
              <w:rPr>
                <w:sz w:val="19"/>
              </w:rPr>
              <w:t>13 Jan 1988</w:t>
            </w:r>
          </w:p>
        </w:tc>
      </w:tr>
      <w:tr>
        <w:trPr>
          <w:cantSplit/>
        </w:trPr>
        <w:tc>
          <w:tcPr>
            <w:tcW w:w="2268" w:type="dxa"/>
          </w:tcPr>
          <w:p>
            <w:pPr>
              <w:pStyle w:val="nTable"/>
              <w:spacing w:after="40"/>
              <w:ind w:right="113"/>
              <w:rPr>
                <w:sz w:val="19"/>
              </w:rPr>
            </w:pPr>
            <w:r>
              <w:rPr>
                <w:i/>
                <w:sz w:val="19"/>
              </w:rPr>
              <w:t>Door to Door Trading Amendment Act 1990</w:t>
            </w:r>
          </w:p>
        </w:tc>
        <w:tc>
          <w:tcPr>
            <w:tcW w:w="1134" w:type="dxa"/>
          </w:tcPr>
          <w:p>
            <w:pPr>
              <w:pStyle w:val="nTable"/>
              <w:spacing w:after="40"/>
              <w:ind w:left="62"/>
              <w:rPr>
                <w:sz w:val="19"/>
              </w:rPr>
            </w:pPr>
            <w:r>
              <w:rPr>
                <w:sz w:val="19"/>
              </w:rPr>
              <w:t>45 of 1990</w:t>
            </w:r>
          </w:p>
        </w:tc>
        <w:tc>
          <w:tcPr>
            <w:tcW w:w="1134" w:type="dxa"/>
          </w:tcPr>
          <w:p>
            <w:pPr>
              <w:pStyle w:val="nTable"/>
              <w:spacing w:after="40"/>
              <w:ind w:left="20"/>
              <w:rPr>
                <w:sz w:val="19"/>
              </w:rPr>
            </w:pPr>
            <w:r>
              <w:rPr>
                <w:sz w:val="19"/>
              </w:rPr>
              <w:t>22 Nov 1990</w:t>
            </w:r>
          </w:p>
        </w:tc>
        <w:tc>
          <w:tcPr>
            <w:tcW w:w="2551" w:type="dxa"/>
          </w:tcPr>
          <w:p>
            <w:pPr>
              <w:pStyle w:val="nTable"/>
              <w:spacing w:after="40"/>
              <w:ind w:left="62"/>
              <w:rPr>
                <w:sz w:val="19"/>
              </w:rPr>
            </w:pPr>
            <w:r>
              <w:rPr>
                <w:sz w:val="19"/>
              </w:rPr>
              <w:t>20 Dec 1990</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ind w:left="62"/>
              <w:rPr>
                <w:sz w:val="19"/>
              </w:rPr>
            </w:pPr>
            <w:r>
              <w:rPr>
                <w:sz w:val="19"/>
              </w:rPr>
              <w:t>30 of 1996</w:t>
            </w:r>
          </w:p>
        </w:tc>
        <w:tc>
          <w:tcPr>
            <w:tcW w:w="1134" w:type="dxa"/>
          </w:tcPr>
          <w:p>
            <w:pPr>
              <w:pStyle w:val="nTable"/>
              <w:spacing w:after="40"/>
              <w:ind w:left="20"/>
              <w:rPr>
                <w:sz w:val="19"/>
              </w:rPr>
            </w:pPr>
            <w:r>
              <w:rPr>
                <w:sz w:val="19"/>
              </w:rPr>
              <w:t>10 Sep 1996</w:t>
            </w:r>
          </w:p>
        </w:tc>
        <w:tc>
          <w:tcPr>
            <w:tcW w:w="2551" w:type="dxa"/>
          </w:tcPr>
          <w:p>
            <w:pPr>
              <w:pStyle w:val="nTable"/>
              <w:spacing w:after="40"/>
              <w:ind w:left="62"/>
              <w:rPr>
                <w:sz w:val="19"/>
              </w:rPr>
            </w:pPr>
            <w:r>
              <w:rPr>
                <w:sz w:val="19"/>
              </w:rPr>
              <w:t>1 Nov 1996 (see s. 2)</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20</w:t>
            </w:r>
          </w:p>
        </w:tc>
        <w:tc>
          <w:tcPr>
            <w:tcW w:w="1134" w:type="dxa"/>
          </w:tcPr>
          <w:p>
            <w:pPr>
              <w:pStyle w:val="nTable"/>
              <w:spacing w:after="40"/>
              <w:ind w:left="62"/>
              <w:rPr>
                <w:sz w:val="19"/>
              </w:rPr>
            </w:pPr>
            <w:r>
              <w:rPr>
                <w:sz w:val="19"/>
              </w:rPr>
              <w:t>10 of 2001</w:t>
            </w:r>
          </w:p>
        </w:tc>
        <w:tc>
          <w:tcPr>
            <w:tcW w:w="1134" w:type="dxa"/>
          </w:tcPr>
          <w:p>
            <w:pPr>
              <w:pStyle w:val="nTable"/>
              <w:spacing w:after="40"/>
              <w:ind w:left="20"/>
              <w:rPr>
                <w:sz w:val="19"/>
              </w:rPr>
            </w:pPr>
            <w:r>
              <w:rPr>
                <w:sz w:val="19"/>
              </w:rPr>
              <w:t>28 Jun 2001</w:t>
            </w:r>
          </w:p>
        </w:tc>
        <w:tc>
          <w:tcPr>
            <w:tcW w:w="2551" w:type="dxa"/>
          </w:tcPr>
          <w:p>
            <w:pPr>
              <w:pStyle w:val="nTable"/>
              <w:spacing w:after="40"/>
              <w:ind w:left="62"/>
              <w:rPr>
                <w:sz w:val="19"/>
              </w:rPr>
            </w:pPr>
            <w:r>
              <w:rPr>
                <w:sz w:val="19"/>
              </w:rPr>
              <w:t xml:space="preserve">15 Jul 2001 (see s. 2 and </w:t>
            </w:r>
            <w:r>
              <w:rPr>
                <w:i/>
                <w:sz w:val="19"/>
              </w:rPr>
              <w:t>Gazette</w:t>
            </w:r>
            <w:r>
              <w:rPr>
                <w:sz w:val="19"/>
              </w:rPr>
              <w:t xml:space="preserve"> 29 Jun 2001 p. 3257 and Cwlth</w:t>
            </w:r>
            <w:r>
              <w:rPr>
                <w:i/>
                <w:sz w:val="19"/>
              </w:rPr>
              <w:t xml:space="preserve"> Gazette </w:t>
            </w:r>
            <w:r>
              <w:rPr>
                <w:sz w:val="19"/>
              </w:rPr>
              <w:t>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Door to Door Trading Act 1987</w:t>
            </w:r>
            <w:r>
              <w:rPr>
                <w:b/>
                <w:sz w:val="19"/>
              </w:rPr>
              <w:t xml:space="preserve"> as at 17 Aug 2001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ind w:left="62"/>
              <w:rPr>
                <w:sz w:val="19"/>
              </w:rPr>
            </w:pPr>
            <w:r>
              <w:rPr>
                <w:snapToGrid w:val="0"/>
                <w:sz w:val="19"/>
              </w:rPr>
              <w:t>84 of 2004</w:t>
            </w:r>
          </w:p>
        </w:tc>
        <w:tc>
          <w:tcPr>
            <w:tcW w:w="1134" w:type="dxa"/>
          </w:tcPr>
          <w:p>
            <w:pPr>
              <w:pStyle w:val="nTable"/>
              <w:spacing w:after="40"/>
              <w:ind w:left="20"/>
              <w:rPr>
                <w:sz w:val="19"/>
              </w:rPr>
            </w:pPr>
            <w:r>
              <w:rPr>
                <w:sz w:val="19"/>
              </w:rPr>
              <w:t>16 Dec 2004</w:t>
            </w:r>
          </w:p>
        </w:tc>
        <w:tc>
          <w:tcPr>
            <w:tcW w:w="2551" w:type="dxa"/>
          </w:tcPr>
          <w:p>
            <w:pPr>
              <w:pStyle w:val="nTable"/>
              <w:spacing w:after="40"/>
              <w:ind w:left="62"/>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ind w:right="113"/>
              <w:rPr>
                <w:i/>
                <w:iCs/>
                <w:snapToGrid w:val="0"/>
                <w:sz w:val="19"/>
              </w:rPr>
            </w:pPr>
            <w:r>
              <w:rPr>
                <w:i/>
                <w:iCs/>
                <w:snapToGrid w:val="0"/>
                <w:sz w:val="19"/>
              </w:rPr>
              <w:t xml:space="preserve">Credit (Commonwealth Powers) (Transitional and Consequential Provisions) Act 2010 </w:t>
            </w:r>
            <w:r>
              <w:rPr>
                <w:snapToGrid w:val="0"/>
                <w:sz w:val="19"/>
              </w:rPr>
              <w:t>s. 10</w:t>
            </w:r>
          </w:p>
        </w:tc>
        <w:tc>
          <w:tcPr>
            <w:tcW w:w="1134" w:type="dxa"/>
          </w:tcPr>
          <w:p>
            <w:pPr>
              <w:pStyle w:val="nTable"/>
              <w:spacing w:after="40"/>
              <w:ind w:left="62"/>
              <w:rPr>
                <w:snapToGrid w:val="0"/>
                <w:sz w:val="19"/>
              </w:rPr>
            </w:pPr>
            <w:r>
              <w:rPr>
                <w:snapToGrid w:val="0"/>
                <w:sz w:val="19"/>
              </w:rPr>
              <w:t>14 of 2010</w:t>
            </w:r>
          </w:p>
        </w:tc>
        <w:tc>
          <w:tcPr>
            <w:tcW w:w="1134" w:type="dxa"/>
          </w:tcPr>
          <w:p>
            <w:pPr>
              <w:pStyle w:val="nTable"/>
              <w:spacing w:after="40"/>
              <w:ind w:left="20"/>
              <w:rPr>
                <w:sz w:val="19"/>
              </w:rPr>
            </w:pPr>
            <w:r>
              <w:rPr>
                <w:sz w:val="19"/>
              </w:rPr>
              <w:t>25 Jun 2010</w:t>
            </w:r>
          </w:p>
        </w:tc>
        <w:tc>
          <w:tcPr>
            <w:tcW w:w="2551" w:type="dxa"/>
          </w:tcPr>
          <w:p>
            <w:pPr>
              <w:pStyle w:val="nTable"/>
              <w:spacing w:after="40"/>
              <w:ind w:left="62"/>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cantSplit/>
        </w:trPr>
        <w:tc>
          <w:tcPr>
            <w:tcW w:w="2268" w:type="dxa"/>
          </w:tcPr>
          <w:p>
            <w:pPr>
              <w:pStyle w:val="nTable"/>
              <w:spacing w:after="40"/>
              <w:ind w:right="113"/>
              <w:rPr>
                <w:i/>
                <w:iCs/>
                <w:snapToGrid w:val="0"/>
                <w:sz w:val="19"/>
              </w:rPr>
            </w:pPr>
            <w:r>
              <w:rPr>
                <w:i/>
                <w:noProof/>
                <w:snapToGrid w:val="0"/>
                <w:sz w:val="19"/>
              </w:rPr>
              <w:t>Fair Trading Act 2010</w:t>
            </w:r>
            <w:r>
              <w:rPr>
                <w:iCs/>
                <w:noProof/>
                <w:snapToGrid w:val="0"/>
                <w:sz w:val="19"/>
              </w:rPr>
              <w:t xml:space="preserve"> Pt. 10 Div. 2</w:t>
            </w:r>
          </w:p>
        </w:tc>
        <w:tc>
          <w:tcPr>
            <w:tcW w:w="1134" w:type="dxa"/>
          </w:tcPr>
          <w:p>
            <w:pPr>
              <w:pStyle w:val="nTable"/>
              <w:spacing w:after="40"/>
              <w:ind w:left="62"/>
              <w:rPr>
                <w:snapToGrid w:val="0"/>
                <w:sz w:val="19"/>
              </w:rPr>
            </w:pPr>
            <w:r>
              <w:rPr>
                <w:snapToGrid w:val="0"/>
                <w:sz w:val="19"/>
              </w:rPr>
              <w:t>57 of 2010</w:t>
            </w:r>
          </w:p>
        </w:tc>
        <w:tc>
          <w:tcPr>
            <w:tcW w:w="1134" w:type="dxa"/>
          </w:tcPr>
          <w:p>
            <w:pPr>
              <w:pStyle w:val="nTable"/>
              <w:spacing w:after="40"/>
              <w:ind w:left="20"/>
              <w:rPr>
                <w:sz w:val="19"/>
              </w:rPr>
            </w:pPr>
            <w:r>
              <w:rPr>
                <w:snapToGrid w:val="0"/>
                <w:sz w:val="19"/>
              </w:rPr>
              <w:t>8 Dec 2010</w:t>
            </w:r>
          </w:p>
        </w:tc>
        <w:tc>
          <w:tcPr>
            <w:tcW w:w="2551" w:type="dxa"/>
          </w:tcPr>
          <w:p>
            <w:pPr>
              <w:pStyle w:val="nTable"/>
              <w:spacing w:after="40"/>
              <w:ind w:left="62"/>
              <w:rPr>
                <w:snapToGrid w:val="0"/>
                <w:sz w:val="19"/>
              </w:rPr>
            </w:pPr>
            <w:r>
              <w:rPr>
                <w:snapToGrid w:val="0"/>
                <w:sz w:val="19"/>
              </w:rPr>
              <w:t xml:space="preserve">1 Jan 2011 (see s. 2(b) and </w:t>
            </w:r>
            <w:r>
              <w:rPr>
                <w:i/>
                <w:iCs/>
                <w:snapToGrid w:val="0"/>
                <w:sz w:val="19"/>
              </w:rPr>
              <w:t>Gazette</w:t>
            </w:r>
            <w:r>
              <w:rPr>
                <w:snapToGrid w:val="0"/>
                <w:sz w:val="19"/>
              </w:rPr>
              <w:t xml:space="preserve"> 24 Dec 2010 p. 6805)</w:t>
            </w:r>
          </w:p>
        </w:tc>
      </w:tr>
      <w:tr>
        <w:trPr>
          <w:cantSplit/>
        </w:trPr>
        <w:tc>
          <w:tcPr>
            <w:tcW w:w="7087" w:type="dxa"/>
            <w:gridSpan w:val="4"/>
            <w:tcBorders>
              <w:bottom w:val="single" w:sz="8" w:space="0" w:color="auto"/>
            </w:tcBorders>
            <w:shd w:val="clear" w:color="auto" w:fill="auto"/>
          </w:tcPr>
          <w:p>
            <w:pPr>
              <w:pStyle w:val="nTable"/>
              <w:spacing w:after="40"/>
              <w:ind w:right="113"/>
              <w:rPr>
                <w:snapToGrid w:val="0"/>
                <w:sz w:val="19"/>
              </w:rPr>
            </w:pPr>
            <w:r>
              <w:rPr>
                <w:b/>
                <w:sz w:val="19"/>
              </w:rPr>
              <w:t xml:space="preserve">Reprint 2: The </w:t>
            </w:r>
            <w:r>
              <w:rPr>
                <w:b/>
                <w:i/>
                <w:sz w:val="19"/>
              </w:rPr>
              <w:t>Door to Door Trading Act 1987</w:t>
            </w:r>
            <w:r>
              <w:rPr>
                <w:b/>
                <w:sz w:val="19"/>
              </w:rPr>
              <w:t xml:space="preserve"> as at 8 Aug 2014 </w:t>
            </w:r>
            <w:r>
              <w:rPr>
                <w:sz w:val="19"/>
              </w:rPr>
              <w:t>(includes amendments listed above)</w:t>
            </w:r>
          </w:p>
        </w:tc>
      </w:tr>
    </w:tbl>
    <w:p>
      <w:pPr>
        <w:pStyle w:val="nSubsection"/>
        <w:spacing w:before="160"/>
        <w:rPr>
          <w:snapToGrid w:val="0"/>
        </w:rPr>
      </w:pPr>
      <w:r>
        <w:rPr>
          <w:vertAlign w:val="superscript"/>
        </w:rPr>
        <w:t>2</w:t>
      </w:r>
      <w:r>
        <w:tab/>
        <w:t xml:space="preserve">The </w:t>
      </w:r>
      <w:r>
        <w:rPr>
          <w:i/>
        </w:rPr>
        <w:t>Fair Trading Act 2010</w:t>
      </w:r>
      <w:r>
        <w:t xml:space="preserve"> Part 10 commenced 1 Jan 2011.</w:t>
      </w:r>
    </w:p>
    <w:p>
      <w:pPr>
        <w:pStyle w:val="nSubsection"/>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Subsection"/>
        <w:rPr>
          <w:snapToGrid w:val="0"/>
        </w:rPr>
      </w:pPr>
    </w:p>
    <w:p>
      <w:pPr>
        <w:pStyle w:val="nHeading2"/>
        <w:rPr>
          <w:sz w:val="28"/>
        </w:rPr>
      </w:pPr>
      <w:bookmarkStart w:id="41" w:name="_Toc395879723"/>
      <w:r>
        <w:rPr>
          <w:sz w:val="28"/>
        </w:rPr>
        <w:t>Defined terms</w:t>
      </w:r>
      <w:bookmarkEnd w:id="4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2" w:name="DefinedTerms"/>
      <w:bookmarkEnd w:id="42"/>
      <w:r>
        <w:rPr>
          <w:snapToGrid w:val="0"/>
        </w:rPr>
        <w:t>business</w:t>
      </w:r>
      <w:r>
        <w:rPr>
          <w:snapToGrid w:val="0"/>
        </w:rPr>
        <w:tab/>
        <w:t>3(1)</w:t>
      </w:r>
    </w:p>
    <w:p>
      <w:pPr>
        <w:pStyle w:val="DefinedTerms"/>
        <w:rPr>
          <w:snapToGrid w:val="0"/>
        </w:rPr>
      </w:pPr>
      <w:r>
        <w:rPr>
          <w:snapToGrid w:val="0"/>
        </w:rPr>
        <w:t>commencement day</w:t>
      </w:r>
      <w:r>
        <w:rPr>
          <w:snapToGrid w:val="0"/>
        </w:rPr>
        <w:tab/>
        <w:t>3C(1), 3(1)</w:t>
      </w:r>
    </w:p>
    <w:p>
      <w:pPr>
        <w:pStyle w:val="DefinedTerms"/>
        <w:rPr>
          <w:snapToGrid w:val="0"/>
        </w:rPr>
      </w:pPr>
      <w:r>
        <w:rPr>
          <w:snapToGrid w:val="0"/>
        </w:rPr>
        <w:t>Commissioner</w:t>
      </w:r>
      <w:r>
        <w:rPr>
          <w:snapToGrid w:val="0"/>
        </w:rPr>
        <w:tab/>
        <w:t>3B(3)</w:t>
      </w:r>
    </w:p>
    <w:p>
      <w:pPr>
        <w:pStyle w:val="DefinedTerms"/>
        <w:rPr>
          <w:snapToGrid w:val="0"/>
        </w:rPr>
      </w:pPr>
      <w:r>
        <w:rPr>
          <w:snapToGrid w:val="0"/>
        </w:rPr>
        <w:t>consumer</w:t>
      </w:r>
      <w:r>
        <w:rPr>
          <w:snapToGrid w:val="0"/>
        </w:rPr>
        <w:tab/>
        <w:t>3(1)</w:t>
      </w:r>
    </w:p>
    <w:p>
      <w:pPr>
        <w:pStyle w:val="DefinedTerms"/>
        <w:rPr>
          <w:snapToGrid w:val="0"/>
        </w:rPr>
      </w:pPr>
      <w:r>
        <w:rPr>
          <w:snapToGrid w:val="0"/>
        </w:rPr>
        <w:t>contract to which this Act applies</w:t>
      </w:r>
      <w:r>
        <w:rPr>
          <w:snapToGrid w:val="0"/>
        </w:rPr>
        <w:tab/>
        <w:t>3(1), 5(3)</w:t>
      </w:r>
    </w:p>
    <w:p>
      <w:pPr>
        <w:pStyle w:val="DefinedTerms"/>
        <w:rPr>
          <w:snapToGrid w:val="0"/>
        </w:rPr>
      </w:pPr>
      <w:r>
        <w:rPr>
          <w:snapToGrid w:val="0"/>
        </w:rPr>
        <w:t>cooling</w:t>
      </w:r>
      <w:r>
        <w:rPr>
          <w:snapToGrid w:val="0"/>
        </w:rPr>
        <w:noBreakHyphen/>
        <w:t>off period</w:t>
      </w:r>
      <w:r>
        <w:rPr>
          <w:snapToGrid w:val="0"/>
        </w:rPr>
        <w:tab/>
        <w:t>3(1)</w:t>
      </w:r>
    </w:p>
    <w:p>
      <w:pPr>
        <w:pStyle w:val="DefinedTerms"/>
        <w:rPr>
          <w:snapToGrid w:val="0"/>
        </w:rPr>
      </w:pPr>
      <w:r>
        <w:rPr>
          <w:snapToGrid w:val="0"/>
        </w:rPr>
        <w:t>credit</w:t>
      </w:r>
      <w:r>
        <w:rPr>
          <w:snapToGrid w:val="0"/>
        </w:rPr>
        <w:tab/>
        <w:t>3(1)</w:t>
      </w:r>
    </w:p>
    <w:p>
      <w:pPr>
        <w:pStyle w:val="DefinedTerms"/>
        <w:rPr>
          <w:snapToGrid w:val="0"/>
        </w:rPr>
      </w:pPr>
      <w:r>
        <w:rPr>
          <w:snapToGrid w:val="0"/>
        </w:rPr>
        <w:t>dealer</w:t>
      </w:r>
      <w:r>
        <w:rPr>
          <w:snapToGrid w:val="0"/>
        </w:rPr>
        <w:tab/>
        <w:t>3(1)</w:t>
      </w:r>
    </w:p>
    <w:p>
      <w:pPr>
        <w:pStyle w:val="DefinedTerms"/>
        <w:rPr>
          <w:snapToGrid w:val="0"/>
        </w:rPr>
      </w:pPr>
      <w:r>
        <w:rPr>
          <w:snapToGrid w:val="0"/>
        </w:rPr>
        <w:t>door to door trading</w:t>
      </w:r>
      <w:r>
        <w:rPr>
          <w:snapToGrid w:val="0"/>
        </w:rPr>
        <w:tab/>
        <w:t>3(1)</w:t>
      </w:r>
    </w:p>
    <w:p>
      <w:pPr>
        <w:pStyle w:val="DefinedTerms"/>
        <w:rPr>
          <w:snapToGrid w:val="0"/>
        </w:rPr>
      </w:pPr>
      <w:r>
        <w:rPr>
          <w:snapToGrid w:val="0"/>
        </w:rPr>
        <w:t>goods</w:t>
      </w:r>
      <w:r>
        <w:rPr>
          <w:snapToGrid w:val="0"/>
        </w:rPr>
        <w:tab/>
        <w:t>3(1)</w:t>
      </w:r>
    </w:p>
    <w:p>
      <w:pPr>
        <w:pStyle w:val="DefinedTerms"/>
        <w:rPr>
          <w:snapToGrid w:val="0"/>
        </w:rPr>
      </w:pPr>
      <w:r>
        <w:rPr>
          <w:snapToGrid w:val="0"/>
        </w:rPr>
        <w:t>negotiation</w:t>
      </w:r>
      <w:r>
        <w:rPr>
          <w:snapToGrid w:val="0"/>
        </w:rPr>
        <w:tab/>
        <w:t>3(1)</w:t>
      </w:r>
    </w:p>
    <w:p>
      <w:pPr>
        <w:pStyle w:val="DefinedTerms"/>
        <w:rPr>
          <w:snapToGrid w:val="0"/>
        </w:rPr>
      </w:pPr>
      <w:r>
        <w:rPr>
          <w:snapToGrid w:val="0"/>
        </w:rPr>
        <w:t>prescribed amount</w:t>
      </w:r>
      <w:r>
        <w:rPr>
          <w:snapToGrid w:val="0"/>
        </w:rPr>
        <w:tab/>
        <w:t>6(5)</w:t>
      </w:r>
    </w:p>
    <w:p>
      <w:pPr>
        <w:pStyle w:val="DefinedTerms"/>
        <w:rPr>
          <w:snapToGrid w:val="0"/>
        </w:rPr>
      </w:pPr>
      <w:r>
        <w:rPr>
          <w:snapToGrid w:val="0"/>
        </w:rPr>
        <w:t>prescribed contract</w:t>
      </w:r>
      <w:r>
        <w:rPr>
          <w:snapToGrid w:val="0"/>
        </w:rPr>
        <w:tab/>
        <w:t>3(1)</w:t>
      </w:r>
    </w:p>
    <w:p>
      <w:pPr>
        <w:pStyle w:val="DefinedTerms"/>
        <w:rPr>
          <w:snapToGrid w:val="0"/>
        </w:rPr>
      </w:pPr>
      <w:r>
        <w:rPr>
          <w:snapToGrid w:val="0"/>
        </w:rPr>
        <w:t>public holiday</w:t>
      </w:r>
      <w:r>
        <w:rPr>
          <w:snapToGrid w:val="0"/>
        </w:rPr>
        <w:tab/>
        <w:t>3(1)</w:t>
      </w:r>
    </w:p>
    <w:p>
      <w:pPr>
        <w:pStyle w:val="DefinedTerms"/>
        <w:rPr>
          <w:snapToGrid w:val="0"/>
        </w:rPr>
      </w:pPr>
      <w:r>
        <w:rPr>
          <w:snapToGrid w:val="0"/>
        </w:rPr>
        <w:t>related contract or instrument</w:t>
      </w:r>
      <w:r>
        <w:rPr>
          <w:snapToGrid w:val="0"/>
        </w:rPr>
        <w:tab/>
        <w:t>3(1)</w:t>
      </w:r>
    </w:p>
    <w:p>
      <w:pPr>
        <w:pStyle w:val="DefinedTerms"/>
        <w:rPr>
          <w:snapToGrid w:val="0"/>
        </w:rPr>
      </w:pPr>
      <w:r>
        <w:rPr>
          <w:snapToGrid w:val="0"/>
        </w:rPr>
        <w:t>rescission</w:t>
      </w:r>
      <w:r>
        <w:rPr>
          <w:snapToGrid w:val="0"/>
        </w:rPr>
        <w:tab/>
        <w:t>3(1)</w:t>
      </w:r>
    </w:p>
    <w:p>
      <w:pPr>
        <w:pStyle w:val="DefinedTerms"/>
        <w:rPr>
          <w:snapToGrid w:val="0"/>
        </w:rPr>
      </w:pPr>
      <w:r>
        <w:rPr>
          <w:snapToGrid w:val="0"/>
        </w:rPr>
        <w:t>services</w:t>
      </w:r>
      <w:r>
        <w:rPr>
          <w:snapToGrid w:val="0"/>
        </w:rPr>
        <w:tab/>
        <w:t>3(1)</w:t>
      </w:r>
    </w:p>
    <w:p>
      <w:pPr>
        <w:pStyle w:val="DefinedTerms"/>
        <w:rPr>
          <w:snapToGrid w:val="0"/>
        </w:rPr>
      </w:pPr>
      <w:r>
        <w:rPr>
          <w:snapToGrid w:val="0"/>
        </w:rPr>
        <w:t>supplier</w:t>
      </w:r>
      <w:r>
        <w:rPr>
          <w:snapToGrid w:val="0"/>
        </w:rPr>
        <w:tab/>
        <w:t>3(1)</w:t>
      </w:r>
    </w:p>
    <w:p>
      <w:pPr>
        <w:pStyle w:val="DefinedTerms"/>
        <w:rPr>
          <w:snapToGrid w:val="0"/>
        </w:rPr>
      </w:pPr>
      <w:r>
        <w:rPr>
          <w:snapToGrid w:val="0"/>
        </w:rPr>
        <w:t>supply</w:t>
      </w:r>
      <w:r>
        <w:rPr>
          <w:snapToGrid w:val="0"/>
        </w:rPr>
        <w:tab/>
        <w:t>3(1)</w:t>
      </w:r>
    </w:p>
    <w:p>
      <w:pPr>
        <w:pStyle w:val="DefinedTerms"/>
        <w:rPr>
          <w:snapToGrid w:val="0"/>
        </w:rPr>
      </w:pPr>
      <w:r>
        <w:rPr>
          <w:snapToGrid w:val="0"/>
        </w:rPr>
        <w:t>to negotiate</w:t>
      </w:r>
      <w:r>
        <w:rPr>
          <w:snapToGrid w:val="0"/>
        </w:rPr>
        <w:tab/>
        <w:t>3(1)</w:t>
      </w:r>
    </w:p>
    <w:p>
      <w:pPr>
        <w:pStyle w:val="DefinedTerms"/>
        <w:rPr>
          <w:snapToGrid w:val="0"/>
        </w:rPr>
      </w:pPr>
      <w:r>
        <w:rPr>
          <w:snapToGrid w:val="0"/>
        </w:rPr>
        <w:t>trade premises</w:t>
      </w:r>
      <w:r>
        <w:rPr>
          <w:snapToGrid w:val="0"/>
        </w:rPr>
        <w:tab/>
        <w:t>3(1)</w:t>
      </w:r>
    </w:p>
    <w:p>
      <w:pPr>
        <w:pStyle w:val="nSubsection"/>
        <w:rPr>
          <w:snapToGrid w:val="0"/>
        </w:rPr>
      </w:pPr>
    </w:p>
    <w:p>
      <w:pPr>
        <w:pStyle w:val="DefinedTerms"/>
        <w:rPr>
          <w:snapToGrid w:val="0"/>
        </w:r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4C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5C1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8C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CB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3A6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48DA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C6A9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5CA3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EEC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464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5205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44C6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8"/>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0"/>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1110717"/>
    <w:docVar w:name="WAFER_20140122160452" w:val="RemoveTocBookmarks,RemoveUnusedBookmarks,RemoveLanguageTags,UsedStyles,ResetPageSize,UpdateArrangement"/>
    <w:docVar w:name="WAFER_20140122160452_GUID" w:val="de11cb50-ff5a-44ad-a66e-b3e5b2d2b984"/>
    <w:docVar w:name="WAFER_20140122160832" w:val="RemoveTocBookmarks,RunningHeaders"/>
    <w:docVar w:name="WAFER_20140122160832_GUID" w:val="a3b81d51-0b2c-493d-ae13-08ddd0c02fc2"/>
    <w:docVar w:name="WAFER_20140616154549" w:val="RemoveTocBookmarks,RemoveUnusedBookmarks,RemoveLanguageTags,UsedStyles,ResetPageSize,RemoveCustomizations,UpdateArrangement"/>
    <w:docVar w:name="WAFER_20140616154549_GUID" w:val="096b9e47-8d99-4c2c-a0a8-c03001232042"/>
    <w:docVar w:name="WAFER_20140627110005" w:val="RemoveTocBookmarks,RemoveLanguageTags,RemoveTrackChanges,RunningHeaders"/>
    <w:docVar w:name="WAFER_20140627110005_GUID" w:val="3749d00e-8131-45a1-bb8f-3be7c9b192e1"/>
    <w:docVar w:name="WAFER_20140701110717" w:val="RemoveTocBookmarks"/>
    <w:docVar w:name="WAFER_20140701110717_GUID" w:val="bb87b1b4-0585-4b0a-a273-4dcd2141b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99DC-902B-4543-9359-BB2EC068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6041</Words>
  <Characters>28274</Characters>
  <Application>Microsoft Office Word</Application>
  <DocSecurity>0</DocSecurity>
  <Lines>856</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1987 - 02-00-00</dc:title>
  <dc:subject/>
  <dc:creator/>
  <cp:keywords/>
  <dc:description/>
  <cp:lastModifiedBy>svcMRProcess</cp:lastModifiedBy>
  <cp:revision>4</cp:revision>
  <cp:lastPrinted>2014-08-15T07:33:00Z</cp:lastPrinted>
  <dcterms:created xsi:type="dcterms:W3CDTF">2020-03-07T18:04:00Z</dcterms:created>
  <dcterms:modified xsi:type="dcterms:W3CDTF">2020-03-07T18:04:00Z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20140808</vt:lpwstr>
  </property>
  <property fmtid="{D5CDD505-2E9C-101B-9397-08002B2CF9AE}" pid="4" name="DocumentType">
    <vt:lpwstr>Act</vt:lpwstr>
  </property>
  <property fmtid="{D5CDD505-2E9C-101B-9397-08002B2CF9AE}" pid="5" name="OwlsUID">
    <vt:i4>233</vt:i4>
  </property>
  <property fmtid="{D5CDD505-2E9C-101B-9397-08002B2CF9AE}" pid="6" name="AsAtDate">
    <vt:lpwstr>08 Aug 2014</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2014-08-07T16:00:00Z</vt:filetime>
  </property>
</Properties>
</file>