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Death Duties (Taxing) Act 1934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as at 14 July 1966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rPr>
          <w:sz w:val="36"/>
        </w:rPr>
      </w:pPr>
      <w:r>
        <w:rPr>
          <w:sz w:val="36"/>
        </w:rPr>
        <w:t>David Malcolm Justice Centre,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28 Barrack Street, Perth, Western Australia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GPO Box F317, Perth, Western Australia, 6841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Duties (Taxing) Act 1934 - 03-00-01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2018-05-25T03:40:00Z</dcterms:created>
  <dcterms:modified xsi:type="dcterms:W3CDTF">2018-05-25T03:40:00Z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29 of 1934</vt:lpwstr>
  </property>
  <property fmtid="{D5CDD505-2E9C-101B-9397-08002B2CF9AE}" pid="3" name="CommencementDate">
    <vt:lpwstr>19660714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