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Aboriginal Communities Act 1979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Bindi Bindi Aboriginal Community By-laws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Bindi Bindi Aboriginal Community By-laws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_Toc414962785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2.</w:t>
      </w:r>
      <w:r>
        <w:tab/>
        <w:t>Definitions</w:t>
      </w:r>
      <w:r>
        <w:tab/>
      </w:r>
      <w:r>
        <w:fldChar w:fldCharType="begin"/>
      </w:r>
      <w:r>
        <w:instrText xml:space="preserve"> PAGEREF _Toc414962786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3.</w:t>
      </w:r>
      <w:r>
        <w:tab/>
        <w:t>Members of the Community</w:t>
      </w:r>
      <w:r>
        <w:tab/>
      </w:r>
      <w:r>
        <w:fldChar w:fldCharType="begin"/>
      </w:r>
      <w:r>
        <w:instrText xml:space="preserve"> PAGEREF _Toc414962787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4.</w:t>
      </w:r>
      <w:r>
        <w:tab/>
        <w:t>Visiting Community land</w:t>
      </w:r>
      <w:r>
        <w:tab/>
      </w:r>
      <w:r>
        <w:fldChar w:fldCharType="begin"/>
      </w:r>
      <w:r>
        <w:instrText xml:space="preserve"> PAGEREF _Toc414962788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5.</w:t>
      </w:r>
      <w:r>
        <w:tab/>
        <w:t>Damage to property</w:t>
      </w:r>
      <w:r>
        <w:tab/>
      </w:r>
      <w:r>
        <w:fldChar w:fldCharType="begin"/>
      </w:r>
      <w:r>
        <w:instrText xml:space="preserve"> PAGEREF _Toc414962789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6.</w:t>
      </w:r>
      <w:r>
        <w:tab/>
        <w:t>Homes</w:t>
      </w:r>
      <w:r>
        <w:tab/>
      </w:r>
      <w:r>
        <w:fldChar w:fldCharType="begin"/>
      </w:r>
      <w:r>
        <w:instrText xml:space="preserve"> PAGEREF _Toc414962790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7.</w:t>
      </w:r>
      <w:r>
        <w:tab/>
        <w:t>Regulation of alcohol and drugs</w:t>
      </w:r>
      <w:r>
        <w:tab/>
      </w:r>
      <w:r>
        <w:fldChar w:fldCharType="begin"/>
      </w:r>
      <w:r>
        <w:instrText xml:space="preserve"> PAGEREF _Toc414962791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8.</w:t>
      </w:r>
      <w:r>
        <w:tab/>
        <w:t>Disorderly behaviour</w:t>
      </w:r>
      <w:r>
        <w:tab/>
      </w:r>
      <w:r>
        <w:fldChar w:fldCharType="begin"/>
      </w:r>
      <w:r>
        <w:instrText xml:space="preserve"> PAGEREF _Toc414962792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9.</w:t>
      </w:r>
      <w:r>
        <w:tab/>
        <w:t>Killing animals</w:t>
      </w:r>
      <w:r>
        <w:tab/>
      </w:r>
      <w:r>
        <w:fldChar w:fldCharType="begin"/>
      </w:r>
      <w:r>
        <w:instrText xml:space="preserve"> PAGEREF _Toc414962793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10.</w:t>
      </w:r>
      <w:r>
        <w:tab/>
        <w:t>Rubbish</w:t>
      </w:r>
      <w:r>
        <w:tab/>
      </w:r>
      <w:r>
        <w:fldChar w:fldCharType="begin"/>
      </w:r>
      <w:r>
        <w:instrText xml:space="preserve"> PAGEREF _Toc414962794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11.</w:t>
      </w:r>
      <w:r>
        <w:tab/>
        <w:t>Offences</w:t>
      </w:r>
      <w:r>
        <w:tab/>
      </w:r>
      <w:r>
        <w:fldChar w:fldCharType="begin"/>
      </w:r>
      <w:r>
        <w:instrText xml:space="preserve"> PAGEREF _Toc414962795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12.</w:t>
      </w:r>
      <w:r>
        <w:tab/>
        <w:t>Enforcement</w:t>
      </w:r>
      <w:r>
        <w:tab/>
      </w:r>
      <w:r>
        <w:fldChar w:fldCharType="begin"/>
      </w:r>
      <w:r>
        <w:instrText xml:space="preserve"> PAGEREF _Toc414962796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b/>
          <w:i/>
          <w:szCs w:val="22"/>
        </w:rPr>
      </w:pPr>
      <w:r>
        <w:t>13.</w:t>
      </w:r>
      <w:r>
        <w:tab/>
        <w:t>Committee permission</w:t>
      </w:r>
      <w:r>
        <w:tab/>
      </w:r>
      <w:r>
        <w:fldChar w:fldCharType="begin"/>
      </w:r>
      <w:r>
        <w:instrText xml:space="preserve"> PAGEREF _Toc414962797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 Australia</w:t>
      </w:r>
    </w:p>
    <w:p>
      <w:pPr>
        <w:pStyle w:val="PrincipalActReg"/>
      </w:pPr>
      <w:r>
        <w:t>Aboriginal Communities Act 1979</w:t>
      </w:r>
    </w:p>
    <w:p>
      <w:pPr>
        <w:pStyle w:val="NameofActReg"/>
      </w:pPr>
      <w:r>
        <w:t>Bindi Bindi Aboriginal Community By-laws</w:t>
      </w:r>
    </w:p>
    <w:p>
      <w:pPr>
        <w:pStyle w:val="Heading5"/>
      </w:pPr>
      <w:bookmarkStart w:id="3" w:name="_Toc378062243"/>
      <w:bookmarkStart w:id="4" w:name="_Toc41496278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Bindi Bindi Aboriginal Community By-laws.</w:t>
      </w:r>
    </w:p>
    <w:p>
      <w:pPr>
        <w:pStyle w:val="Heading5"/>
      </w:pPr>
      <w:bookmarkStart w:id="6" w:name="_Toc378062244"/>
      <w:bookmarkStart w:id="7" w:name="_Toc414962786"/>
      <w:r>
        <w:rPr>
          <w:rStyle w:val="CharSectno"/>
        </w:rPr>
        <w:t>2</w:t>
      </w:r>
      <w:r>
        <w:t>.</w:t>
      </w:r>
      <w:r>
        <w:tab/>
        <w:t>Definitions</w:t>
      </w:r>
      <w:bookmarkEnd w:id="6"/>
      <w:bookmarkEnd w:id="7"/>
    </w:p>
    <w:p>
      <w:pPr>
        <w:pStyle w:val="Subsection"/>
      </w:pPr>
      <w:r>
        <w:tab/>
      </w:r>
      <w:r>
        <w:tab/>
        <w:t>In these by-laws —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council of the Corporation; </w:t>
      </w:r>
    </w:p>
    <w:p>
      <w:pPr>
        <w:pStyle w:val="Defstart"/>
      </w:pPr>
      <w:r>
        <w:tab/>
      </w:r>
      <w:r>
        <w:rPr>
          <w:rStyle w:val="CharDefText"/>
        </w:rPr>
        <w:t>Community</w:t>
      </w:r>
      <w:r>
        <w:t xml:space="preserve"> means the Bindi Bindi Aboriginal Community; </w:t>
      </w:r>
    </w:p>
    <w:p>
      <w:pPr>
        <w:pStyle w:val="Defstart"/>
      </w:pPr>
      <w:r>
        <w:tab/>
      </w:r>
      <w:r>
        <w:rPr>
          <w:rStyle w:val="CharDefText"/>
        </w:rPr>
        <w:t>Community land</w:t>
      </w:r>
      <w:r>
        <w:t xml:space="preserve"> means the land declared by the Governor under section 6 of the Act to be the community lands of the Community; </w:t>
      </w:r>
    </w:p>
    <w:p>
      <w:pPr>
        <w:pStyle w:val="Defstart"/>
      </w:pPr>
      <w:r>
        <w:tab/>
      </w:r>
      <w:r>
        <w:rPr>
          <w:rStyle w:val="CharDefText"/>
        </w:rPr>
        <w:t>Corporation</w:t>
      </w:r>
      <w:r>
        <w:t xml:space="preserve"> means the Bindi Bindi Community Aboriginal Corporation Incorporated; </w:t>
      </w:r>
    </w:p>
    <w:p>
      <w:pPr>
        <w:pStyle w:val="Defstart"/>
      </w:pPr>
      <w:r>
        <w:tab/>
      </w:r>
      <w:r>
        <w:rPr>
          <w:rStyle w:val="CharDefText"/>
        </w:rPr>
        <w:t>member of the Community</w:t>
      </w:r>
      <w:r>
        <w:t xml:space="preserve"> means a person who is a member of the Community under by-law 3. </w:t>
      </w:r>
    </w:p>
    <w:p>
      <w:pPr>
        <w:pStyle w:val="Heading5"/>
      </w:pPr>
      <w:bookmarkStart w:id="8" w:name="_Toc378062245"/>
      <w:bookmarkStart w:id="9" w:name="_Toc414962787"/>
      <w:r>
        <w:rPr>
          <w:rStyle w:val="CharSectno"/>
        </w:rPr>
        <w:t>3</w:t>
      </w:r>
      <w:r>
        <w:t>.</w:t>
      </w:r>
      <w:r>
        <w:tab/>
        <w:t>Members of the Community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A person is a member of the Community if the person —</w:t>
      </w:r>
    </w:p>
    <w:p>
      <w:pPr>
        <w:pStyle w:val="Indenta"/>
      </w:pPr>
      <w:r>
        <w:tab/>
        <w:t>(a)</w:t>
      </w:r>
      <w:r>
        <w:tab/>
        <w:t xml:space="preserve">is accepted by the Committee as a member of the Community; and </w:t>
      </w:r>
    </w:p>
    <w:p>
      <w:pPr>
        <w:pStyle w:val="Indenta"/>
      </w:pPr>
      <w:r>
        <w:tab/>
        <w:t>(b)</w:t>
      </w:r>
      <w:r>
        <w:tab/>
        <w:t xml:space="preserve">has entered into an agreement with the Corporation allowing the person to reside on Community land. </w:t>
      </w:r>
    </w:p>
    <w:p>
      <w:pPr>
        <w:pStyle w:val="Subsection"/>
      </w:pPr>
      <w:r>
        <w:tab/>
        <w:t>(2)</w:t>
      </w:r>
      <w:r>
        <w:tab/>
        <w:t>A child of a member of the Community is a member of the Community if the child —</w:t>
      </w:r>
    </w:p>
    <w:p>
      <w:pPr>
        <w:pStyle w:val="Indenta"/>
      </w:pPr>
      <w:r>
        <w:tab/>
        <w:t>(a)</w:t>
      </w:r>
      <w:r>
        <w:tab/>
        <w:t>is under 16 years of age; or</w:t>
      </w:r>
    </w:p>
    <w:p>
      <w:pPr>
        <w:pStyle w:val="Indenta"/>
      </w:pPr>
      <w:r>
        <w:tab/>
        <w:t>(b)</w:t>
      </w:r>
      <w:r>
        <w:tab/>
        <w:t>being 16 years of age or older, but under 18 years of age, is financially dependent on his or her parents.</w:t>
      </w:r>
    </w:p>
    <w:p>
      <w:pPr>
        <w:pStyle w:val="Subsection"/>
      </w:pPr>
      <w:r>
        <w:tab/>
        <w:t>(3)</w:t>
      </w:r>
      <w:r>
        <w:tab/>
        <w:t xml:space="preserve">An application to become a member of the Community is to be made to the Committee in a form approved by the Committee. </w:t>
      </w:r>
    </w:p>
    <w:p>
      <w:pPr>
        <w:pStyle w:val="Subsection"/>
      </w:pPr>
      <w:r>
        <w:tab/>
        <w:t>(4)</w:t>
      </w:r>
      <w:r>
        <w:tab/>
        <w:t>A person who enters into an agreement under sub-bylaw (1)(b) must comply with the agreement.</w:t>
      </w:r>
    </w:p>
    <w:p>
      <w:pPr>
        <w:pStyle w:val="Heading5"/>
      </w:pPr>
      <w:bookmarkStart w:id="10" w:name="_Toc378062246"/>
      <w:bookmarkStart w:id="11" w:name="_Toc414962788"/>
      <w:r>
        <w:rPr>
          <w:rStyle w:val="CharSectno"/>
        </w:rPr>
        <w:t>4</w:t>
      </w:r>
      <w:r>
        <w:t>.</w:t>
      </w:r>
      <w:r>
        <w:tab/>
        <w:t>Visiting Community land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Subject to sub-bylaw (2) and any other written law, a person who is not a member of the Community must not enter or remain on Community land without the prior permission of the Committee. </w:t>
      </w:r>
    </w:p>
    <w:p>
      <w:pPr>
        <w:pStyle w:val="Subsection"/>
      </w:pPr>
      <w:r>
        <w:tab/>
        <w:t>(2)</w:t>
      </w:r>
      <w:r>
        <w:tab/>
        <w:t>For the purpose of seeking permission to enter or remain on Community land a person may go to the Committee’s office, on Community land, between 8.00 a.m. and 4.30 p.m. on a weekday.</w:t>
      </w:r>
    </w:p>
    <w:p>
      <w:pPr>
        <w:pStyle w:val="Subsection"/>
      </w:pPr>
      <w:r>
        <w:tab/>
        <w:t>(3)</w:t>
      </w:r>
      <w:r>
        <w:tab/>
        <w:t>If a person who is not a member of the Community resides on Community land for more than 5 continuous days the person is to pay a temporary residency fee to the Corporation at a rate determined by the Committee.</w:t>
      </w:r>
    </w:p>
    <w:p>
      <w:pPr>
        <w:pStyle w:val="Heading5"/>
      </w:pPr>
      <w:bookmarkStart w:id="12" w:name="_Toc378062247"/>
      <w:bookmarkStart w:id="13" w:name="_Toc414962789"/>
      <w:r>
        <w:rPr>
          <w:rStyle w:val="CharSectno"/>
        </w:rPr>
        <w:t>5</w:t>
      </w:r>
      <w:r>
        <w:t>.</w:t>
      </w:r>
      <w:r>
        <w:tab/>
        <w:t>Damage to property</w:t>
      </w:r>
      <w:bookmarkEnd w:id="12"/>
      <w:bookmarkEnd w:id="13"/>
    </w:p>
    <w:p>
      <w:pPr>
        <w:pStyle w:val="Subsection"/>
      </w:pPr>
      <w:r>
        <w:tab/>
      </w:r>
      <w:r>
        <w:tab/>
        <w:t>A person must not wilfully damage any building, structure, vehicle, planted vegetation or other property on Community land.</w:t>
      </w:r>
    </w:p>
    <w:p>
      <w:pPr>
        <w:pStyle w:val="Heading5"/>
      </w:pPr>
      <w:bookmarkStart w:id="14" w:name="_Toc378062248"/>
      <w:bookmarkStart w:id="15" w:name="_Toc414962790"/>
      <w:r>
        <w:rPr>
          <w:rStyle w:val="CharSectno"/>
        </w:rPr>
        <w:t>6</w:t>
      </w:r>
      <w:r>
        <w:t>.</w:t>
      </w:r>
      <w:r>
        <w:tab/>
        <w:t>Homes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person must not enter another person’s home without that person’s prior permission.</w:t>
      </w:r>
    </w:p>
    <w:p>
      <w:pPr>
        <w:pStyle w:val="Subsection"/>
      </w:pPr>
      <w:r>
        <w:tab/>
        <w:t>(2)</w:t>
      </w:r>
      <w:r>
        <w:tab/>
        <w:t>A person who is in another person’s home, must leave promptly when asked to do so by that other person.</w:t>
      </w:r>
    </w:p>
    <w:p>
      <w:pPr>
        <w:pStyle w:val="Heading5"/>
      </w:pPr>
      <w:bookmarkStart w:id="16" w:name="_Toc378062249"/>
      <w:bookmarkStart w:id="17" w:name="_Toc414962791"/>
      <w:r>
        <w:rPr>
          <w:rStyle w:val="CharSectno"/>
        </w:rPr>
        <w:t>7</w:t>
      </w:r>
      <w:r>
        <w:t>.</w:t>
      </w:r>
      <w:r>
        <w:tab/>
        <w:t>Regulation of alcohol and drugs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>A person must not —</w:t>
      </w:r>
    </w:p>
    <w:p>
      <w:pPr>
        <w:pStyle w:val="Indenta"/>
      </w:pPr>
      <w:r>
        <w:tab/>
        <w:t>(a)</w:t>
      </w:r>
      <w:r>
        <w:tab/>
        <w:t>drink alcohol on Community land other than land used for private residential purposes; or</w:t>
      </w:r>
    </w:p>
    <w:p>
      <w:pPr>
        <w:pStyle w:val="Indenta"/>
      </w:pPr>
      <w:r>
        <w:tab/>
        <w:t>(b)</w:t>
      </w:r>
      <w:r>
        <w:tab/>
        <w:t>give alcohol to a person under 18 years of age who is on Community land.</w:t>
      </w:r>
    </w:p>
    <w:p>
      <w:pPr>
        <w:pStyle w:val="Subsection"/>
      </w:pPr>
      <w:r>
        <w:tab/>
        <w:t>(2)</w:t>
      </w:r>
      <w:r>
        <w:tab/>
        <w:t>A person who is under the influence of alcohol or drugs must not —</w:t>
      </w:r>
    </w:p>
    <w:p>
      <w:pPr>
        <w:pStyle w:val="Indenta"/>
      </w:pPr>
      <w:r>
        <w:tab/>
        <w:t>(a)</w:t>
      </w:r>
      <w:r>
        <w:tab/>
        <w:t>enter the Community’s administration area; or</w:t>
      </w:r>
    </w:p>
    <w:p>
      <w:pPr>
        <w:pStyle w:val="Indenta"/>
      </w:pPr>
      <w:r>
        <w:tab/>
        <w:t>(b)</w:t>
      </w:r>
      <w:r>
        <w:tab/>
        <w:t>attend a meeting of the Committee, the Corporation or the Community or a customary meeting.</w:t>
      </w:r>
    </w:p>
    <w:p>
      <w:pPr>
        <w:pStyle w:val="Heading5"/>
      </w:pPr>
      <w:bookmarkStart w:id="18" w:name="_Toc378062250"/>
      <w:bookmarkStart w:id="19" w:name="_Toc414962792"/>
      <w:r>
        <w:rPr>
          <w:rStyle w:val="CharSectno"/>
        </w:rPr>
        <w:t>8</w:t>
      </w:r>
      <w:r>
        <w:t>.</w:t>
      </w:r>
      <w:r>
        <w:tab/>
        <w:t>Disorderly behaviour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>A person on Community land must not cause a disturbance, annoy other people, or cause fear by —</w:t>
      </w:r>
    </w:p>
    <w:p>
      <w:pPr>
        <w:pStyle w:val="Indenta"/>
      </w:pPr>
      <w:r>
        <w:tab/>
        <w:t>(a)</w:t>
      </w:r>
      <w:r>
        <w:tab/>
        <w:t xml:space="preserve">using offensive or abusive language; </w:t>
      </w:r>
    </w:p>
    <w:p>
      <w:pPr>
        <w:pStyle w:val="Indenta"/>
      </w:pPr>
      <w:r>
        <w:tab/>
        <w:t>(b)</w:t>
      </w:r>
      <w:r>
        <w:tab/>
        <w:t xml:space="preserve">fighting; </w:t>
      </w:r>
    </w:p>
    <w:p>
      <w:pPr>
        <w:pStyle w:val="Indenta"/>
      </w:pPr>
      <w:r>
        <w:tab/>
        <w:t>(c)</w:t>
      </w:r>
      <w:r>
        <w:tab/>
        <w:t>behaving in an offensive or disorderly manner; or</w:t>
      </w:r>
    </w:p>
    <w:p>
      <w:pPr>
        <w:pStyle w:val="Indenta"/>
      </w:pPr>
      <w:r>
        <w:tab/>
        <w:t>(d)</w:t>
      </w:r>
      <w:r>
        <w:tab/>
        <w:t>carrying a weapon or other dangerous object.</w:t>
      </w:r>
    </w:p>
    <w:p>
      <w:pPr>
        <w:pStyle w:val="Subsection"/>
      </w:pPr>
      <w:r>
        <w:tab/>
        <w:t>(2)</w:t>
      </w:r>
      <w:r>
        <w:tab/>
        <w:t>A person must not disrupt —</w:t>
      </w:r>
    </w:p>
    <w:p>
      <w:pPr>
        <w:pStyle w:val="Indenta"/>
      </w:pPr>
      <w:r>
        <w:tab/>
        <w:t>(a)</w:t>
      </w:r>
      <w:r>
        <w:tab/>
        <w:t>a meeting of the Committee, the Corporation or the Community; or</w:t>
      </w:r>
    </w:p>
    <w:p>
      <w:pPr>
        <w:pStyle w:val="Indenta"/>
      </w:pPr>
      <w:r>
        <w:tab/>
        <w:t>(b)</w:t>
      </w:r>
      <w:r>
        <w:tab/>
        <w:t>a customary meeting held on Community land.</w:t>
      </w:r>
    </w:p>
    <w:p>
      <w:pPr>
        <w:pStyle w:val="Subsection"/>
      </w:pPr>
      <w:r>
        <w:tab/>
        <w:t>(3)</w:t>
      </w:r>
      <w:r>
        <w:tab/>
        <w:t>A person must not hinder or prevent the performance by the Committee, the Corporation or any of their employees, of their duties.</w:t>
      </w:r>
    </w:p>
    <w:p>
      <w:pPr>
        <w:pStyle w:val="Heading5"/>
      </w:pPr>
      <w:bookmarkStart w:id="20" w:name="_Toc378062251"/>
      <w:bookmarkStart w:id="21" w:name="_Toc414962793"/>
      <w:r>
        <w:rPr>
          <w:rStyle w:val="CharSectno"/>
        </w:rPr>
        <w:t>9</w:t>
      </w:r>
      <w:r>
        <w:t>.</w:t>
      </w:r>
      <w:r>
        <w:tab/>
        <w:t>Killing animals</w:t>
      </w:r>
      <w:bookmarkEnd w:id="20"/>
      <w:bookmarkEnd w:id="21"/>
    </w:p>
    <w:p>
      <w:pPr>
        <w:pStyle w:val="Subsection"/>
      </w:pPr>
      <w:r>
        <w:tab/>
      </w:r>
      <w:r>
        <w:tab/>
        <w:t>A person must not kill, skin or dress an animal on Community land unless it is done in a manner that is not harmful to the health of the people on Community land.</w:t>
      </w:r>
    </w:p>
    <w:p>
      <w:pPr>
        <w:pStyle w:val="Heading5"/>
      </w:pPr>
      <w:bookmarkStart w:id="22" w:name="_Toc378062252"/>
      <w:bookmarkStart w:id="23" w:name="_Toc414962794"/>
      <w:r>
        <w:rPr>
          <w:rStyle w:val="CharSectno"/>
        </w:rPr>
        <w:t>10</w:t>
      </w:r>
      <w:r>
        <w:t>.</w:t>
      </w:r>
      <w:r>
        <w:tab/>
        <w:t>Rubbish</w:t>
      </w:r>
      <w:bookmarkEnd w:id="22"/>
      <w:bookmarkEnd w:id="23"/>
    </w:p>
    <w:p>
      <w:pPr>
        <w:pStyle w:val="Subsection"/>
      </w:pPr>
      <w:r>
        <w:tab/>
      </w:r>
      <w:r>
        <w:tab/>
        <w:t>A person must not leave rubbish or abandon a vehicle on Community land other than —</w:t>
      </w:r>
    </w:p>
    <w:p>
      <w:pPr>
        <w:pStyle w:val="Indenta"/>
      </w:pPr>
      <w:r>
        <w:tab/>
        <w:t>(a)</w:t>
      </w:r>
      <w:r>
        <w:tab/>
        <w:t xml:space="preserve">in the case of rubbish, in a rubbish bin; or </w:t>
      </w:r>
    </w:p>
    <w:p>
      <w:pPr>
        <w:pStyle w:val="Indenta"/>
      </w:pPr>
      <w:r>
        <w:tab/>
        <w:t>(b)</w:t>
      </w:r>
      <w:r>
        <w:tab/>
        <w:t xml:space="preserve">in any case, at a place set aside by the Committee for the dumping of rubbish. </w:t>
      </w:r>
    </w:p>
    <w:p>
      <w:pPr>
        <w:pStyle w:val="Heading5"/>
      </w:pPr>
      <w:bookmarkStart w:id="24" w:name="_Toc378062253"/>
      <w:bookmarkStart w:id="25" w:name="_Toc414962795"/>
      <w:r>
        <w:rPr>
          <w:rStyle w:val="CharSectno"/>
        </w:rPr>
        <w:t>11</w:t>
      </w:r>
      <w:r>
        <w:t>.</w:t>
      </w:r>
      <w:r>
        <w:tab/>
        <w:t>Offences</w:t>
      </w:r>
      <w:bookmarkEnd w:id="24"/>
      <w:bookmarkEnd w:id="25"/>
    </w:p>
    <w:p>
      <w:pPr>
        <w:pStyle w:val="Subsection"/>
      </w:pPr>
      <w:r>
        <w:tab/>
        <w:t>(1)</w:t>
      </w:r>
      <w:r>
        <w:tab/>
        <w:t>A person commits an offence against these by-laws if the person fails to comply with —</w:t>
      </w:r>
    </w:p>
    <w:p>
      <w:pPr>
        <w:pStyle w:val="Indenta"/>
      </w:pPr>
      <w:r>
        <w:tab/>
        <w:t>(a)</w:t>
      </w:r>
      <w:r>
        <w:tab/>
        <w:t>a by-law; or</w:t>
      </w:r>
    </w:p>
    <w:p>
      <w:pPr>
        <w:pStyle w:val="Indenta"/>
      </w:pPr>
      <w:r>
        <w:tab/>
        <w:t>(b)</w:t>
      </w:r>
      <w:r>
        <w:tab/>
        <w:t>a condition imposed by the Committee on a permission granted under these by-laws.</w:t>
      </w:r>
    </w:p>
    <w:p>
      <w:pPr>
        <w:pStyle w:val="Subsection"/>
      </w:pPr>
      <w:r>
        <w:tab/>
        <w:t>(2)</w:t>
      </w:r>
      <w:r>
        <w:tab/>
        <w:t>A person who commits an offence against these by-laws —</w:t>
      </w:r>
    </w:p>
    <w:p>
      <w:pPr>
        <w:pStyle w:val="Indenta"/>
      </w:pPr>
      <w:r>
        <w:tab/>
        <w:t>(a)</w:t>
      </w:r>
      <w:r>
        <w:tab/>
        <w:t>is liable to a fine of up to $5 000; and</w:t>
      </w:r>
    </w:p>
    <w:p>
      <w:pPr>
        <w:pStyle w:val="Indenta"/>
      </w:pPr>
      <w:r>
        <w:tab/>
        <w:t>(b)</w:t>
      </w:r>
      <w:r>
        <w:tab/>
        <w:t xml:space="preserve">may be ordered by the court to pay up to $250 in compensation to the owner of any property that was damaged as a result of the commission of the offence. </w:t>
      </w:r>
    </w:p>
    <w:p>
      <w:pPr>
        <w:pStyle w:val="Heading5"/>
      </w:pPr>
      <w:bookmarkStart w:id="26" w:name="_Toc378062254"/>
      <w:bookmarkStart w:id="27" w:name="_Toc414962796"/>
      <w:r>
        <w:rPr>
          <w:rStyle w:val="CharSectno"/>
        </w:rPr>
        <w:t>12</w:t>
      </w:r>
      <w:r>
        <w:t>.</w:t>
      </w:r>
      <w:r>
        <w:tab/>
        <w:t>Enforcement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>A member of the Police Force may take proceedings against a person who commits an offence against these by-laws.</w:t>
      </w:r>
    </w:p>
    <w:p>
      <w:pPr>
        <w:pStyle w:val="Subsection"/>
      </w:pPr>
      <w:r>
        <w:tab/>
        <w:t>(2)</w:t>
      </w:r>
      <w:r>
        <w:tab/>
        <w:t>A member of the Police Force may apprehend and remove a person from Community land if —</w:t>
      </w:r>
    </w:p>
    <w:p>
      <w:pPr>
        <w:pStyle w:val="Indenta"/>
      </w:pPr>
      <w:r>
        <w:tab/>
        <w:t>(a)</w:t>
      </w:r>
      <w:r>
        <w:tab/>
        <w:t>the person has committed, or is committing —</w:t>
      </w:r>
    </w:p>
    <w:p>
      <w:pPr>
        <w:pStyle w:val="Indenti"/>
      </w:pPr>
      <w:r>
        <w:tab/>
        <w:t>(i)</w:t>
      </w:r>
      <w:r>
        <w:tab/>
        <w:t xml:space="preserve">an offence against these by-laws; or </w:t>
      </w:r>
    </w:p>
    <w:p>
      <w:pPr>
        <w:pStyle w:val="Indenti"/>
      </w:pPr>
      <w:r>
        <w:tab/>
        <w:t>(ii)</w:t>
      </w:r>
      <w:r>
        <w:tab/>
        <w:t xml:space="preserve">an offence against the </w:t>
      </w:r>
      <w:r>
        <w:rPr>
          <w:i/>
        </w:rPr>
        <w:t xml:space="preserve">Road Traffic Act 1974 </w:t>
      </w:r>
      <w:r>
        <w:t xml:space="preserve">on Community land;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it appears to the member of the Police Force that the person will cause injury to other persons or damage to property if he or she is not removed.</w:t>
      </w:r>
    </w:p>
    <w:p>
      <w:pPr>
        <w:pStyle w:val="Subsection"/>
      </w:pPr>
      <w:r>
        <w:tab/>
        <w:t>(3)</w:t>
      </w:r>
      <w:r>
        <w:tab/>
        <w:t>A person removed from Community land under sub-bylaw (2) must be released from police custody within 24 hours if not dealt with by a court before then.</w:t>
      </w:r>
    </w:p>
    <w:p>
      <w:pPr>
        <w:pStyle w:val="Subsection"/>
      </w:pPr>
      <w:r>
        <w:tab/>
        <w:t>(4)</w:t>
      </w:r>
      <w:r>
        <w:tab/>
        <w:t>If a person is convicted of —</w:t>
      </w:r>
    </w:p>
    <w:p>
      <w:pPr>
        <w:pStyle w:val="Indenta"/>
      </w:pPr>
      <w:r>
        <w:tab/>
        <w:t>(a)</w:t>
      </w:r>
      <w:r>
        <w:tab/>
        <w:t>committing an offence against these by-laws; or</w:t>
      </w:r>
    </w:p>
    <w:p>
      <w:pPr>
        <w:pStyle w:val="Indenta"/>
      </w:pPr>
      <w:r>
        <w:tab/>
        <w:t>(b)</w:t>
      </w:r>
      <w:r>
        <w:tab/>
        <w:t>committing an offence against —</w:t>
      </w:r>
    </w:p>
    <w:p>
      <w:pPr>
        <w:pStyle w:val="Indenti"/>
      </w:pPr>
      <w:r>
        <w:tab/>
        <w:t>(i)</w:t>
      </w:r>
      <w:r>
        <w:tab/>
        <w:t xml:space="preserve">Chapter XXXI of </w:t>
      </w:r>
      <w:r>
        <w:rPr>
          <w:i/>
        </w:rPr>
        <w:t>The Criminal Code</w:t>
      </w:r>
      <w:r>
        <w:t>; or</w:t>
      </w:r>
    </w:p>
    <w:p>
      <w:pPr>
        <w:pStyle w:val="Indenti"/>
      </w:pPr>
      <w:r>
        <w:tab/>
        <w:t>(ii)</w:t>
      </w:r>
      <w:r>
        <w:tab/>
        <w:t xml:space="preserve">the </w:t>
      </w:r>
      <w:r>
        <w:rPr>
          <w:i/>
        </w:rPr>
        <w:t>Road Traffic Act 1974</w:t>
      </w:r>
      <w:r>
        <w:t>,</w:t>
      </w:r>
    </w:p>
    <w:p>
      <w:pPr>
        <w:pStyle w:val="Indenta"/>
      </w:pPr>
      <w:r>
        <w:tab/>
      </w:r>
      <w:r>
        <w:tab/>
        <w:t>on Community land,</w:t>
      </w:r>
    </w:p>
    <w:p>
      <w:pPr>
        <w:pStyle w:val="Subsection"/>
      </w:pPr>
      <w:r>
        <w:tab/>
      </w:r>
      <w:r>
        <w:tab/>
        <w:t>the Committee may —</w:t>
      </w:r>
    </w:p>
    <w:p>
      <w:pPr>
        <w:pStyle w:val="Indenta"/>
      </w:pPr>
      <w:r>
        <w:tab/>
        <w:t>(c)</w:t>
      </w:r>
      <w:r>
        <w:tab/>
        <w:t>order the person to leave Community land; and</w:t>
      </w:r>
    </w:p>
    <w:p>
      <w:pPr>
        <w:pStyle w:val="Indenta"/>
      </w:pPr>
      <w:r>
        <w:tab/>
        <w:t>(d)</w:t>
      </w:r>
      <w:r>
        <w:tab/>
        <w:t>if the person is a member of the Community, revoke the person’s membership of the Community.</w:t>
      </w:r>
    </w:p>
    <w:p>
      <w:pPr>
        <w:pStyle w:val="Heading5"/>
      </w:pPr>
      <w:bookmarkStart w:id="28" w:name="_Toc378062255"/>
      <w:bookmarkStart w:id="29" w:name="_Toc414962797"/>
      <w:r>
        <w:rPr>
          <w:rStyle w:val="CharSectno"/>
        </w:rPr>
        <w:t>13</w:t>
      </w:r>
      <w:r>
        <w:t>.</w:t>
      </w:r>
      <w:r>
        <w:tab/>
        <w:t>Committee permission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>Where a by-law provides that the Committee may grant permission to a person to do an act that would otherwise not be permitted, the Committee may —</w:t>
      </w:r>
    </w:p>
    <w:p>
      <w:pPr>
        <w:pStyle w:val="Indenta"/>
      </w:pPr>
      <w:r>
        <w:tab/>
        <w:t>(a)</w:t>
      </w:r>
      <w:r>
        <w:tab/>
        <w:t xml:space="preserve">grant or refuse to grant that permission; </w:t>
      </w:r>
    </w:p>
    <w:p>
      <w:pPr>
        <w:pStyle w:val="Indenta"/>
      </w:pPr>
      <w:r>
        <w:tab/>
        <w:t>(b)</w:t>
      </w:r>
      <w:r>
        <w:tab/>
        <w:t xml:space="preserve">grant permission subject to any conditions it thinks fit; </w:t>
      </w:r>
    </w:p>
    <w:p>
      <w:pPr>
        <w:pStyle w:val="Indenta"/>
      </w:pPr>
      <w:r>
        <w:tab/>
        <w:t>(c)</w:t>
      </w:r>
      <w:r>
        <w:tab/>
        <w:t xml:space="preserve">if it has granted permission, revoke the permission at any time; and </w:t>
      </w:r>
    </w:p>
    <w:p>
      <w:pPr>
        <w:pStyle w:val="Indenta"/>
      </w:pPr>
      <w:r>
        <w:tab/>
        <w:t>(d)</w:t>
      </w:r>
      <w:r>
        <w:tab/>
        <w:t xml:space="preserve">notify the person concerned of the granting, refusal to grant or revocation of the permission either orally or in writing, </w:t>
      </w:r>
    </w:p>
    <w:p>
      <w:pPr>
        <w:pStyle w:val="Subsection"/>
      </w:pPr>
      <w:r>
        <w:tab/>
      </w:r>
      <w:r>
        <w:tab/>
        <w:t>and the Committee need not give reasons for its decisions.</w:t>
      </w:r>
    </w:p>
    <w:p>
      <w:pPr>
        <w:pStyle w:val="Subsection"/>
      </w:pPr>
      <w:r>
        <w:tab/>
        <w:t>(2)</w:t>
      </w:r>
      <w:r>
        <w:tab/>
        <w:t>The Committee may delegate its powers to grant, refuse and revoke permissions under these by-laws to any member of the Committee or employee of the Corporation.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378062256"/>
      <w:bookmarkStart w:id="31" w:name="_Toc414962782"/>
      <w:bookmarkStart w:id="32" w:name="_Toc414962798"/>
      <w:r>
        <w:t>Notes</w:t>
      </w:r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Bindi Bindi Aboriginal Community By-laws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rPr>
          <w:b/>
        </w:rPr>
      </w:pPr>
      <w:r>
        <w:rPr>
          <w:b/>
        </w:rPr>
        <w:t>Table of Regulations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27"/>
        <w:gridCol w:w="1360"/>
        <w:gridCol w:w="341"/>
        <w:gridCol w:w="1377"/>
        <w:gridCol w:w="324"/>
        <w:gridCol w:w="1150"/>
        <w:gridCol w:w="352"/>
      </w:tblGrid>
      <w:tr>
        <w:trPr>
          <w:gridAfter w:val="1"/>
          <w:wAfter w:w="352" w:type="dxa"/>
          <w:tblHeader/>
        </w:trPr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Miscellaneous</w:t>
            </w:r>
          </w:p>
        </w:tc>
      </w:tr>
      <w:tr>
        <w:trPr>
          <w:cantSplit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/>
              </w:rPr>
            </w:pPr>
            <w:r>
              <w:rPr>
                <w:i/>
              </w:rPr>
              <w:t>Bindi Bindi Aboriginal Community By-laws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>16 February 2001 pp. 904-907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>16 February 2001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4" w:name="_Toc414962799"/>
      <w:r>
        <w:rPr>
          <w:sz w:val="28"/>
        </w:rPr>
        <w:t>Defined terms</w:t>
      </w:r>
      <w:bookmarkEnd w:id="3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Committee</w:t>
      </w:r>
      <w:r>
        <w:tab/>
        <w:t>2</w:t>
      </w:r>
    </w:p>
    <w:p>
      <w:pPr>
        <w:pStyle w:val="DefinedTerms"/>
      </w:pPr>
      <w:r>
        <w:t>Community</w:t>
      </w:r>
      <w:r>
        <w:tab/>
        <w:t>2</w:t>
      </w:r>
    </w:p>
    <w:p>
      <w:pPr>
        <w:pStyle w:val="DefinedTerms"/>
      </w:pPr>
      <w:r>
        <w:t>Community land</w:t>
      </w:r>
      <w:r>
        <w:tab/>
        <w:t>2</w:t>
      </w:r>
    </w:p>
    <w:p>
      <w:pPr>
        <w:pStyle w:val="DefinedTerms"/>
      </w:pPr>
      <w:r>
        <w:t>Corporation</w:t>
      </w:r>
      <w:r>
        <w:tab/>
        <w:t>2</w:t>
      </w:r>
    </w:p>
    <w:p>
      <w:pPr>
        <w:pStyle w:val="DefinedTerms"/>
      </w:pPr>
      <w:r>
        <w:t>member of the Community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Feb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Feb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Feb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Feb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Feb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Feb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5" w:name="DefinedTerms"/>
    <w:bookmarkEnd w:id="3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Bindi Bindi Aboriginal Community By-laws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FF0573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22138"/>
    <w:docVar w:name="WAFER_20140121093004" w:val="RemoveTocBookmarks,RemoveUnusedBookmarks,RemoveLanguageTags,UsedStyles,ResetPageSize,UpdateArrangement"/>
    <w:docVar w:name="WAFER_20140121093004_GUID" w:val="b844fb46-4d1b-4bc9-92c2-c731065356de"/>
    <w:docVar w:name="WAFER_20140121100401" w:val="RemoveTocBookmarks,RunningHeaders"/>
    <w:docVar w:name="WAFER_20140121100401_GUID" w:val="4819f7d1-4979-4c59-bfec-3821274c9868"/>
    <w:docVar w:name="WAFER_20150324114055" w:val="ResetPageSize,UpdateArrangement,UpdateNTable"/>
    <w:docVar w:name="WAFER_20150324114055_GUID" w:val="17637536-bc88-4253-9a03-f3c65879e3e9"/>
    <w:docVar w:name="WAFER_20151102122138" w:val="UpdateStyles,UsedStyles"/>
    <w:docVar w:name="WAFER_20151102122138_GUID" w:val="13f97644-58f6-42d6-a0b7-8984024856f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1379</Words>
  <Characters>6497</Characters>
  <Application>Microsoft Office Word</Application>
  <DocSecurity>0</DocSecurity>
  <Lines>224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Bindi Bindi Aboriginal Community By-laws - 00-a0-12</dc:title>
  <dc:subject/>
  <dc:creator/>
  <cp:keywords/>
  <dc:description/>
  <cp:lastModifiedBy>svcMRProcess</cp:lastModifiedBy>
  <cp:revision>4</cp:revision>
  <cp:lastPrinted>2001-02-16T00:31:00Z</cp:lastPrinted>
  <dcterms:created xsi:type="dcterms:W3CDTF">2019-01-15T06:19:00Z</dcterms:created>
  <dcterms:modified xsi:type="dcterms:W3CDTF">2019-01-15T06:19:00Z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February 2001 pp.904-907</vt:lpwstr>
  </property>
  <property fmtid="{D5CDD505-2E9C-101B-9397-08002B2CF9AE}" pid="3" name="CommencementDate">
    <vt:lpwstr>20010216</vt:lpwstr>
  </property>
  <property fmtid="{D5CDD505-2E9C-101B-9397-08002B2CF9AE}" pid="4" name="DocumentType">
    <vt:lpwstr>Reg</vt:lpwstr>
  </property>
  <property fmtid="{D5CDD505-2E9C-101B-9397-08002B2CF9AE}" pid="5" name="AsAtDate">
    <vt:lpwstr>16 Feb 2001</vt:lpwstr>
  </property>
  <property fmtid="{D5CDD505-2E9C-101B-9397-08002B2CF9AE}" pid="6" name="Suffix">
    <vt:lpwstr>00-a0-12</vt:lpwstr>
  </property>
</Properties>
</file>