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Factories and Shops Act 1920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 xml:space="preserve">Factories and Shops Act 1963 </w:t>
      </w:r>
      <w:r>
        <w:rPr>
          <w:color w:val="000000"/>
          <w:sz w:val="22"/>
          <w:szCs w:val="22"/>
        </w:rPr>
        <w:t>s. 4(1) (No. 44 of 1963) as at 1 Jan 1964.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2140415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2140415" w:val="UsedStyles"/>
    <w:docVar w:name="WAFER_20160412140415_GUID" w:val="35a45abc-7ed3-453c-94d2-7d2fbbe10bb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198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Factories and Shops Act 1920 - 04-b0-02</dc:title>
  <dc:subject/>
  <dc:creator/>
  <cp:keywords/>
  <dc:description/>
  <cp:lastModifiedBy>svcMRProcess</cp:lastModifiedBy>
  <cp:revision>3</cp:revision>
  <dcterms:created xsi:type="dcterms:W3CDTF">2016-04-12T06:10:00Z</dcterms:created>
  <dcterms:modified xsi:type="dcterms:W3CDTF">2016-04-12T06:10:00Z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04-b0-02</vt:lpwstr>
  </property>
  <property fmtid="{D5CDD505-2E9C-101B-9397-08002B2CF9AE}" pid="3" name="AsAtDate">
    <vt:lpwstr>01 Jan 1964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19640101</vt:lpwstr>
  </property>
</Properties>
</file>