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Radiation Safety Act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_Toc435023328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_Toc435023329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_Toc435023330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Act, and exemptions</w:t>
      </w:r>
      <w:r>
        <w:tab/>
      </w:r>
      <w:r>
        <w:fldChar w:fldCharType="begin"/>
      </w:r>
      <w:r>
        <w:instrText xml:space="preserve"> PAGEREF _Toc435023331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Crown bound</w:t>
      </w:r>
      <w:r>
        <w:tab/>
      </w:r>
      <w:r>
        <w:fldChar w:fldCharType="begin"/>
      </w:r>
      <w:r>
        <w:instrText xml:space="preserve"> PAGEREF _Toc435023332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Prohibition</w:t>
      </w:r>
      <w:r>
        <w:tab/>
      </w:r>
      <w:r>
        <w:fldChar w:fldCharType="begin"/>
      </w:r>
      <w:r>
        <w:instrText xml:space="preserve"> PAGEREF _Toc435023333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Civil remedies</w:t>
      </w:r>
      <w:r>
        <w:tab/>
      </w:r>
      <w:r>
        <w:fldChar w:fldCharType="begin"/>
      </w:r>
      <w:r>
        <w:instrText xml:space="preserve"> PAGEREF _Toc435023334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Administrative provisions</w:t>
      </w:r>
    </w:p>
    <w:p>
      <w:pPr>
        <w:pStyle w:val="TOC8"/>
        <w:rPr>
          <w:rFonts w:asciiTheme="minorHAnsi" w:eastAsiaTheme="minorEastAsia" w:hAnsiTheme="minorHAnsi" w:cstheme="minorBidi"/>
          <w:szCs w:val="22"/>
        </w:rPr>
      </w:pPr>
      <w:r>
        <w:t>10</w:t>
      </w:r>
      <w:r>
        <w:rPr>
          <w:snapToGrid w:val="0"/>
        </w:rPr>
        <w:t>.</w:t>
      </w:r>
      <w:r>
        <w:rPr>
          <w:snapToGrid w:val="0"/>
        </w:rPr>
        <w:tab/>
        <w:t>Duty of Minister and administrative arrangements</w:t>
      </w:r>
      <w:r>
        <w:tab/>
      </w:r>
      <w:r>
        <w:fldChar w:fldCharType="begin"/>
      </w:r>
      <w:r>
        <w:instrText xml:space="preserve"> PAGEREF _Toc435023336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Further functions of the Council</w:t>
      </w:r>
      <w:r>
        <w:tab/>
      </w:r>
      <w:r>
        <w:fldChar w:fldCharType="begin"/>
      </w:r>
      <w:r>
        <w:instrText xml:space="preserve"> PAGEREF _Toc435023337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Reviews</w:t>
      </w:r>
      <w:r>
        <w:tab/>
      </w:r>
      <w:r>
        <w:fldChar w:fldCharType="begin"/>
      </w:r>
      <w:r>
        <w:instrText xml:space="preserve"> PAGEREF _Toc435023338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Radiological Council</w:t>
      </w:r>
      <w:r>
        <w:tab/>
      </w:r>
      <w:r>
        <w:fldChar w:fldCharType="begin"/>
      </w:r>
      <w:r>
        <w:instrText xml:space="preserve"> PAGEREF _Toc435023339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Tenure of office</w:t>
      </w:r>
      <w:r>
        <w:tab/>
      </w:r>
      <w:r>
        <w:fldChar w:fldCharType="begin"/>
      </w:r>
      <w:r>
        <w:instrText xml:space="preserve"> PAGEREF _Toc435023340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Deputies and casual vacancies</w:t>
      </w:r>
      <w:r>
        <w:tab/>
      </w:r>
      <w:r>
        <w:fldChar w:fldCharType="begin"/>
      </w:r>
      <w:r>
        <w:instrText xml:space="preserve"> PAGEREF _Toc435023341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Proceedings</w:t>
      </w:r>
      <w:r>
        <w:tab/>
      </w:r>
      <w:r>
        <w:fldChar w:fldCharType="begin"/>
      </w:r>
      <w:r>
        <w:instrText xml:space="preserve"> PAGEREF _Toc435023342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w:t>
      </w:r>
      <w:r>
        <w:rPr>
          <w:snapToGrid w:val="0"/>
        </w:rPr>
        <w:noBreakHyphen/>
        <w:t>option and consultants</w:t>
      </w:r>
      <w:r>
        <w:tab/>
      </w:r>
      <w:r>
        <w:fldChar w:fldCharType="begin"/>
      </w:r>
      <w:r>
        <w:instrText xml:space="preserve"> PAGEREF _Toc435023343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w:t>
      </w:r>
      <w:r>
        <w:tab/>
      </w:r>
      <w:r>
        <w:fldChar w:fldCharType="begin"/>
      </w:r>
      <w:r>
        <w:instrText xml:space="preserve"> PAGEREF _Toc435023344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Committees</w:t>
      </w:r>
      <w:r>
        <w:tab/>
      </w:r>
      <w:r>
        <w:fldChar w:fldCharType="begin"/>
      </w:r>
      <w:r>
        <w:instrText xml:space="preserve"> PAGEREF _Toc435023345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Restriction on remuneration</w:t>
      </w:r>
      <w:r>
        <w:tab/>
      </w:r>
      <w:r>
        <w:fldChar w:fldCharType="begin"/>
      </w:r>
      <w:r>
        <w:instrText xml:space="preserve"> PAGEREF _Toc435023346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Transfer of property</w:t>
      </w:r>
      <w:r>
        <w:tab/>
      </w:r>
      <w:r>
        <w:fldChar w:fldCharType="begin"/>
      </w:r>
      <w:r>
        <w:instrText xml:space="preserve"> PAGEREF _Toc435023347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Annual report of Council etc.</w:t>
      </w:r>
      <w:r>
        <w:tab/>
      </w:r>
      <w:r>
        <w:fldChar w:fldCharType="begin"/>
      </w:r>
      <w:r>
        <w:instrText xml:space="preserve"> PAGEREF _Toc435023348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Disputes with governmental bodies</w:t>
      </w:r>
      <w:r>
        <w:tab/>
      </w:r>
      <w:r>
        <w:fldChar w:fldCharType="begin"/>
      </w:r>
      <w:r>
        <w:instrText xml:space="preserve"> PAGEREF _Toc435023349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Actions, claims and demands</w:t>
      </w:r>
      <w:r>
        <w:tab/>
      </w:r>
      <w:r>
        <w:fldChar w:fldCharType="begin"/>
      </w:r>
      <w:r>
        <w:instrText xml:space="preserve"> PAGEREF _Toc435023350 \h </w:instrText>
      </w:r>
      <w:r>
        <w:fldChar w:fldCharType="separate"/>
      </w:r>
      <w:r>
        <w:t>16</w:t>
      </w:r>
      <w:r>
        <w:fldChar w:fldCharType="end"/>
      </w:r>
    </w:p>
    <w:p>
      <w:pPr>
        <w:pStyle w:val="TOC8"/>
        <w:rPr>
          <w:rFonts w:asciiTheme="minorHAnsi" w:eastAsiaTheme="minorEastAsia" w:hAnsiTheme="minorHAnsi" w:cstheme="minorBidi"/>
          <w:szCs w:val="22"/>
        </w:rPr>
      </w:pPr>
      <w:r>
        <w:t>24A.</w:t>
      </w:r>
      <w:r>
        <w:tab/>
      </w:r>
      <w:r>
        <w:rPr>
          <w:bCs/>
        </w:rPr>
        <w:t>Disclosure of information to the Medical Radiation Practice Board of Australia</w:t>
      </w:r>
      <w:r>
        <w:tab/>
      </w:r>
      <w:r>
        <w:fldChar w:fldCharType="begin"/>
      </w:r>
      <w:r>
        <w:instrText xml:space="preserve"> PAGEREF _Toc435023351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 and registration</w:t>
      </w:r>
    </w:p>
    <w:p>
      <w:pPr>
        <w:pStyle w:val="TOC8"/>
        <w:rPr>
          <w:rFonts w:asciiTheme="minorHAnsi" w:eastAsiaTheme="minorEastAsia" w:hAnsiTheme="minorHAnsi" w:cstheme="minorBidi"/>
          <w:szCs w:val="22"/>
        </w:rPr>
      </w:pPr>
      <w:r>
        <w:t>25</w:t>
      </w:r>
      <w:r>
        <w:rPr>
          <w:snapToGrid w:val="0"/>
        </w:rPr>
        <w:t>.</w:t>
      </w:r>
      <w:r>
        <w:rPr>
          <w:snapToGrid w:val="0"/>
        </w:rPr>
        <w:tab/>
        <w:t>Matters requiring a licence</w:t>
      </w:r>
      <w:r>
        <w:tab/>
      </w:r>
      <w:r>
        <w:fldChar w:fldCharType="begin"/>
      </w:r>
      <w:r>
        <w:instrText xml:space="preserve"> PAGEREF _Toc435023353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Licensing of persons</w:t>
      </w:r>
      <w:r>
        <w:tab/>
      </w:r>
      <w:r>
        <w:fldChar w:fldCharType="begin"/>
      </w:r>
      <w:r>
        <w:instrText xml:space="preserve"> PAGEREF _Toc435023354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Use of radioactive substances or radiation on persons</w:t>
      </w:r>
      <w:r>
        <w:tab/>
      </w:r>
      <w:r>
        <w:fldChar w:fldCharType="begin"/>
      </w:r>
      <w:r>
        <w:instrText xml:space="preserve"> PAGEREF _Toc435023355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w:t>
      </w:r>
      <w:r>
        <w:tab/>
      </w:r>
      <w:r>
        <w:fldChar w:fldCharType="begin"/>
      </w:r>
      <w:r>
        <w:instrText xml:space="preserve"> PAGEREF _Toc435023356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Sales and purchases</w:t>
      </w:r>
      <w:r>
        <w:tab/>
      </w:r>
      <w:r>
        <w:fldChar w:fldCharType="begin"/>
      </w:r>
      <w:r>
        <w:instrText xml:space="preserve"> PAGEREF _Toc435023357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Registration of defective premises, apparatus or products prohibited</w:t>
      </w:r>
      <w:r>
        <w:tab/>
      </w:r>
      <w:r>
        <w:fldChar w:fldCharType="begin"/>
      </w:r>
      <w:r>
        <w:instrText xml:space="preserve"> PAGEREF _Toc435023358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Review of potentially dangerous articles</w:t>
      </w:r>
      <w:r>
        <w:tab/>
      </w:r>
      <w:r>
        <w:fldChar w:fldCharType="begin"/>
      </w:r>
      <w:r>
        <w:instrText xml:space="preserve"> PAGEREF _Toc435023359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Refusal of licence, exemption or registration</w:t>
      </w:r>
      <w:r>
        <w:tab/>
      </w:r>
      <w:r>
        <w:fldChar w:fldCharType="begin"/>
      </w:r>
      <w:r>
        <w:instrText xml:space="preserve"> PAGEREF _Toc435023360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Licences and registration</w:t>
      </w:r>
      <w:r>
        <w:tab/>
      </w:r>
      <w:r>
        <w:fldChar w:fldCharType="begin"/>
      </w:r>
      <w:r>
        <w:instrText xml:space="preserve"> PAGEREF _Toc435023361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Disposal permits</w:t>
      </w:r>
      <w:r>
        <w:tab/>
      </w:r>
      <w:r>
        <w:fldChar w:fldCharType="begin"/>
      </w:r>
      <w:r>
        <w:instrText xml:space="preserve"> PAGEREF _Toc435023362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Temporary permits</w:t>
      </w:r>
      <w:r>
        <w:tab/>
      </w:r>
      <w:r>
        <w:fldChar w:fldCharType="begin"/>
      </w:r>
      <w:r>
        <w:instrText xml:space="preserve"> PAGEREF _Toc435023363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restrictions and limitations on, and revocation or suspension of, licences, exemptions, and registrations</w:t>
      </w:r>
      <w:r>
        <w:tab/>
      </w:r>
      <w:r>
        <w:fldChar w:fldCharType="begin"/>
      </w:r>
      <w:r>
        <w:instrText xml:space="preserve"> PAGEREF _Toc435023364 \h </w:instrText>
      </w:r>
      <w:r>
        <w:fldChar w:fldCharType="separate"/>
      </w:r>
      <w:r>
        <w:t>29</w:t>
      </w:r>
      <w:r>
        <w:fldChar w:fldCharType="end"/>
      </w:r>
    </w:p>
    <w:p>
      <w:pPr>
        <w:pStyle w:val="TOC8"/>
        <w:rPr>
          <w:rFonts w:asciiTheme="minorHAnsi" w:eastAsiaTheme="minorEastAsia" w:hAnsiTheme="minorHAnsi" w:cstheme="minorBidi"/>
          <w:szCs w:val="22"/>
        </w:rPr>
      </w:pPr>
      <w:r>
        <w:t>37A.</w:t>
      </w:r>
      <w:r>
        <w:tab/>
        <w:t xml:space="preserve">Conflict or inconsistency between conditions imposed under </w:t>
      </w:r>
      <w:r>
        <w:rPr>
          <w:i/>
          <w:iCs/>
        </w:rPr>
        <w:t>Health Practitioner Regulation National Law (Western Australia)</w:t>
      </w:r>
      <w:r>
        <w:t xml:space="preserve"> and this Act</w:t>
      </w:r>
      <w:r>
        <w:tab/>
      </w:r>
      <w:r>
        <w:fldChar w:fldCharType="begin"/>
      </w:r>
      <w:r>
        <w:instrText xml:space="preserve"> PAGEREF _Toc435023365 \h </w:instrText>
      </w:r>
      <w:r>
        <w:fldChar w:fldCharType="separate"/>
      </w:r>
      <w:r>
        <w:t>31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licences, exemptions and registrations</w:t>
      </w:r>
      <w:r>
        <w:tab/>
      </w:r>
      <w:r>
        <w:fldChar w:fldCharType="begin"/>
      </w:r>
      <w:r>
        <w:instrText xml:space="preserve"> PAGEREF _Toc435023366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Change of circumstances</w:t>
      </w:r>
      <w:r>
        <w:tab/>
      </w:r>
      <w:r>
        <w:fldChar w:fldCharType="begin"/>
      </w:r>
      <w:r>
        <w:instrText xml:space="preserve"> PAGEREF _Toc435023367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to obtain information</w:t>
      </w:r>
      <w:r>
        <w:tab/>
      </w:r>
      <w:r>
        <w:fldChar w:fldCharType="begin"/>
      </w:r>
      <w:r>
        <w:instrText xml:space="preserve"> PAGEREF _Toc435023368 \h </w:instrText>
      </w:r>
      <w:r>
        <w:fldChar w:fldCharType="separate"/>
      </w:r>
      <w:r>
        <w:t>32</w:t>
      </w:r>
      <w:r>
        <w:fldChar w:fldCharType="end"/>
      </w:r>
    </w:p>
    <w:p>
      <w:pPr>
        <w:pStyle w:val="TOC8"/>
        <w:rPr>
          <w:rFonts w:asciiTheme="minorHAnsi" w:eastAsiaTheme="minorEastAsia" w:hAnsiTheme="minorHAnsi" w:cstheme="minorBidi"/>
          <w:szCs w:val="22"/>
        </w:rPr>
      </w:pPr>
      <w:r>
        <w:t>40A.</w:t>
      </w:r>
      <w:r>
        <w:tab/>
        <w:t>Notifications to Radiological Council</w:t>
      </w:r>
      <w:r>
        <w:tab/>
      </w:r>
      <w:r>
        <w:fldChar w:fldCharType="begin"/>
      </w:r>
      <w:r>
        <w:instrText xml:space="preserve"> PAGEREF _Toc435023369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Surrender of documents</w:t>
      </w:r>
      <w:r>
        <w:tab/>
      </w:r>
      <w:r>
        <w:fldChar w:fldCharType="begin"/>
      </w:r>
      <w:r>
        <w:instrText xml:space="preserve"> PAGEREF _Toc435023370 \h </w:instrText>
      </w:r>
      <w:r>
        <w:fldChar w:fldCharType="separate"/>
      </w:r>
      <w:r>
        <w:t>34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Registers</w:t>
      </w:r>
      <w:r>
        <w:tab/>
      </w:r>
      <w:r>
        <w:fldChar w:fldCharType="begin"/>
      </w:r>
      <w:r>
        <w:instrText xml:space="preserve"> PAGEREF _Toc435023371 \h </w:instrText>
      </w:r>
      <w:r>
        <w:fldChar w:fldCharType="separate"/>
      </w:r>
      <w:r>
        <w:t>34</w:t>
      </w:r>
      <w:r>
        <w:fldChar w:fldCharType="end"/>
      </w:r>
    </w:p>
    <w:p>
      <w:pPr>
        <w:pStyle w:val="TOC8"/>
        <w:rPr>
          <w:rFonts w:asciiTheme="minorHAnsi" w:eastAsiaTheme="minorEastAsia" w:hAnsiTheme="minorHAnsi" w:cstheme="minorBidi"/>
          <w:szCs w:val="22"/>
        </w:rPr>
      </w:pPr>
      <w:r>
        <w:t>41A.</w:t>
      </w:r>
      <w:r>
        <w:tab/>
        <w:t>Restriction on authorisation of storage, transportation or disposal of nuclear waste</w:t>
      </w:r>
      <w:r>
        <w:tab/>
      </w:r>
      <w:r>
        <w:fldChar w:fldCharType="begin"/>
      </w:r>
      <w:r>
        <w:instrText xml:space="preserve"> PAGEREF _Toc435023372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IV — Enforcement</w:t>
      </w:r>
    </w:p>
    <w:p>
      <w:pPr>
        <w:pStyle w:val="TOC8"/>
        <w:rPr>
          <w:rFonts w:asciiTheme="minorHAnsi" w:eastAsiaTheme="minorEastAsia" w:hAnsiTheme="minorHAnsi" w:cstheme="minorBidi"/>
          <w:szCs w:val="22"/>
        </w:rPr>
      </w:pPr>
      <w:r>
        <w:t>42</w:t>
      </w:r>
      <w:r>
        <w:rPr>
          <w:snapToGrid w:val="0"/>
        </w:rPr>
        <w:t>.</w:t>
      </w:r>
      <w:r>
        <w:rPr>
          <w:snapToGrid w:val="0"/>
        </w:rPr>
        <w:tab/>
        <w:t>Power of entry and inspection</w:t>
      </w:r>
      <w:r>
        <w:tab/>
      </w:r>
      <w:r>
        <w:fldChar w:fldCharType="begin"/>
      </w:r>
      <w:r>
        <w:instrText xml:space="preserve"> PAGEREF _Toc435023374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Warrants</w:t>
      </w:r>
      <w:r>
        <w:tab/>
      </w:r>
      <w:r>
        <w:fldChar w:fldCharType="begin"/>
      </w:r>
      <w:r>
        <w:instrText xml:space="preserve"> PAGEREF _Toc435023375 \h </w:instrText>
      </w:r>
      <w:r>
        <w:fldChar w:fldCharType="separate"/>
      </w:r>
      <w:r>
        <w:t>37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Inspection procedure</w:t>
      </w:r>
      <w:r>
        <w:tab/>
      </w:r>
      <w:r>
        <w:fldChar w:fldCharType="begin"/>
      </w:r>
      <w:r>
        <w:instrText xml:space="preserve"> PAGEREF _Toc435023376 \h </w:instrText>
      </w:r>
      <w:r>
        <w:fldChar w:fldCharType="separate"/>
      </w:r>
      <w:r>
        <w:t>38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Owner to assist authorised officer</w:t>
      </w:r>
      <w:r>
        <w:tab/>
      </w:r>
      <w:r>
        <w:fldChar w:fldCharType="begin"/>
      </w:r>
      <w:r>
        <w:instrText xml:space="preserve"> PAGEREF _Toc435023377 \h </w:instrText>
      </w:r>
      <w:r>
        <w:fldChar w:fldCharType="separate"/>
      </w:r>
      <w:r>
        <w:t>39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to give directions</w:t>
      </w:r>
      <w:r>
        <w:tab/>
      </w:r>
      <w:r>
        <w:fldChar w:fldCharType="begin"/>
      </w:r>
      <w:r>
        <w:instrText xml:space="preserve"> PAGEREF _Toc435023378 \h </w:instrText>
      </w:r>
      <w:r>
        <w:fldChar w:fldCharType="separate"/>
      </w:r>
      <w:r>
        <w:t>39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Power to vary directions etc.</w:t>
      </w:r>
      <w:r>
        <w:tab/>
      </w:r>
      <w:r>
        <w:fldChar w:fldCharType="begin"/>
      </w:r>
      <w:r>
        <w:instrText xml:space="preserve"> PAGEREF _Toc435023379 \h </w:instrText>
      </w:r>
      <w:r>
        <w:fldChar w:fldCharType="separate"/>
      </w:r>
      <w:r>
        <w:t>40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Offences as to inspections etc.</w:t>
      </w:r>
      <w:r>
        <w:tab/>
      </w:r>
      <w:r>
        <w:fldChar w:fldCharType="begin"/>
      </w:r>
      <w:r>
        <w:instrText xml:space="preserve"> PAGEREF _Toc435023380 \h </w:instrText>
      </w:r>
      <w:r>
        <w:fldChar w:fldCharType="separate"/>
      </w:r>
      <w:r>
        <w:t>41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Secrecy</w:t>
      </w:r>
      <w:r>
        <w:tab/>
      </w:r>
      <w:r>
        <w:fldChar w:fldCharType="begin"/>
      </w:r>
      <w:r>
        <w:instrText xml:space="preserve"> PAGEREF _Toc435023381 \h </w:instrText>
      </w:r>
      <w:r>
        <w:fldChar w:fldCharType="separate"/>
      </w:r>
      <w:r>
        <w:t>42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Availability of records</w:t>
      </w:r>
      <w:r>
        <w:tab/>
      </w:r>
      <w:r>
        <w:fldChar w:fldCharType="begin"/>
      </w:r>
      <w:r>
        <w:instrText xml:space="preserve"> PAGEREF _Toc435023382 \h </w:instrText>
      </w:r>
      <w:r>
        <w:fldChar w:fldCharType="separate"/>
      </w:r>
      <w:r>
        <w:t>42</w:t>
      </w:r>
      <w:r>
        <w:fldChar w:fldCharType="end"/>
      </w:r>
    </w:p>
    <w:p>
      <w:pPr>
        <w:pStyle w:val="TOC8"/>
        <w:rPr>
          <w:rFonts w:asciiTheme="minorHAnsi" w:eastAsiaTheme="minorEastAsia" w:hAnsiTheme="minorHAnsi" w:cstheme="minorBidi"/>
          <w:szCs w:val="22"/>
        </w:rPr>
      </w:pPr>
      <w:r>
        <w:t>51.</w:t>
      </w:r>
      <w:r>
        <w:tab/>
        <w:t>Offences to be dealt with by magistrate</w:t>
      </w:r>
      <w:r>
        <w:tab/>
      </w:r>
      <w:r>
        <w:fldChar w:fldCharType="begin"/>
      </w:r>
      <w:r>
        <w:instrText xml:space="preserve"> PAGEREF _Toc435023383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w:t>
      </w:r>
      <w:r>
        <w:tab/>
      </w:r>
      <w:r>
        <w:fldChar w:fldCharType="begin"/>
      </w:r>
      <w:r>
        <w:instrText xml:space="preserve"> PAGEREF _Toc435023384 \h </w:instrText>
      </w:r>
      <w:r>
        <w:fldChar w:fldCharType="separate"/>
      </w:r>
      <w:r>
        <w:t>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Forfeiture</w:t>
      </w:r>
      <w:r>
        <w:tab/>
      </w:r>
      <w:r>
        <w:fldChar w:fldCharType="begin"/>
      </w:r>
      <w:r>
        <w:instrText xml:space="preserve"> PAGEREF _Toc435023385 \h </w:instrText>
      </w:r>
      <w:r>
        <w:fldChar w:fldCharType="separate"/>
      </w:r>
      <w:r>
        <w:t>44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to seize and detain</w:t>
      </w:r>
      <w:r>
        <w:tab/>
      </w:r>
      <w:r>
        <w:fldChar w:fldCharType="begin"/>
      </w:r>
      <w:r>
        <w:instrText xml:space="preserve"> PAGEREF _Toc435023386 \h </w:instrText>
      </w:r>
      <w:r>
        <w:fldChar w:fldCharType="separate"/>
      </w:r>
      <w:r>
        <w:t>44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Emergency action</w:t>
      </w:r>
      <w:r>
        <w:tab/>
      </w:r>
      <w:r>
        <w:fldChar w:fldCharType="begin"/>
      </w:r>
      <w:r>
        <w:instrText xml:space="preserve"> PAGEREF _Toc435023387 \h </w:instrText>
      </w:r>
      <w:r>
        <w:fldChar w:fldCharType="separate"/>
      </w:r>
      <w:r>
        <w:t>45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Liability for the acts of others etc.</w:t>
      </w:r>
      <w:r>
        <w:tab/>
      </w:r>
      <w:r>
        <w:fldChar w:fldCharType="begin"/>
      </w:r>
      <w:r>
        <w:instrText xml:space="preserve"> PAGEREF _Toc435023388 \h </w:instrText>
      </w:r>
      <w:r>
        <w:fldChar w:fldCharType="separate"/>
      </w:r>
      <w:r>
        <w:t>46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Facilitation of proof</w:t>
      </w:r>
      <w:r>
        <w:tab/>
      </w:r>
      <w:r>
        <w:fldChar w:fldCharType="begin"/>
      </w:r>
      <w:r>
        <w:instrText xml:space="preserve"> PAGEREF _Toc435023389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V — Regulations</w:t>
      </w:r>
    </w:p>
    <w:p>
      <w:pPr>
        <w:pStyle w:val="TOC8"/>
        <w:rPr>
          <w:rFonts w:asciiTheme="minorHAnsi" w:eastAsiaTheme="minorEastAsia" w:hAnsiTheme="minorHAnsi" w:cstheme="minorBidi"/>
          <w:szCs w:val="22"/>
        </w:rPr>
      </w:pPr>
      <w:r>
        <w:t>58</w:t>
      </w:r>
      <w:r>
        <w:rPr>
          <w:snapToGrid w:val="0"/>
        </w:rPr>
        <w:t>.</w:t>
      </w:r>
      <w:r>
        <w:rPr>
          <w:snapToGrid w:val="0"/>
        </w:rPr>
        <w:tab/>
        <w:t>General power</w:t>
      </w:r>
      <w:r>
        <w:tab/>
      </w:r>
      <w:r>
        <w:fldChar w:fldCharType="begin"/>
      </w:r>
      <w:r>
        <w:instrText xml:space="preserve"> PAGEREF _Toc435023391 \h </w:instrText>
      </w:r>
      <w:r>
        <w:fldChar w:fldCharType="separate"/>
      </w:r>
      <w:r>
        <w:t>50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Specific powers</w:t>
      </w:r>
      <w:r>
        <w:tab/>
      </w:r>
      <w:r>
        <w:fldChar w:fldCharType="begin"/>
      </w:r>
      <w:r>
        <w:instrText xml:space="preserve"> PAGEREF _Toc435023392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_Toc435023394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960"/>
      </w:pPr>
      <w:r>
        <w:t xml:space="preserve">Radiation Safety Act 1975 </w:t>
      </w:r>
    </w:p>
    <w:p>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pPr>
        <w:pStyle w:val="Heading2"/>
      </w:pPr>
      <w:bookmarkStart w:id="3" w:name="_Toc378338346"/>
      <w:bookmarkStart w:id="4" w:name="_Toc392504300"/>
      <w:bookmarkStart w:id="5" w:name="_Toc397950814"/>
      <w:bookmarkStart w:id="6" w:name="_Toc424292523"/>
      <w:bookmarkStart w:id="7" w:name="_Toc43502332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397950815"/>
      <w:bookmarkStart w:id="9" w:name="_Toc435023328"/>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10" w:name="_Toc397950816"/>
      <w:bookmarkStart w:id="11" w:name="_Toc435023329"/>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12" w:name="_Toc397950817"/>
      <w:bookmarkStart w:id="13" w:name="_Toc435023330"/>
      <w:r>
        <w:rPr>
          <w:rStyle w:val="CharSectno"/>
        </w:rPr>
        <w:t>4</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Executive Director;</w:t>
      </w:r>
    </w:p>
    <w:p>
      <w:pPr>
        <w:pStyle w:val="Defstart"/>
      </w:pPr>
      <w:r>
        <w:tab/>
      </w:r>
      <w:r>
        <w:rPr>
          <w:rStyle w:val="CharDefText"/>
        </w:rPr>
        <w:t>Board</w:t>
      </w:r>
      <w:r>
        <w:t xml:space="preserve"> means the 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section 31;</w:t>
      </w:r>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pPr>
      <w:r>
        <w:tab/>
      </w:r>
      <w:r>
        <w:rPr>
          <w:rStyle w:val="CharDefText"/>
        </w:rPr>
        <w:t>medical radiation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radiation practice profession;</w:t>
      </w:r>
    </w:p>
    <w:p>
      <w:pPr>
        <w:pStyle w:val="Defstart"/>
      </w:pPr>
      <w:r>
        <w:tab/>
      </w:r>
      <w:r>
        <w:rPr>
          <w:rStyle w:val="CharDefText"/>
        </w:rPr>
        <w:t>medical radiation technology</w:t>
      </w:r>
      <w:r>
        <w:t xml:space="preserve"> means — </w:t>
      </w:r>
    </w:p>
    <w:p>
      <w:pPr>
        <w:pStyle w:val="Defpara"/>
      </w:pPr>
      <w:r>
        <w:tab/>
        <w:t>(a)</w:t>
      </w:r>
      <w:r>
        <w:tab/>
        <w:t>medical imaging technology; or</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Footnotesection"/>
      </w:pPr>
      <w:r>
        <w:tab/>
        <w:t>[Section 4 amended by No. 63 of 1981 s. 4; No. 28 of 1984 s. 96 and 97; No. 21 of 2006 Sch. 3 cl. 5(2)</w:t>
      </w:r>
      <w:r>
        <w:noBreakHyphen/>
        <w:t>(4); No. 35 of 2010 s. 143; No. 17 of 2014 s. 33.]</w:t>
      </w:r>
    </w:p>
    <w:p>
      <w:pPr>
        <w:pStyle w:val="Ednotesection"/>
      </w:pPr>
      <w:r>
        <w:t>[</w:t>
      </w:r>
      <w:r>
        <w:rPr>
          <w:b/>
          <w:bCs/>
        </w:rPr>
        <w:t>5.</w:t>
      </w:r>
      <w:r>
        <w:tab/>
        <w:t>Deleted by No. 21 of 2006 Sch. 3 cl. 5(5).]</w:t>
      </w:r>
    </w:p>
    <w:p>
      <w:pPr>
        <w:pStyle w:val="Heading5"/>
        <w:spacing w:before="200"/>
        <w:rPr>
          <w:snapToGrid w:val="0"/>
        </w:rPr>
      </w:pPr>
      <w:bookmarkStart w:id="14" w:name="_Toc397950818"/>
      <w:bookmarkStart w:id="15" w:name="_Toc435023331"/>
      <w:r>
        <w:rPr>
          <w:rStyle w:val="CharSectno"/>
        </w:rPr>
        <w:t>6</w:t>
      </w:r>
      <w:r>
        <w:rPr>
          <w:snapToGrid w:val="0"/>
        </w:rPr>
        <w:t>.</w:t>
      </w:r>
      <w:r>
        <w:rPr>
          <w:snapToGrid w:val="0"/>
        </w:rPr>
        <w:tab/>
        <w:t>Application of this Act, and exemptions</w:t>
      </w:r>
      <w:bookmarkEnd w:id="14"/>
      <w:bookmarkEnd w:id="15"/>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16" w:name="_Toc397950819"/>
      <w:bookmarkStart w:id="17" w:name="_Toc435023332"/>
      <w:r>
        <w:rPr>
          <w:rStyle w:val="CharSectno"/>
        </w:rPr>
        <w:t>7</w:t>
      </w:r>
      <w:r>
        <w:rPr>
          <w:snapToGrid w:val="0"/>
        </w:rPr>
        <w:t>.</w:t>
      </w:r>
      <w:r>
        <w:rPr>
          <w:snapToGrid w:val="0"/>
        </w:rPr>
        <w:tab/>
        <w:t>Crown bound</w:t>
      </w:r>
      <w:bookmarkEnd w:id="16"/>
      <w:bookmarkEnd w:id="17"/>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w:t>
      </w:r>
    </w:p>
    <w:p>
      <w:pPr>
        <w:pStyle w:val="Heading5"/>
        <w:rPr>
          <w:snapToGrid w:val="0"/>
        </w:rPr>
      </w:pPr>
      <w:bookmarkStart w:id="18" w:name="_Toc397950820"/>
      <w:bookmarkStart w:id="19" w:name="_Toc435023333"/>
      <w:r>
        <w:rPr>
          <w:rStyle w:val="CharSectno"/>
        </w:rPr>
        <w:t>8</w:t>
      </w:r>
      <w:r>
        <w:rPr>
          <w:snapToGrid w:val="0"/>
        </w:rPr>
        <w:t>.</w:t>
      </w:r>
      <w:r>
        <w:rPr>
          <w:snapToGrid w:val="0"/>
        </w:rPr>
        <w:tab/>
        <w:t>Prohibition</w:t>
      </w:r>
      <w:bookmarkEnd w:id="18"/>
      <w:bookmarkEnd w:id="19"/>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20" w:name="_Toc397950821"/>
      <w:bookmarkStart w:id="21" w:name="_Toc435023334"/>
      <w:r>
        <w:rPr>
          <w:rStyle w:val="CharSectno"/>
        </w:rPr>
        <w:t>9</w:t>
      </w:r>
      <w:r>
        <w:rPr>
          <w:snapToGrid w:val="0"/>
        </w:rPr>
        <w:t>.</w:t>
      </w:r>
      <w:r>
        <w:rPr>
          <w:snapToGrid w:val="0"/>
        </w:rPr>
        <w:tab/>
        <w:t>Civil remedies</w:t>
      </w:r>
      <w:bookmarkEnd w:id="20"/>
      <w:bookmarkEnd w:id="21"/>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22" w:name="_Toc378338354"/>
      <w:bookmarkStart w:id="23" w:name="_Toc392504308"/>
      <w:bookmarkStart w:id="24" w:name="_Toc397950822"/>
      <w:bookmarkStart w:id="25" w:name="_Toc424292531"/>
      <w:bookmarkStart w:id="26" w:name="_Toc435023335"/>
      <w:r>
        <w:rPr>
          <w:rStyle w:val="CharPartNo"/>
        </w:rPr>
        <w:t>Part II</w:t>
      </w:r>
      <w:r>
        <w:rPr>
          <w:rStyle w:val="CharDivNo"/>
        </w:rPr>
        <w:t> </w:t>
      </w:r>
      <w:r>
        <w:t>—</w:t>
      </w:r>
      <w:r>
        <w:rPr>
          <w:rStyle w:val="CharDivText"/>
        </w:rPr>
        <w:t> </w:t>
      </w:r>
      <w:r>
        <w:rPr>
          <w:rStyle w:val="CharPartText"/>
        </w:rPr>
        <w:t>Administrative provisions</w:t>
      </w:r>
      <w:bookmarkEnd w:id="22"/>
      <w:bookmarkEnd w:id="23"/>
      <w:bookmarkEnd w:id="24"/>
      <w:bookmarkEnd w:id="25"/>
      <w:bookmarkEnd w:id="26"/>
      <w:r>
        <w:rPr>
          <w:rStyle w:val="CharPartText"/>
        </w:rPr>
        <w:t xml:space="preserve"> </w:t>
      </w:r>
    </w:p>
    <w:p>
      <w:pPr>
        <w:pStyle w:val="Heading5"/>
        <w:rPr>
          <w:snapToGrid w:val="0"/>
        </w:rPr>
      </w:pPr>
      <w:bookmarkStart w:id="27" w:name="_Toc397950823"/>
      <w:bookmarkStart w:id="28" w:name="_Toc435023336"/>
      <w:r>
        <w:rPr>
          <w:rStyle w:val="CharSectno"/>
        </w:rPr>
        <w:t>10</w:t>
      </w:r>
      <w:r>
        <w:rPr>
          <w:snapToGrid w:val="0"/>
        </w:rPr>
        <w:t>.</w:t>
      </w:r>
      <w:r>
        <w:rPr>
          <w:snapToGrid w:val="0"/>
        </w:rPr>
        <w:tab/>
        <w:t>Duty of Minister and administrative arrangements</w:t>
      </w:r>
      <w:bookmarkEnd w:id="27"/>
      <w:bookmarkEnd w:id="28"/>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spacing w:before="60"/>
        <w:rPr>
          <w:snapToGrid w:val="0"/>
        </w:rPr>
      </w:pPr>
      <w:r>
        <w:rPr>
          <w:snapToGrid w:val="0"/>
        </w:rPr>
        <w:tab/>
        <w:t>(a)</w:t>
      </w:r>
      <w:r>
        <w:rPr>
          <w:snapToGrid w:val="0"/>
        </w:rPr>
        <w:tab/>
        <w:t>to implement the scheme of licensing and the scheme of registration created by or under this Act;</w:t>
      </w:r>
    </w:p>
    <w:p>
      <w:pPr>
        <w:pStyle w:val="Indenta"/>
        <w:spacing w:before="60"/>
        <w:rPr>
          <w:snapToGrid w:val="0"/>
        </w:rPr>
      </w:pPr>
      <w:r>
        <w:rPr>
          <w:snapToGrid w:val="0"/>
        </w:rPr>
        <w:tab/>
        <w:t>(b)</w:t>
      </w:r>
      <w:r>
        <w:rPr>
          <w:snapToGrid w:val="0"/>
        </w:rPr>
        <w:tab/>
        <w:t>to conduct inquiries into alleged contraventions, and to suspend or cancel licences and registrations;</w:t>
      </w:r>
    </w:p>
    <w:p>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spacing w:before="60"/>
        <w:rPr>
          <w:snapToGrid w:val="0"/>
        </w:rPr>
      </w:pPr>
      <w:r>
        <w:rPr>
          <w:snapToGrid w:val="0"/>
        </w:rPr>
        <w:tab/>
        <w:t>(d)</w:t>
      </w:r>
      <w:r>
        <w:rPr>
          <w:snapToGrid w:val="0"/>
        </w:rPr>
        <w:tab/>
        <w:t>to investigate and prosecute offences against this Act.</w:t>
      </w:r>
    </w:p>
    <w:p>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29" w:name="_Toc397950824"/>
      <w:bookmarkStart w:id="30" w:name="_Toc435023337"/>
      <w:r>
        <w:rPr>
          <w:rStyle w:val="CharSectno"/>
        </w:rPr>
        <w:t>11</w:t>
      </w:r>
      <w:r>
        <w:rPr>
          <w:snapToGrid w:val="0"/>
        </w:rPr>
        <w:t>.</w:t>
      </w:r>
      <w:r>
        <w:rPr>
          <w:snapToGrid w:val="0"/>
        </w:rPr>
        <w:tab/>
        <w:t>Further functions of the Council</w:t>
      </w:r>
      <w:bookmarkEnd w:id="29"/>
      <w:bookmarkEnd w:id="30"/>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31" w:name="_Toc397950825"/>
      <w:bookmarkStart w:id="32" w:name="_Toc435023338"/>
      <w:r>
        <w:rPr>
          <w:rStyle w:val="CharSectno"/>
        </w:rPr>
        <w:t>12</w:t>
      </w:r>
      <w:r>
        <w:rPr>
          <w:snapToGrid w:val="0"/>
        </w:rPr>
        <w:t>.</w:t>
      </w:r>
      <w:r>
        <w:rPr>
          <w:snapToGrid w:val="0"/>
        </w:rPr>
        <w:tab/>
        <w:t>Reviews</w:t>
      </w:r>
      <w:bookmarkEnd w:id="31"/>
      <w:bookmarkEnd w:id="32"/>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12 amended by No. 55 of 2004 s. 994.]</w:t>
      </w:r>
    </w:p>
    <w:p>
      <w:pPr>
        <w:pStyle w:val="Heading5"/>
        <w:rPr>
          <w:snapToGrid w:val="0"/>
        </w:rPr>
      </w:pPr>
      <w:bookmarkStart w:id="33" w:name="_Toc397950826"/>
      <w:bookmarkStart w:id="34" w:name="_Toc435023339"/>
      <w:r>
        <w:rPr>
          <w:rStyle w:val="CharSectno"/>
        </w:rPr>
        <w:t>13</w:t>
      </w:r>
      <w:r>
        <w:rPr>
          <w:snapToGrid w:val="0"/>
        </w:rPr>
        <w:t>.</w:t>
      </w:r>
      <w:r>
        <w:rPr>
          <w:snapToGrid w:val="0"/>
        </w:rPr>
        <w:tab/>
        <w:t>Radiological Council</w:t>
      </w:r>
      <w:bookmarkEnd w:id="33"/>
      <w:bookmarkEnd w:id="34"/>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pPr>
      <w:r>
        <w:tab/>
        <w:t>(vii)</w:t>
      </w:r>
      <w:r>
        <w:tab/>
        <w:t>one shall be a medical radiation practitioner.</w:t>
      </w:r>
    </w:p>
    <w:p>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Sch. 3 cl. 5(6); No. 35 of 2010 s. 144.] </w:t>
      </w:r>
    </w:p>
    <w:p>
      <w:pPr>
        <w:pStyle w:val="Heading5"/>
        <w:rPr>
          <w:snapToGrid w:val="0"/>
        </w:rPr>
      </w:pPr>
      <w:bookmarkStart w:id="35" w:name="_Toc397950827"/>
      <w:bookmarkStart w:id="36" w:name="_Toc435023340"/>
      <w:r>
        <w:rPr>
          <w:rStyle w:val="CharSectno"/>
        </w:rPr>
        <w:t>14</w:t>
      </w:r>
      <w:r>
        <w:rPr>
          <w:snapToGrid w:val="0"/>
        </w:rPr>
        <w:t>.</w:t>
      </w:r>
      <w:r>
        <w:rPr>
          <w:snapToGrid w:val="0"/>
        </w:rPr>
        <w:tab/>
        <w:t>Tenure of office</w:t>
      </w:r>
      <w:bookmarkEnd w:id="35"/>
      <w:bookmarkEnd w:id="36"/>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120"/>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 No. 18 of 2009 s. 73.]</w:t>
      </w:r>
    </w:p>
    <w:p>
      <w:pPr>
        <w:pStyle w:val="Heading5"/>
        <w:rPr>
          <w:snapToGrid w:val="0"/>
        </w:rPr>
      </w:pPr>
      <w:bookmarkStart w:id="37" w:name="_Toc397950828"/>
      <w:bookmarkStart w:id="38" w:name="_Toc435023341"/>
      <w:r>
        <w:rPr>
          <w:rStyle w:val="CharSectno"/>
        </w:rPr>
        <w:t>15</w:t>
      </w:r>
      <w:r>
        <w:rPr>
          <w:snapToGrid w:val="0"/>
        </w:rPr>
        <w:t>.</w:t>
      </w:r>
      <w:r>
        <w:rPr>
          <w:snapToGrid w:val="0"/>
        </w:rPr>
        <w:tab/>
        <w:t>Deputies and casual vacancies</w:t>
      </w:r>
      <w:bookmarkEnd w:id="37"/>
      <w:bookmarkEnd w:id="38"/>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39" w:name="_Toc397950829"/>
      <w:bookmarkStart w:id="40" w:name="_Toc435023342"/>
      <w:r>
        <w:rPr>
          <w:rStyle w:val="CharSectno"/>
        </w:rPr>
        <w:t>16</w:t>
      </w:r>
      <w:r>
        <w:rPr>
          <w:snapToGrid w:val="0"/>
        </w:rPr>
        <w:t>.</w:t>
      </w:r>
      <w:r>
        <w:rPr>
          <w:snapToGrid w:val="0"/>
        </w:rPr>
        <w:tab/>
        <w:t>Proceedings</w:t>
      </w:r>
      <w:bookmarkEnd w:id="39"/>
      <w:bookmarkEnd w:id="40"/>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w:t>
      </w:r>
    </w:p>
    <w:p>
      <w:pPr>
        <w:pStyle w:val="Heading5"/>
        <w:rPr>
          <w:snapToGrid w:val="0"/>
        </w:rPr>
      </w:pPr>
      <w:bookmarkStart w:id="41" w:name="_Toc397950830"/>
      <w:bookmarkStart w:id="42" w:name="_Toc435023343"/>
      <w:r>
        <w:rPr>
          <w:rStyle w:val="CharSectno"/>
        </w:rPr>
        <w:t>17</w:t>
      </w:r>
      <w:r>
        <w:rPr>
          <w:snapToGrid w:val="0"/>
        </w:rPr>
        <w:t>.</w:t>
      </w:r>
      <w:r>
        <w:rPr>
          <w:snapToGrid w:val="0"/>
        </w:rPr>
        <w:tab/>
        <w:t>Co</w:t>
      </w:r>
      <w:r>
        <w:rPr>
          <w:snapToGrid w:val="0"/>
        </w:rPr>
        <w:noBreakHyphen/>
        <w:t>option and consultants</w:t>
      </w:r>
      <w:bookmarkEnd w:id="41"/>
      <w:bookmarkEnd w:id="42"/>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43" w:name="_Toc397950831"/>
      <w:bookmarkStart w:id="44" w:name="_Toc435023344"/>
      <w:r>
        <w:rPr>
          <w:rStyle w:val="CharSectno"/>
        </w:rPr>
        <w:t>18</w:t>
      </w:r>
      <w:r>
        <w:rPr>
          <w:snapToGrid w:val="0"/>
        </w:rPr>
        <w:t>.</w:t>
      </w:r>
      <w:r>
        <w:rPr>
          <w:snapToGrid w:val="0"/>
        </w:rPr>
        <w:tab/>
        <w:t>Delegation</w:t>
      </w:r>
      <w:bookmarkEnd w:id="43"/>
      <w:bookmarkEnd w:id="44"/>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45" w:name="_Toc397950832"/>
      <w:bookmarkStart w:id="46" w:name="_Toc435023345"/>
      <w:r>
        <w:rPr>
          <w:rStyle w:val="CharSectno"/>
        </w:rPr>
        <w:t>19</w:t>
      </w:r>
      <w:r>
        <w:rPr>
          <w:snapToGrid w:val="0"/>
        </w:rPr>
        <w:t>.</w:t>
      </w:r>
      <w:r>
        <w:rPr>
          <w:snapToGrid w:val="0"/>
        </w:rPr>
        <w:tab/>
        <w:t>Committees</w:t>
      </w:r>
      <w:bookmarkEnd w:id="45"/>
      <w:bookmarkEnd w:id="46"/>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47" w:name="_Toc397950833"/>
      <w:bookmarkStart w:id="48" w:name="_Toc435023346"/>
      <w:r>
        <w:rPr>
          <w:rStyle w:val="CharSectno"/>
        </w:rPr>
        <w:t>20</w:t>
      </w:r>
      <w:r>
        <w:rPr>
          <w:snapToGrid w:val="0"/>
        </w:rPr>
        <w:t>.</w:t>
      </w:r>
      <w:r>
        <w:rPr>
          <w:snapToGrid w:val="0"/>
        </w:rPr>
        <w:tab/>
        <w:t>Restriction on remuneration</w:t>
      </w:r>
      <w:bookmarkEnd w:id="47"/>
      <w:bookmarkEnd w:id="48"/>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keepNext/>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w:t>
      </w:r>
      <w:r>
        <w:t xml:space="preserve"> Public Sector Commissioner</w:t>
      </w:r>
      <w:r>
        <w:rPr>
          <w:snapToGrid w:val="0"/>
        </w:rPr>
        <w:t>.</w:t>
      </w:r>
    </w:p>
    <w:p>
      <w:pPr>
        <w:pStyle w:val="Footnotesection"/>
      </w:pPr>
      <w:r>
        <w:tab/>
        <w:t xml:space="preserve">[Section 20 amended by No. 32 of 1994 s. 3(1) and 4; No. 39 of 2010 s. 89.] </w:t>
      </w:r>
    </w:p>
    <w:p>
      <w:pPr>
        <w:pStyle w:val="Heading5"/>
        <w:rPr>
          <w:snapToGrid w:val="0"/>
        </w:rPr>
      </w:pPr>
      <w:bookmarkStart w:id="49" w:name="_Toc397950834"/>
      <w:bookmarkStart w:id="50" w:name="_Toc435023347"/>
      <w:r>
        <w:rPr>
          <w:rStyle w:val="CharSectno"/>
        </w:rPr>
        <w:t>21</w:t>
      </w:r>
      <w:r>
        <w:rPr>
          <w:snapToGrid w:val="0"/>
        </w:rPr>
        <w:t>.</w:t>
      </w:r>
      <w:r>
        <w:rPr>
          <w:snapToGrid w:val="0"/>
        </w:rPr>
        <w:tab/>
        <w:t>Transfer of property</w:t>
      </w:r>
      <w:bookmarkEnd w:id="49"/>
      <w:bookmarkEnd w:id="50"/>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51" w:name="_Toc397950835"/>
      <w:bookmarkStart w:id="52" w:name="_Toc435023348"/>
      <w:r>
        <w:rPr>
          <w:rStyle w:val="CharSectno"/>
        </w:rPr>
        <w:t>22</w:t>
      </w:r>
      <w:r>
        <w:rPr>
          <w:snapToGrid w:val="0"/>
        </w:rPr>
        <w:t>.</w:t>
      </w:r>
      <w:r>
        <w:rPr>
          <w:snapToGrid w:val="0"/>
        </w:rPr>
        <w:tab/>
        <w:t>Annual report of Council etc.</w:t>
      </w:r>
      <w:bookmarkEnd w:id="51"/>
      <w:bookmarkEnd w:id="52"/>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53" w:name="_Toc397950836"/>
      <w:bookmarkStart w:id="54" w:name="_Toc435023349"/>
      <w:r>
        <w:rPr>
          <w:rStyle w:val="CharSectno"/>
        </w:rPr>
        <w:t>23</w:t>
      </w:r>
      <w:r>
        <w:rPr>
          <w:snapToGrid w:val="0"/>
        </w:rPr>
        <w:t>.</w:t>
      </w:r>
      <w:r>
        <w:rPr>
          <w:snapToGrid w:val="0"/>
        </w:rPr>
        <w:tab/>
        <w:t>Disputes with governmental bodies</w:t>
      </w:r>
      <w:bookmarkEnd w:id="53"/>
      <w:bookmarkEnd w:id="54"/>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55" w:name="_Toc397950837"/>
      <w:bookmarkStart w:id="56" w:name="_Toc435023350"/>
      <w:r>
        <w:rPr>
          <w:rStyle w:val="CharSectno"/>
        </w:rPr>
        <w:t>24</w:t>
      </w:r>
      <w:r>
        <w:rPr>
          <w:snapToGrid w:val="0"/>
        </w:rPr>
        <w:t>.</w:t>
      </w:r>
      <w:r>
        <w:rPr>
          <w:snapToGrid w:val="0"/>
        </w:rPr>
        <w:tab/>
        <w:t>Actions, claims and demands</w:t>
      </w:r>
      <w:bookmarkEnd w:id="55"/>
      <w:bookmarkEnd w:id="56"/>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57" w:name="_Toc397950838"/>
      <w:bookmarkStart w:id="58" w:name="_Toc435023351"/>
      <w:r>
        <w:rPr>
          <w:rStyle w:val="CharSectno"/>
        </w:rPr>
        <w:t>24A</w:t>
      </w:r>
      <w:r>
        <w:t>.</w:t>
      </w:r>
      <w:r>
        <w:tab/>
      </w:r>
      <w:r>
        <w:rPr>
          <w:bCs/>
        </w:rPr>
        <w:t xml:space="preserve">Disclosure of information to the Medical Radiation Practice Board of </w:t>
      </w:r>
      <w:smartTag w:uri="urn:schemas-microsoft-com:office:smarttags" w:element="country-region">
        <w:smartTag w:uri="urn:schemas-microsoft-com:office:smarttags" w:element="place">
          <w:r>
            <w:rPr>
              <w:bCs/>
            </w:rPr>
            <w:t>Australia</w:t>
          </w:r>
        </w:smartTag>
      </w:smartTag>
      <w:bookmarkEnd w:id="57"/>
      <w:bookmarkEnd w:id="58"/>
    </w:p>
    <w:p>
      <w:pPr>
        <w:pStyle w:val="Subsection"/>
      </w:pPr>
      <w:r>
        <w:tab/>
        <w:t>(1)</w:t>
      </w:r>
      <w:r>
        <w:tab/>
        <w:t xml:space="preserve">The Council shall furnish to the Board written advice if — </w:t>
      </w:r>
    </w:p>
    <w:p>
      <w:pPr>
        <w:pStyle w:val="Indenta"/>
      </w:pPr>
      <w:r>
        <w:tab/>
        <w:t>(a)</w:t>
      </w:r>
      <w:r>
        <w:tab/>
        <w:t xml:space="preserve">a licence held by a medical radiation practitioner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Sch. 3 cl. 5(7); amended by No. 35 of 2010 s. 145.]</w:t>
      </w:r>
    </w:p>
    <w:p>
      <w:pPr>
        <w:pStyle w:val="Heading2"/>
      </w:pPr>
      <w:bookmarkStart w:id="59" w:name="_Toc378338371"/>
      <w:bookmarkStart w:id="60" w:name="_Toc392504325"/>
      <w:bookmarkStart w:id="61" w:name="_Toc397950839"/>
      <w:bookmarkStart w:id="62" w:name="_Toc424292548"/>
      <w:bookmarkStart w:id="63" w:name="_Toc435023352"/>
      <w:r>
        <w:rPr>
          <w:rStyle w:val="CharPartNo"/>
        </w:rPr>
        <w:t>Part III</w:t>
      </w:r>
      <w:r>
        <w:rPr>
          <w:rStyle w:val="CharDivNo"/>
        </w:rPr>
        <w:t> </w:t>
      </w:r>
      <w:r>
        <w:t>—</w:t>
      </w:r>
      <w:r>
        <w:rPr>
          <w:rStyle w:val="CharDivText"/>
        </w:rPr>
        <w:t> </w:t>
      </w:r>
      <w:r>
        <w:rPr>
          <w:rStyle w:val="CharPartText"/>
        </w:rPr>
        <w:t>Licensing and registration</w:t>
      </w:r>
      <w:bookmarkEnd w:id="59"/>
      <w:bookmarkEnd w:id="60"/>
      <w:bookmarkEnd w:id="61"/>
      <w:bookmarkEnd w:id="62"/>
      <w:bookmarkEnd w:id="63"/>
      <w:r>
        <w:rPr>
          <w:rStyle w:val="CharPartText"/>
        </w:rPr>
        <w:t xml:space="preserve"> </w:t>
      </w:r>
    </w:p>
    <w:p>
      <w:pPr>
        <w:pStyle w:val="Heading5"/>
        <w:rPr>
          <w:snapToGrid w:val="0"/>
        </w:rPr>
      </w:pPr>
      <w:bookmarkStart w:id="64" w:name="_Toc397950840"/>
      <w:bookmarkStart w:id="65" w:name="_Toc435023353"/>
      <w:r>
        <w:rPr>
          <w:rStyle w:val="CharSectno"/>
        </w:rPr>
        <w:t>25</w:t>
      </w:r>
      <w:r>
        <w:rPr>
          <w:snapToGrid w:val="0"/>
        </w:rPr>
        <w:t>.</w:t>
      </w:r>
      <w:r>
        <w:rPr>
          <w:snapToGrid w:val="0"/>
        </w:rPr>
        <w:tab/>
        <w:t>Matters requiring a licence</w:t>
      </w:r>
      <w:bookmarkEnd w:id="64"/>
      <w:bookmarkEnd w:id="65"/>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66" w:name="_Toc397950841"/>
      <w:bookmarkStart w:id="67" w:name="_Toc435023354"/>
      <w:r>
        <w:rPr>
          <w:rStyle w:val="CharSectno"/>
        </w:rPr>
        <w:t>26</w:t>
      </w:r>
      <w:r>
        <w:rPr>
          <w:snapToGrid w:val="0"/>
        </w:rPr>
        <w:t>.</w:t>
      </w:r>
      <w:r>
        <w:rPr>
          <w:snapToGrid w:val="0"/>
        </w:rPr>
        <w:tab/>
        <w:t>Licensing of persons</w:t>
      </w:r>
      <w:bookmarkEnd w:id="66"/>
      <w:bookmarkEnd w:id="67"/>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person registered under the </w:t>
      </w:r>
      <w:r>
        <w:rPr>
          <w:i/>
          <w:iCs/>
        </w:rPr>
        <w:t>Health Practitioner Regulation National Law (Western Australia)</w:t>
      </w:r>
      <w:r>
        <w:t xml:space="preserve"> whose name is entered on the Register of Nurses kept under that Law as being qualified to practise as a nurse practitioner acting in accordance with the relevant provision, if any, of a code or guidelines approved under section 39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Sch. 3 cl. 19; No. 35 of 2010 s. 146.]</w:t>
      </w:r>
    </w:p>
    <w:p>
      <w:pPr>
        <w:pStyle w:val="Heading5"/>
        <w:spacing w:before="200"/>
        <w:rPr>
          <w:snapToGrid w:val="0"/>
        </w:rPr>
      </w:pPr>
      <w:bookmarkStart w:id="68" w:name="_Toc397950842"/>
      <w:bookmarkStart w:id="69" w:name="_Toc435023355"/>
      <w:r>
        <w:rPr>
          <w:rStyle w:val="CharSectno"/>
        </w:rPr>
        <w:t>27</w:t>
      </w:r>
      <w:r>
        <w:rPr>
          <w:snapToGrid w:val="0"/>
        </w:rPr>
        <w:t>.</w:t>
      </w:r>
      <w:r>
        <w:rPr>
          <w:snapToGrid w:val="0"/>
        </w:rPr>
        <w:tab/>
        <w:t>Use of radioactive substances or radiation on persons</w:t>
      </w:r>
      <w:bookmarkEnd w:id="68"/>
      <w:bookmarkEnd w:id="69"/>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pPr>
      <w:r>
        <w:tab/>
        <w:t>(a)</w:t>
      </w:r>
      <w:r>
        <w:tab/>
        <w:t xml:space="preserve">the person was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 or</w:t>
      </w:r>
    </w:p>
    <w:p>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Indenti"/>
      </w:pPr>
      <w:r>
        <w:tab/>
        <w:t>(iii)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Indenti"/>
      </w:pPr>
      <w:r>
        <w:tab/>
        <w:t>(iv)</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Indenta"/>
      </w:pPr>
      <w:r>
        <w:tab/>
      </w:r>
      <w:r>
        <w:tab/>
        <w:t>and engaged in his or her professional practice, and was the holder of a relevant licence under this Act authorising him or her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a medical radiation practitioner</w:t>
      </w:r>
      <w:r>
        <w:rPr>
          <w:snapToGrid w:val="0"/>
        </w:rPr>
        <w:t xml:space="preserve"> </w:t>
      </w:r>
      <w:r>
        <w:t>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keepNext/>
      </w:pPr>
      <w:r>
        <w:tab/>
        <w:t>(bb)</w:t>
      </w:r>
      <w:r>
        <w:tab/>
        <w:t>he was —</w:t>
      </w:r>
    </w:p>
    <w:p>
      <w:pPr>
        <w:pStyle w:val="Indenti"/>
      </w:pPr>
      <w:r>
        <w:tab/>
        <w:t>(i)</w:t>
      </w:r>
      <w:r>
        <w:tab/>
        <w:t>a medical radiation practitioner whose registration was subject to a condition that his practice in an area of medical radiation technology be subject to direction and supervision by a person to whom paragraph (a) or (ba) applies (a </w:t>
      </w:r>
      <w:r>
        <w:rPr>
          <w:rStyle w:val="CharDefText"/>
        </w:rPr>
        <w:t>supervisor</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Sch. 3 cl. 5(8); No. 35 of 2010 s. 147.]</w:t>
      </w:r>
    </w:p>
    <w:p>
      <w:pPr>
        <w:pStyle w:val="Heading5"/>
        <w:rPr>
          <w:snapToGrid w:val="0"/>
        </w:rPr>
      </w:pPr>
      <w:bookmarkStart w:id="70" w:name="_Toc397950843"/>
      <w:bookmarkStart w:id="71" w:name="_Toc435023356"/>
      <w:r>
        <w:rPr>
          <w:rStyle w:val="CharSectno"/>
        </w:rPr>
        <w:t>28</w:t>
      </w:r>
      <w:r>
        <w:rPr>
          <w:snapToGrid w:val="0"/>
        </w:rPr>
        <w:t>.</w:t>
      </w:r>
      <w:r>
        <w:rPr>
          <w:snapToGrid w:val="0"/>
        </w:rPr>
        <w:tab/>
        <w:t>Registration</w:t>
      </w:r>
      <w:bookmarkEnd w:id="70"/>
      <w:bookmarkEnd w:id="71"/>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72" w:name="_Toc397950844"/>
      <w:bookmarkStart w:id="73" w:name="_Toc435023357"/>
      <w:r>
        <w:rPr>
          <w:rStyle w:val="CharSectno"/>
        </w:rPr>
        <w:t>29</w:t>
      </w:r>
      <w:r>
        <w:rPr>
          <w:snapToGrid w:val="0"/>
        </w:rPr>
        <w:t>.</w:t>
      </w:r>
      <w:r>
        <w:rPr>
          <w:snapToGrid w:val="0"/>
        </w:rPr>
        <w:tab/>
        <w:t>Sales and purchases</w:t>
      </w:r>
      <w:bookmarkEnd w:id="72"/>
      <w:bookmarkEnd w:id="73"/>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74" w:name="_Toc397950845"/>
      <w:bookmarkStart w:id="75" w:name="_Toc435023358"/>
      <w:r>
        <w:rPr>
          <w:rStyle w:val="CharSectno"/>
        </w:rPr>
        <w:t>30</w:t>
      </w:r>
      <w:r>
        <w:rPr>
          <w:snapToGrid w:val="0"/>
        </w:rPr>
        <w:t>.</w:t>
      </w:r>
      <w:r>
        <w:rPr>
          <w:snapToGrid w:val="0"/>
        </w:rPr>
        <w:tab/>
        <w:t>Registration of defective premises, apparatus or products prohibited</w:t>
      </w:r>
      <w:bookmarkEnd w:id="74"/>
      <w:bookmarkEnd w:id="75"/>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76" w:name="_Toc397950846"/>
      <w:bookmarkStart w:id="77" w:name="_Toc435023359"/>
      <w:r>
        <w:rPr>
          <w:rStyle w:val="CharSectno"/>
        </w:rPr>
        <w:t>31</w:t>
      </w:r>
      <w:r>
        <w:rPr>
          <w:snapToGrid w:val="0"/>
        </w:rPr>
        <w:t>.</w:t>
      </w:r>
      <w:r>
        <w:rPr>
          <w:snapToGrid w:val="0"/>
        </w:rPr>
        <w:tab/>
        <w:t>Review of potentially dangerous articles</w:t>
      </w:r>
      <w:bookmarkEnd w:id="76"/>
      <w:bookmarkEnd w:id="77"/>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78" w:name="_Toc397950847"/>
      <w:bookmarkStart w:id="79" w:name="_Toc435023360"/>
      <w:r>
        <w:rPr>
          <w:rStyle w:val="CharSectno"/>
        </w:rPr>
        <w:t>32</w:t>
      </w:r>
      <w:r>
        <w:rPr>
          <w:snapToGrid w:val="0"/>
        </w:rPr>
        <w:t>.</w:t>
      </w:r>
      <w:r>
        <w:rPr>
          <w:snapToGrid w:val="0"/>
        </w:rPr>
        <w:tab/>
        <w:t>Refusal of licence, exemption or registration</w:t>
      </w:r>
      <w:bookmarkEnd w:id="78"/>
      <w:bookmarkEnd w:id="79"/>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80" w:name="_Toc397950848"/>
      <w:bookmarkStart w:id="81" w:name="_Toc435023361"/>
      <w:r>
        <w:rPr>
          <w:rStyle w:val="CharSectno"/>
        </w:rPr>
        <w:t>33</w:t>
      </w:r>
      <w:r>
        <w:rPr>
          <w:snapToGrid w:val="0"/>
        </w:rPr>
        <w:t>.</w:t>
      </w:r>
      <w:r>
        <w:rPr>
          <w:snapToGrid w:val="0"/>
        </w:rPr>
        <w:tab/>
        <w:t>Licences and registration</w:t>
      </w:r>
      <w:bookmarkEnd w:id="80"/>
      <w:bookmarkEnd w:id="81"/>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82" w:name="_Toc397950849"/>
      <w:bookmarkStart w:id="83" w:name="_Toc435023362"/>
      <w:r>
        <w:rPr>
          <w:rStyle w:val="CharSectno"/>
        </w:rPr>
        <w:t>34</w:t>
      </w:r>
      <w:r>
        <w:rPr>
          <w:snapToGrid w:val="0"/>
        </w:rPr>
        <w:t>.</w:t>
      </w:r>
      <w:r>
        <w:rPr>
          <w:snapToGrid w:val="0"/>
        </w:rPr>
        <w:tab/>
        <w:t>Disposal permits</w:t>
      </w:r>
      <w:bookmarkEnd w:id="82"/>
      <w:bookmarkEnd w:id="83"/>
      <w:r>
        <w:rPr>
          <w:snapToGrid w:val="0"/>
        </w:rPr>
        <w:t xml:space="preserve"> </w:t>
      </w:r>
    </w:p>
    <w:p>
      <w:pPr>
        <w:pStyle w:val="Subsection"/>
        <w:keepNext/>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rPr>
          <w:snapToGrid w:val="0"/>
        </w:rPr>
      </w:pPr>
      <w:bookmarkStart w:id="84" w:name="_Toc397950850"/>
      <w:bookmarkStart w:id="85" w:name="_Toc435023363"/>
      <w:r>
        <w:rPr>
          <w:rStyle w:val="CharSectno"/>
        </w:rPr>
        <w:t>35</w:t>
      </w:r>
      <w:r>
        <w:rPr>
          <w:snapToGrid w:val="0"/>
        </w:rPr>
        <w:t>.</w:t>
      </w:r>
      <w:r>
        <w:rPr>
          <w:snapToGrid w:val="0"/>
        </w:rPr>
        <w:tab/>
        <w:t>Temporary permits</w:t>
      </w:r>
      <w:bookmarkEnd w:id="84"/>
      <w:bookmarkEnd w:id="85"/>
      <w:r>
        <w:rPr>
          <w:snapToGrid w:val="0"/>
        </w:rPr>
        <w:t xml:space="preserve"> </w:t>
      </w:r>
    </w:p>
    <w:p>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rPr>
          <w:snapToGrid w:val="0"/>
        </w:rPr>
      </w:pPr>
      <w:bookmarkStart w:id="86" w:name="_Toc397950851"/>
      <w:bookmarkStart w:id="87" w:name="_Toc435023364"/>
      <w:r>
        <w:rPr>
          <w:rStyle w:val="CharSectno"/>
        </w:rPr>
        <w:t>36</w:t>
      </w:r>
      <w:r>
        <w:rPr>
          <w:snapToGrid w:val="0"/>
        </w:rPr>
        <w:t>.</w:t>
      </w:r>
      <w:r>
        <w:rPr>
          <w:snapToGrid w:val="0"/>
        </w:rPr>
        <w:tab/>
        <w:t>Conditions, restrictions and limitations on, and revocation or suspension of, licences, exemptions, and registrations</w:t>
      </w:r>
      <w:bookmarkEnd w:id="86"/>
      <w:bookmarkEnd w:id="87"/>
      <w:r>
        <w:rPr>
          <w:snapToGrid w:val="0"/>
        </w:rPr>
        <w:t xml:space="preserve"> </w:t>
      </w:r>
    </w:p>
    <w:p>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keepNext/>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r>
        <w:tab/>
        <w:t>[Section 36: Correction to Reprint in Gazette 28 Oct 2003 p. 4527.]</w:t>
      </w:r>
    </w:p>
    <w:p>
      <w:pPr>
        <w:pStyle w:val="Heading5"/>
      </w:pPr>
      <w:bookmarkStart w:id="88" w:name="_Toc397950852"/>
      <w:bookmarkStart w:id="89" w:name="_Toc435023365"/>
      <w:r>
        <w:rPr>
          <w:rStyle w:val="CharSectno"/>
        </w:rPr>
        <w:t>37A</w:t>
      </w:r>
      <w:r>
        <w:t>.</w:t>
      </w:r>
      <w:r>
        <w:tab/>
        <w:t xml:space="preserve">Conflict or inconsistency between conditions imposed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and this Act</w:t>
      </w:r>
      <w:bookmarkEnd w:id="88"/>
      <w:bookmarkEnd w:id="89"/>
    </w:p>
    <w:p>
      <w:pPr>
        <w:pStyle w:val="Subsection"/>
      </w:pPr>
      <w:r>
        <w:tab/>
        <w:t>(1)</w:t>
      </w:r>
      <w:r>
        <w:tab/>
        <w:t xml:space="preserve">If there is any conflict or inconsistency between a condition — </w:t>
      </w:r>
    </w:p>
    <w:p>
      <w:pPr>
        <w:pStyle w:val="Indenta"/>
      </w:pPr>
      <w:r>
        <w:tab/>
        <w:t>(a)</w:t>
      </w:r>
      <w:r>
        <w:tab/>
        <w:t xml:space="preserve">imposed on a medical radiation practitioner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(b)</w:t>
      </w:r>
      <w:r>
        <w:tab/>
        <w:t>imposed on a licence held by the medical radiation practitioner under this Act,</w:t>
      </w:r>
    </w:p>
    <w:p>
      <w:pPr>
        <w:pStyle w:val="Subsection"/>
      </w:pPr>
      <w:r>
        <w:tab/>
      </w:r>
      <w:r>
        <w:tab/>
        <w:t xml:space="preserve">then — </w:t>
      </w:r>
    </w:p>
    <w:p>
      <w:pPr>
        <w:pStyle w:val="Indenta"/>
      </w:pPr>
      <w:r>
        <w:tab/>
        <w:t>(c)</w:t>
      </w:r>
      <w:r>
        <w:tab/>
        <w:t xml:space="preserve">the condition imposed on the licence prevails (whether that condition was imposed before or after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(d)</w:t>
      </w:r>
      <w:r>
        <w:tab/>
        <w:t xml:space="preserve">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is of no effect to the extent of the conflict or inconsistency.</w:t>
      </w:r>
    </w:p>
    <w:p>
      <w:pPr>
        <w:pStyle w:val="Subsection"/>
      </w:pPr>
      <w:r>
        <w:tab/>
        <w:t>(2)</w:t>
      </w:r>
      <w:r>
        <w:tab/>
        <w:t xml:space="preserve">For the purposes of subsection (1), a conflict or inconsistency does not exist merely because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imposes more stringent measures or a higher duty or standard in respect of a particular matter or aspect of practice.</w:t>
      </w:r>
    </w:p>
    <w:p>
      <w:pPr>
        <w:pStyle w:val="Footnotesection"/>
      </w:pPr>
      <w:r>
        <w:tab/>
        <w:t>[Section 37A inserted by No. 35 of 2010 s. 148.]</w:t>
      </w:r>
    </w:p>
    <w:p>
      <w:pPr>
        <w:pStyle w:val="Heading5"/>
        <w:rPr>
          <w:snapToGrid w:val="0"/>
        </w:rPr>
      </w:pPr>
      <w:bookmarkStart w:id="90" w:name="_Toc397950853"/>
      <w:bookmarkStart w:id="91" w:name="_Toc435023366"/>
      <w:r>
        <w:rPr>
          <w:rStyle w:val="CharSectno"/>
        </w:rPr>
        <w:t>37</w:t>
      </w:r>
      <w:r>
        <w:rPr>
          <w:snapToGrid w:val="0"/>
        </w:rPr>
        <w:t>.</w:t>
      </w:r>
      <w:r>
        <w:rPr>
          <w:snapToGrid w:val="0"/>
        </w:rPr>
        <w:tab/>
        <w:t>Duration of licences, exemptions and registrations</w:t>
      </w:r>
      <w:bookmarkEnd w:id="90"/>
      <w:bookmarkEnd w:id="91"/>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92" w:name="_Toc397950854"/>
      <w:bookmarkStart w:id="93" w:name="_Toc435023367"/>
      <w:r>
        <w:rPr>
          <w:rStyle w:val="CharSectno"/>
        </w:rPr>
        <w:t>38</w:t>
      </w:r>
      <w:r>
        <w:rPr>
          <w:snapToGrid w:val="0"/>
        </w:rPr>
        <w:t>.</w:t>
      </w:r>
      <w:r>
        <w:rPr>
          <w:snapToGrid w:val="0"/>
        </w:rPr>
        <w:tab/>
        <w:t>Change of circumstances</w:t>
      </w:r>
      <w:bookmarkEnd w:id="92"/>
      <w:bookmarkEnd w:id="93"/>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94" w:name="_Toc397950855"/>
      <w:bookmarkStart w:id="95" w:name="_Toc435023368"/>
      <w:r>
        <w:rPr>
          <w:rStyle w:val="CharSectno"/>
        </w:rPr>
        <w:t>39</w:t>
      </w:r>
      <w:r>
        <w:rPr>
          <w:snapToGrid w:val="0"/>
        </w:rPr>
        <w:t>.</w:t>
      </w:r>
      <w:r>
        <w:rPr>
          <w:snapToGrid w:val="0"/>
        </w:rPr>
        <w:tab/>
        <w:t>Power to obtain information</w:t>
      </w:r>
      <w:bookmarkEnd w:id="94"/>
      <w:bookmarkEnd w:id="95"/>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pPr>
      <w:bookmarkStart w:id="96" w:name="_Toc397950856"/>
      <w:bookmarkStart w:id="97" w:name="_Toc435023369"/>
      <w:r>
        <w:rPr>
          <w:rStyle w:val="CharSectno"/>
        </w:rPr>
        <w:t>40A</w:t>
      </w:r>
      <w:r>
        <w:t>.</w:t>
      </w:r>
      <w:r>
        <w:tab/>
        <w:t>Notifications to Radiological Council</w:t>
      </w:r>
      <w:bookmarkEnd w:id="96"/>
      <w:bookmarkEnd w:id="97"/>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medical radiation practitioner and the removal of that person’s name from the register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Indenta"/>
      </w:pPr>
      <w:r>
        <w:tab/>
        <w:t>(c)</w:t>
      </w:r>
      <w:r>
        <w:tab/>
        <w:t xml:space="preserve">the suspension or revocation of the suspension from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 whether generally or in relation to any specified area, circumstances or service;</w:t>
      </w:r>
    </w:p>
    <w:p>
      <w:pPr>
        <w:pStyle w:val="Indenta"/>
      </w:pPr>
      <w:r>
        <w:tab/>
        <w:t>(d)</w:t>
      </w:r>
      <w:r>
        <w:tab/>
        <w:t xml:space="preserve">the imposition, variation or revocation of any condition on registration or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w:t>
      </w:r>
    </w:p>
    <w:p>
      <w:pPr>
        <w:pStyle w:val="Indenta"/>
      </w:pPr>
      <w:r>
        <w:tab/>
        <w:t>(e)</w:t>
      </w:r>
      <w:r>
        <w:tab/>
        <w:t xml:space="preserve">the referral of a matter relating to a medical radiation practitioner to the responsible tribunal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The advice is to be given no later than 14 days after the occurrence of the matter referred to in that subsection.</w:t>
      </w:r>
    </w:p>
    <w:p>
      <w:pPr>
        <w:pStyle w:val="Footnotesection"/>
      </w:pPr>
      <w:r>
        <w:tab/>
        <w:t>[Section 40A inserted by No. 35 of 2010 s. 149.]</w:t>
      </w:r>
    </w:p>
    <w:p>
      <w:pPr>
        <w:pStyle w:val="Heading5"/>
        <w:rPr>
          <w:snapToGrid w:val="0"/>
        </w:rPr>
      </w:pPr>
      <w:bookmarkStart w:id="98" w:name="_Toc397950857"/>
      <w:bookmarkStart w:id="99" w:name="_Toc435023370"/>
      <w:r>
        <w:rPr>
          <w:rStyle w:val="CharSectno"/>
        </w:rPr>
        <w:t>40</w:t>
      </w:r>
      <w:r>
        <w:rPr>
          <w:snapToGrid w:val="0"/>
        </w:rPr>
        <w:t>.</w:t>
      </w:r>
      <w:r>
        <w:rPr>
          <w:snapToGrid w:val="0"/>
        </w:rPr>
        <w:tab/>
        <w:t>Surrender of documents</w:t>
      </w:r>
      <w:bookmarkEnd w:id="98"/>
      <w:bookmarkEnd w:id="99"/>
      <w:r>
        <w:rPr>
          <w:snapToGrid w:val="0"/>
        </w:rPr>
        <w:t xml:space="preserve"> </w:t>
      </w:r>
    </w:p>
    <w:p>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100" w:name="_Toc397950858"/>
      <w:bookmarkStart w:id="101" w:name="_Toc435023371"/>
      <w:r>
        <w:rPr>
          <w:rStyle w:val="CharSectno"/>
        </w:rPr>
        <w:t>41</w:t>
      </w:r>
      <w:r>
        <w:rPr>
          <w:snapToGrid w:val="0"/>
        </w:rPr>
        <w:t>.</w:t>
      </w:r>
      <w:r>
        <w:rPr>
          <w:snapToGrid w:val="0"/>
        </w:rPr>
        <w:tab/>
        <w:t>Registers</w:t>
      </w:r>
      <w:bookmarkEnd w:id="100"/>
      <w:bookmarkEnd w:id="101"/>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102" w:name="_Toc397950859"/>
      <w:bookmarkStart w:id="103" w:name="_Toc435023372"/>
      <w:r>
        <w:rPr>
          <w:rStyle w:val="CharSectno"/>
        </w:rPr>
        <w:t>41A</w:t>
      </w:r>
      <w:r>
        <w:t>.</w:t>
      </w:r>
      <w:r>
        <w:tab/>
        <w:t>Restriction on authorisation of storage, transportation or disposal of nuclear waste</w:t>
      </w:r>
      <w:bookmarkEnd w:id="102"/>
      <w:bookmarkEnd w:id="103"/>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104" w:name="_Toc378338392"/>
      <w:bookmarkStart w:id="105" w:name="_Toc392504346"/>
      <w:bookmarkStart w:id="106" w:name="_Toc397950860"/>
      <w:bookmarkStart w:id="107" w:name="_Toc424292569"/>
      <w:bookmarkStart w:id="108" w:name="_Toc435023373"/>
      <w:r>
        <w:rPr>
          <w:rStyle w:val="CharPartNo"/>
        </w:rPr>
        <w:t>Part IV</w:t>
      </w:r>
      <w:r>
        <w:rPr>
          <w:rStyle w:val="CharDivNo"/>
        </w:rPr>
        <w:t> </w:t>
      </w:r>
      <w:r>
        <w:t>—</w:t>
      </w:r>
      <w:r>
        <w:rPr>
          <w:rStyle w:val="CharDivText"/>
        </w:rPr>
        <w:t> </w:t>
      </w:r>
      <w:r>
        <w:rPr>
          <w:rStyle w:val="CharPartText"/>
        </w:rPr>
        <w:t>Enforcement</w:t>
      </w:r>
      <w:bookmarkEnd w:id="104"/>
      <w:bookmarkEnd w:id="105"/>
      <w:bookmarkEnd w:id="106"/>
      <w:bookmarkEnd w:id="107"/>
      <w:bookmarkEnd w:id="108"/>
      <w:r>
        <w:rPr>
          <w:rStyle w:val="CharPartText"/>
        </w:rPr>
        <w:t xml:space="preserve"> </w:t>
      </w:r>
    </w:p>
    <w:p>
      <w:pPr>
        <w:pStyle w:val="Heading5"/>
        <w:rPr>
          <w:snapToGrid w:val="0"/>
        </w:rPr>
      </w:pPr>
      <w:bookmarkStart w:id="109" w:name="_Toc397950861"/>
      <w:bookmarkStart w:id="110" w:name="_Toc435023374"/>
      <w:r>
        <w:rPr>
          <w:rStyle w:val="CharSectno"/>
        </w:rPr>
        <w:t>42</w:t>
      </w:r>
      <w:r>
        <w:rPr>
          <w:snapToGrid w:val="0"/>
        </w:rPr>
        <w:t>.</w:t>
      </w:r>
      <w:r>
        <w:rPr>
          <w:snapToGrid w:val="0"/>
        </w:rPr>
        <w:tab/>
        <w:t>Power of entry and inspection</w:t>
      </w:r>
      <w:bookmarkEnd w:id="109"/>
      <w:bookmarkEnd w:id="110"/>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r>
        <w:rPr>
          <w:spacing w:val="-2"/>
        </w:rPr>
        <w:tab/>
        <w:t>[Section 42 amended by No. 63 of 1981 s. 4; No. 28 of 1984 s. 97.]</w:t>
      </w:r>
    </w:p>
    <w:p>
      <w:pPr>
        <w:pStyle w:val="Heading5"/>
        <w:rPr>
          <w:snapToGrid w:val="0"/>
        </w:rPr>
      </w:pPr>
      <w:bookmarkStart w:id="111" w:name="_Toc397950862"/>
      <w:bookmarkStart w:id="112" w:name="_Toc435023375"/>
      <w:r>
        <w:rPr>
          <w:rStyle w:val="CharSectno"/>
        </w:rPr>
        <w:t>43</w:t>
      </w:r>
      <w:r>
        <w:rPr>
          <w:snapToGrid w:val="0"/>
        </w:rPr>
        <w:t>.</w:t>
      </w:r>
      <w:r>
        <w:rPr>
          <w:snapToGrid w:val="0"/>
        </w:rPr>
        <w:tab/>
        <w:t>Warrants</w:t>
      </w:r>
      <w:bookmarkEnd w:id="111"/>
      <w:bookmarkEnd w:id="112"/>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113" w:name="_Toc397950863"/>
      <w:bookmarkStart w:id="114" w:name="_Toc435023376"/>
      <w:r>
        <w:rPr>
          <w:rStyle w:val="CharSectno"/>
        </w:rPr>
        <w:t>44</w:t>
      </w:r>
      <w:r>
        <w:rPr>
          <w:snapToGrid w:val="0"/>
        </w:rPr>
        <w:t>.</w:t>
      </w:r>
      <w:r>
        <w:rPr>
          <w:snapToGrid w:val="0"/>
        </w:rPr>
        <w:tab/>
        <w:t>Inspection procedure</w:t>
      </w:r>
      <w:bookmarkEnd w:id="113"/>
      <w:bookmarkEnd w:id="114"/>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115" w:name="_Toc397950864"/>
      <w:bookmarkStart w:id="116" w:name="_Toc435023377"/>
      <w:r>
        <w:rPr>
          <w:rStyle w:val="CharSectno"/>
        </w:rPr>
        <w:t>45</w:t>
      </w:r>
      <w:r>
        <w:rPr>
          <w:snapToGrid w:val="0"/>
        </w:rPr>
        <w:t>.</w:t>
      </w:r>
      <w:r>
        <w:rPr>
          <w:snapToGrid w:val="0"/>
        </w:rPr>
        <w:tab/>
        <w:t>Owner to assist authorised officer</w:t>
      </w:r>
      <w:bookmarkEnd w:id="115"/>
      <w:bookmarkEnd w:id="116"/>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117" w:name="_Toc397950865"/>
      <w:bookmarkStart w:id="118" w:name="_Toc435023378"/>
      <w:r>
        <w:rPr>
          <w:rStyle w:val="CharSectno"/>
        </w:rPr>
        <w:t>46</w:t>
      </w:r>
      <w:r>
        <w:rPr>
          <w:snapToGrid w:val="0"/>
        </w:rPr>
        <w:t>.</w:t>
      </w:r>
      <w:r>
        <w:rPr>
          <w:snapToGrid w:val="0"/>
        </w:rPr>
        <w:tab/>
        <w:t>Power to give directions</w:t>
      </w:r>
      <w:bookmarkEnd w:id="117"/>
      <w:bookmarkEnd w:id="118"/>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rPr>
          <w:snapToGrid w:val="0"/>
        </w:rPr>
      </w:pPr>
      <w:r>
        <w:rPr>
          <w:snapToGrid w:val="0"/>
        </w:rPr>
        <w:tab/>
        <w:t>(a)</w:t>
      </w:r>
      <w:r>
        <w:rPr>
          <w:snapToGrid w:val="0"/>
        </w:rPr>
        <w:tab/>
        <w:t>to stop using that substance or using or operating that apparatus or product;</w:t>
      </w:r>
    </w:p>
    <w:p>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rPr>
          <w:snapToGrid w:val="0"/>
        </w:rPr>
      </w:pPr>
      <w:bookmarkStart w:id="119" w:name="_Toc397950866"/>
      <w:bookmarkStart w:id="120" w:name="_Toc435023379"/>
      <w:r>
        <w:rPr>
          <w:rStyle w:val="CharSectno"/>
        </w:rPr>
        <w:t>47</w:t>
      </w:r>
      <w:r>
        <w:rPr>
          <w:snapToGrid w:val="0"/>
        </w:rPr>
        <w:t>.</w:t>
      </w:r>
      <w:r>
        <w:rPr>
          <w:snapToGrid w:val="0"/>
        </w:rPr>
        <w:tab/>
        <w:t>Power to vary directions etc.</w:t>
      </w:r>
      <w:bookmarkEnd w:id="119"/>
      <w:bookmarkEnd w:id="120"/>
    </w:p>
    <w:p>
      <w:pPr>
        <w:pStyle w:val="Subsection"/>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121" w:name="_Toc397950867"/>
      <w:bookmarkStart w:id="122" w:name="_Toc435023380"/>
      <w:r>
        <w:rPr>
          <w:rStyle w:val="CharSectno"/>
        </w:rPr>
        <w:t>48</w:t>
      </w:r>
      <w:r>
        <w:rPr>
          <w:snapToGrid w:val="0"/>
        </w:rPr>
        <w:t>.</w:t>
      </w:r>
      <w:r>
        <w:rPr>
          <w:snapToGrid w:val="0"/>
        </w:rPr>
        <w:tab/>
        <w:t>Offences as to inspections etc.</w:t>
      </w:r>
      <w:bookmarkEnd w:id="121"/>
      <w:bookmarkEnd w:id="122"/>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123" w:name="_Toc397950868"/>
      <w:bookmarkStart w:id="124" w:name="_Toc435023381"/>
      <w:r>
        <w:rPr>
          <w:rStyle w:val="CharSectno"/>
        </w:rPr>
        <w:t>49</w:t>
      </w:r>
      <w:r>
        <w:rPr>
          <w:snapToGrid w:val="0"/>
        </w:rPr>
        <w:t>.</w:t>
      </w:r>
      <w:r>
        <w:rPr>
          <w:snapToGrid w:val="0"/>
        </w:rPr>
        <w:tab/>
        <w:t>Secrecy</w:t>
      </w:r>
      <w:bookmarkEnd w:id="123"/>
      <w:bookmarkEnd w:id="124"/>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Sch. 3 cl. 5(9).]</w:t>
      </w:r>
    </w:p>
    <w:p>
      <w:pPr>
        <w:pStyle w:val="Heading5"/>
        <w:spacing w:before="200"/>
        <w:rPr>
          <w:snapToGrid w:val="0"/>
        </w:rPr>
      </w:pPr>
      <w:bookmarkStart w:id="125" w:name="_Toc397950869"/>
      <w:bookmarkStart w:id="126" w:name="_Toc435023382"/>
      <w:r>
        <w:rPr>
          <w:rStyle w:val="CharSectno"/>
        </w:rPr>
        <w:t>50</w:t>
      </w:r>
      <w:r>
        <w:rPr>
          <w:snapToGrid w:val="0"/>
        </w:rPr>
        <w:t>.</w:t>
      </w:r>
      <w:r>
        <w:rPr>
          <w:snapToGrid w:val="0"/>
        </w:rPr>
        <w:tab/>
        <w:t>Availability of records</w:t>
      </w:r>
      <w:bookmarkEnd w:id="125"/>
      <w:bookmarkEnd w:id="126"/>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127" w:name="_Toc397950870"/>
      <w:bookmarkStart w:id="128" w:name="_Toc435023383"/>
      <w:r>
        <w:rPr>
          <w:rStyle w:val="CharSectno"/>
        </w:rPr>
        <w:t>51</w:t>
      </w:r>
      <w:r>
        <w:t>.</w:t>
      </w:r>
      <w:r>
        <w:rPr>
          <w:rStyle w:val="CharSectno"/>
        </w:rPr>
        <w:tab/>
      </w:r>
      <w:r>
        <w:t>Offences to be dealt with by magistrate</w:t>
      </w:r>
      <w:bookmarkEnd w:id="127"/>
      <w:bookmarkEnd w:id="128"/>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129" w:name="_Toc397950871"/>
      <w:bookmarkStart w:id="130" w:name="_Toc435023384"/>
      <w:r>
        <w:rPr>
          <w:rStyle w:val="CharSectno"/>
        </w:rPr>
        <w:t>52</w:t>
      </w:r>
      <w:r>
        <w:rPr>
          <w:snapToGrid w:val="0"/>
        </w:rPr>
        <w:t>.</w:t>
      </w:r>
      <w:r>
        <w:rPr>
          <w:snapToGrid w:val="0"/>
        </w:rPr>
        <w:tab/>
        <w:t>Offences</w:t>
      </w:r>
      <w:bookmarkEnd w:id="129"/>
      <w:bookmarkEnd w:id="130"/>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131" w:name="_Toc397950872"/>
      <w:bookmarkStart w:id="132" w:name="_Toc435023385"/>
      <w:r>
        <w:rPr>
          <w:rStyle w:val="CharSectno"/>
        </w:rPr>
        <w:t>53</w:t>
      </w:r>
      <w:r>
        <w:rPr>
          <w:snapToGrid w:val="0"/>
        </w:rPr>
        <w:t>.</w:t>
      </w:r>
      <w:r>
        <w:rPr>
          <w:snapToGrid w:val="0"/>
        </w:rPr>
        <w:tab/>
        <w:t>Forfeiture</w:t>
      </w:r>
      <w:bookmarkEnd w:id="131"/>
      <w:bookmarkEnd w:id="132"/>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133" w:name="_Toc397950873"/>
      <w:bookmarkStart w:id="134" w:name="_Toc435023386"/>
      <w:r>
        <w:rPr>
          <w:rStyle w:val="CharSectno"/>
        </w:rPr>
        <w:t>54</w:t>
      </w:r>
      <w:r>
        <w:rPr>
          <w:snapToGrid w:val="0"/>
        </w:rPr>
        <w:t>.</w:t>
      </w:r>
      <w:r>
        <w:rPr>
          <w:snapToGrid w:val="0"/>
        </w:rPr>
        <w:tab/>
        <w:t>Power to seize and detain</w:t>
      </w:r>
      <w:bookmarkEnd w:id="133"/>
      <w:bookmarkEnd w:id="134"/>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135" w:name="_Toc397950874"/>
      <w:bookmarkStart w:id="136" w:name="_Toc435023387"/>
      <w:r>
        <w:rPr>
          <w:rStyle w:val="CharSectno"/>
        </w:rPr>
        <w:t>55</w:t>
      </w:r>
      <w:r>
        <w:rPr>
          <w:snapToGrid w:val="0"/>
        </w:rPr>
        <w:t>.</w:t>
      </w:r>
      <w:r>
        <w:rPr>
          <w:snapToGrid w:val="0"/>
        </w:rPr>
        <w:tab/>
        <w:t>Emergency action</w:t>
      </w:r>
      <w:bookmarkEnd w:id="135"/>
      <w:bookmarkEnd w:id="136"/>
      <w:r>
        <w:rPr>
          <w:snapToGrid w:val="0"/>
        </w:rPr>
        <w:t xml:space="preserve"> </w:t>
      </w:r>
    </w:p>
    <w:p>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pPr>
        <w:pStyle w:val="Footnotesection"/>
      </w:pPr>
      <w:r>
        <w:tab/>
        <w:t xml:space="preserve">[Section 55 amended by No. 63 of 1981 s. 4; No. 28 of 1984 s. 97.] </w:t>
      </w:r>
    </w:p>
    <w:p>
      <w:pPr>
        <w:pStyle w:val="Heading5"/>
        <w:rPr>
          <w:snapToGrid w:val="0"/>
        </w:rPr>
      </w:pPr>
      <w:bookmarkStart w:id="137" w:name="_Toc397950875"/>
      <w:bookmarkStart w:id="138" w:name="_Toc435023388"/>
      <w:r>
        <w:rPr>
          <w:rStyle w:val="CharSectno"/>
        </w:rPr>
        <w:t>56</w:t>
      </w:r>
      <w:r>
        <w:rPr>
          <w:snapToGrid w:val="0"/>
        </w:rPr>
        <w:t>.</w:t>
      </w:r>
      <w:r>
        <w:rPr>
          <w:snapToGrid w:val="0"/>
        </w:rPr>
        <w:tab/>
        <w:t>Liability for the acts of others etc.</w:t>
      </w:r>
      <w:bookmarkEnd w:id="137"/>
      <w:bookmarkEnd w:id="138"/>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139" w:name="_Toc397950876"/>
      <w:bookmarkStart w:id="140" w:name="_Toc435023389"/>
      <w:r>
        <w:rPr>
          <w:rStyle w:val="CharSectno"/>
        </w:rPr>
        <w:t>57</w:t>
      </w:r>
      <w:r>
        <w:rPr>
          <w:snapToGrid w:val="0"/>
        </w:rPr>
        <w:t>.</w:t>
      </w:r>
      <w:r>
        <w:rPr>
          <w:snapToGrid w:val="0"/>
        </w:rPr>
        <w:tab/>
        <w:t>Facilitation of proof</w:t>
      </w:r>
      <w:bookmarkEnd w:id="139"/>
      <w:bookmarkEnd w:id="140"/>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 No. 8 of 2009 s. 107.]</w:t>
      </w:r>
    </w:p>
    <w:p>
      <w:pPr>
        <w:pStyle w:val="Heading2"/>
      </w:pPr>
      <w:bookmarkStart w:id="141" w:name="_Toc378338409"/>
      <w:bookmarkStart w:id="142" w:name="_Toc392504363"/>
      <w:bookmarkStart w:id="143" w:name="_Toc397950877"/>
      <w:bookmarkStart w:id="144" w:name="_Toc424292586"/>
      <w:bookmarkStart w:id="145" w:name="_Toc435023390"/>
      <w:r>
        <w:rPr>
          <w:rStyle w:val="CharPartNo"/>
        </w:rPr>
        <w:t>Part V</w:t>
      </w:r>
      <w:r>
        <w:rPr>
          <w:rStyle w:val="CharDivNo"/>
        </w:rPr>
        <w:t> </w:t>
      </w:r>
      <w:r>
        <w:t>—</w:t>
      </w:r>
      <w:r>
        <w:rPr>
          <w:rStyle w:val="CharDivText"/>
        </w:rPr>
        <w:t> </w:t>
      </w:r>
      <w:r>
        <w:rPr>
          <w:rStyle w:val="CharPartText"/>
        </w:rPr>
        <w:t>Regulations</w:t>
      </w:r>
      <w:bookmarkEnd w:id="141"/>
      <w:bookmarkEnd w:id="142"/>
      <w:bookmarkEnd w:id="143"/>
      <w:bookmarkEnd w:id="144"/>
      <w:bookmarkEnd w:id="145"/>
      <w:r>
        <w:rPr>
          <w:rStyle w:val="CharPartText"/>
        </w:rPr>
        <w:t xml:space="preserve"> </w:t>
      </w:r>
    </w:p>
    <w:p>
      <w:pPr>
        <w:pStyle w:val="Heading5"/>
        <w:rPr>
          <w:snapToGrid w:val="0"/>
        </w:rPr>
      </w:pPr>
      <w:bookmarkStart w:id="146" w:name="_Toc397950878"/>
      <w:bookmarkStart w:id="147" w:name="_Toc435023391"/>
      <w:r>
        <w:rPr>
          <w:rStyle w:val="CharSectno"/>
        </w:rPr>
        <w:t>58</w:t>
      </w:r>
      <w:r>
        <w:rPr>
          <w:snapToGrid w:val="0"/>
        </w:rPr>
        <w:t>.</w:t>
      </w:r>
      <w:r>
        <w:rPr>
          <w:snapToGrid w:val="0"/>
        </w:rPr>
        <w:tab/>
        <w:t>General power</w:t>
      </w:r>
      <w:bookmarkEnd w:id="146"/>
      <w:bookmarkEnd w:id="147"/>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148" w:name="_Toc397950879"/>
      <w:bookmarkStart w:id="149" w:name="_Toc435023392"/>
      <w:r>
        <w:rPr>
          <w:rStyle w:val="CharSectno"/>
        </w:rPr>
        <w:t>59</w:t>
      </w:r>
      <w:r>
        <w:rPr>
          <w:snapToGrid w:val="0"/>
        </w:rPr>
        <w:t>.</w:t>
      </w:r>
      <w:r>
        <w:rPr>
          <w:snapToGrid w:val="0"/>
        </w:rPr>
        <w:tab/>
        <w:t>Specific powers</w:t>
      </w:r>
      <w:bookmarkEnd w:id="148"/>
      <w:bookmarkEnd w:id="149"/>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50" w:name="_Toc378338412"/>
      <w:bookmarkStart w:id="151" w:name="_Toc392504366"/>
      <w:bookmarkStart w:id="152" w:name="_Toc397950880"/>
      <w:bookmarkStart w:id="153" w:name="_Toc424292589"/>
      <w:bookmarkStart w:id="154" w:name="_Toc435023393"/>
      <w:r>
        <w:t>Notes</w:t>
      </w:r>
      <w:bookmarkEnd w:id="150"/>
      <w:bookmarkEnd w:id="151"/>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5" w:name="_Toc397950881"/>
      <w:bookmarkStart w:id="156" w:name="_Toc435023394"/>
      <w:r>
        <w:rPr>
          <w:snapToGrid w:val="0"/>
        </w:rPr>
        <w:t>Compilation table</w:t>
      </w:r>
      <w:bookmarkEnd w:id="155"/>
      <w:bookmarkEnd w:id="156"/>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34"/>
        <w:gridCol w:w="18"/>
      </w:tblGrid>
      <w:tr>
        <w:trPr>
          <w:gridAfter w:val="1"/>
          <w:wAfter w:w="18" w:type="dxa"/>
          <w:cantSplit/>
          <w:tblHeader/>
        </w:trPr>
        <w:tc>
          <w:tcPr>
            <w:tcW w:w="2267"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34" w:type="dxa"/>
            <w:tcBorders>
              <w:top w:val="single" w:sz="8" w:space="0" w:color="auto"/>
              <w:bottom w:val="single" w:sz="8" w:space="0" w:color="auto"/>
            </w:tcBorders>
          </w:tcPr>
          <w:p>
            <w:pPr>
              <w:pStyle w:val="nTable"/>
              <w:spacing w:after="40"/>
              <w:rPr>
                <w:b/>
              </w:rPr>
            </w:pPr>
            <w:r>
              <w:rPr>
                <w:b/>
              </w:rPr>
              <w:t>Commencement</w:t>
            </w:r>
          </w:p>
        </w:tc>
      </w:tr>
      <w:tr>
        <w:trPr>
          <w:gridAfter w:val="1"/>
          <w:wAfter w:w="18" w:type="dxa"/>
          <w:cantSplit/>
        </w:trPr>
        <w:tc>
          <w:tcPr>
            <w:tcW w:w="2267" w:type="dxa"/>
            <w:tcBorders>
              <w:top w:val="single" w:sz="8" w:space="0" w:color="auto"/>
            </w:tcBorders>
          </w:tcPr>
          <w:p>
            <w:pPr>
              <w:pStyle w:val="nTable"/>
              <w:spacing w:after="40"/>
              <w:ind w:right="170"/>
            </w:pPr>
            <w:r>
              <w:rPr>
                <w:i/>
              </w:rPr>
              <w:t>Radiation Safety Act 1975</w:t>
            </w:r>
          </w:p>
        </w:tc>
        <w:tc>
          <w:tcPr>
            <w:tcW w:w="1134" w:type="dxa"/>
            <w:tcBorders>
              <w:top w:val="single" w:sz="8" w:space="0" w:color="auto"/>
            </w:tcBorders>
          </w:tcPr>
          <w:p>
            <w:pPr>
              <w:pStyle w:val="nTable"/>
              <w:spacing w:after="40"/>
            </w:pPr>
            <w:r>
              <w:t>44 of 1975</w:t>
            </w:r>
          </w:p>
        </w:tc>
        <w:tc>
          <w:tcPr>
            <w:tcW w:w="1134" w:type="dxa"/>
            <w:tcBorders>
              <w:top w:val="single" w:sz="8" w:space="0" w:color="auto"/>
            </w:tcBorders>
          </w:tcPr>
          <w:p>
            <w:pPr>
              <w:pStyle w:val="nTable"/>
              <w:spacing w:after="40"/>
            </w:pPr>
            <w:r>
              <w:t>18 Sep 1975</w:t>
            </w:r>
          </w:p>
        </w:tc>
        <w:tc>
          <w:tcPr>
            <w:tcW w:w="2534" w:type="dxa"/>
            <w:tcBorders>
              <w:top w:val="single" w:sz="8" w:space="0" w:color="auto"/>
            </w:tcBorders>
          </w:tcPr>
          <w:p>
            <w:pPr>
              <w:pStyle w:val="nTable"/>
              <w:spacing w:after="40"/>
            </w:pPr>
            <w:r>
              <w:t xml:space="preserve">7 May 1976 (see s. 2 and </w:t>
            </w:r>
            <w:r>
              <w:rPr>
                <w:i/>
              </w:rPr>
              <w:t>Gazette</w:t>
            </w:r>
            <w:r>
              <w:t xml:space="preserve"> 7 May 1976 p. 1381)</w:t>
            </w:r>
          </w:p>
        </w:tc>
      </w:tr>
      <w:tr>
        <w:trPr>
          <w:gridAfter w:val="1"/>
          <w:wAfter w:w="18" w:type="dxa"/>
          <w:cantSplit/>
        </w:trPr>
        <w:tc>
          <w:tcPr>
            <w:tcW w:w="2267" w:type="dxa"/>
          </w:tcPr>
          <w:p>
            <w:pPr>
              <w:pStyle w:val="nTable"/>
              <w:spacing w:after="40"/>
              <w:ind w:right="170"/>
              <w:rPr>
                <w:i/>
              </w:rPr>
            </w:pPr>
            <w:r>
              <w:rPr>
                <w:i/>
              </w:rPr>
              <w:t>Radiation Safety Act Amendment Act 1979</w:t>
            </w:r>
          </w:p>
        </w:tc>
        <w:tc>
          <w:tcPr>
            <w:tcW w:w="1134" w:type="dxa"/>
          </w:tcPr>
          <w:p>
            <w:pPr>
              <w:pStyle w:val="nTable"/>
              <w:spacing w:after="40"/>
            </w:pPr>
            <w:r>
              <w:t>20 of 1979</w:t>
            </w:r>
          </w:p>
        </w:tc>
        <w:tc>
          <w:tcPr>
            <w:tcW w:w="1134" w:type="dxa"/>
          </w:tcPr>
          <w:p>
            <w:pPr>
              <w:pStyle w:val="nTable"/>
              <w:spacing w:after="40"/>
            </w:pPr>
            <w:r>
              <w:t>30 Aug 1979</w:t>
            </w:r>
          </w:p>
        </w:tc>
        <w:tc>
          <w:tcPr>
            <w:tcW w:w="2534" w:type="dxa"/>
          </w:tcPr>
          <w:p>
            <w:pPr>
              <w:pStyle w:val="nTable"/>
              <w:spacing w:after="40"/>
            </w:pPr>
            <w:r>
              <w:t>30 Aug 1979</w:t>
            </w:r>
          </w:p>
        </w:tc>
      </w:tr>
      <w:tr>
        <w:trPr>
          <w:gridAfter w:val="1"/>
          <w:wAfter w:w="18" w:type="dxa"/>
          <w:cantSplit/>
        </w:trPr>
        <w:tc>
          <w:tcPr>
            <w:tcW w:w="2267" w:type="dxa"/>
          </w:tcPr>
          <w:p>
            <w:pPr>
              <w:pStyle w:val="nTable"/>
              <w:spacing w:after="40"/>
              <w:ind w:right="170"/>
              <w:rPr>
                <w:i/>
              </w:rPr>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34" w:type="dxa"/>
          </w:tcPr>
          <w:p>
            <w:pPr>
              <w:pStyle w:val="nTable"/>
              <w:spacing w:after="40"/>
            </w:pPr>
            <w:r>
              <w:t>13 Oct 1981</w:t>
            </w:r>
          </w:p>
        </w:tc>
      </w:tr>
      <w:tr>
        <w:trPr>
          <w:gridAfter w:val="1"/>
          <w:wAfter w:w="18" w:type="dxa"/>
          <w:cantSplit/>
        </w:trPr>
        <w:tc>
          <w:tcPr>
            <w:tcW w:w="2267" w:type="dxa"/>
          </w:tcPr>
          <w:p>
            <w:pPr>
              <w:pStyle w:val="nTable"/>
              <w:spacing w:after="40"/>
              <w:ind w:right="170"/>
              <w:rPr>
                <w:i/>
              </w:rPr>
            </w:pPr>
            <w:r>
              <w:rPr>
                <w:i/>
              </w:rPr>
              <w:t xml:space="preserve">Health Legislation Amendment Act 1984 </w:t>
            </w:r>
            <w:r>
              <w:t>Pt. XXII</w:t>
            </w:r>
          </w:p>
        </w:tc>
        <w:tc>
          <w:tcPr>
            <w:tcW w:w="1134" w:type="dxa"/>
          </w:tcPr>
          <w:p>
            <w:pPr>
              <w:pStyle w:val="nTable"/>
              <w:spacing w:after="40"/>
            </w:pPr>
            <w:r>
              <w:t>28 of 1984</w:t>
            </w:r>
          </w:p>
        </w:tc>
        <w:tc>
          <w:tcPr>
            <w:tcW w:w="1134" w:type="dxa"/>
          </w:tcPr>
          <w:p>
            <w:pPr>
              <w:pStyle w:val="nTable"/>
              <w:spacing w:after="40"/>
            </w:pPr>
            <w:r>
              <w:t>31 May 1984</w:t>
            </w:r>
          </w:p>
        </w:tc>
        <w:tc>
          <w:tcPr>
            <w:tcW w:w="2534" w:type="dxa"/>
          </w:tcPr>
          <w:p>
            <w:pPr>
              <w:pStyle w:val="nTable"/>
              <w:spacing w:after="40"/>
            </w:pPr>
            <w:r>
              <w:t xml:space="preserve">1 Jul 1984 (see s. 2 and </w:t>
            </w:r>
            <w:r>
              <w:rPr>
                <w:i/>
              </w:rPr>
              <w:t>Gazette</w:t>
            </w:r>
            <w:r>
              <w:t xml:space="preserve"> 15 Jun 1984 p. 1629)</w:t>
            </w:r>
          </w:p>
        </w:tc>
      </w:tr>
      <w:tr>
        <w:trPr>
          <w:gridAfter w:val="1"/>
          <w:wAfter w:w="18" w:type="dxa"/>
          <w:cantSplit/>
        </w:trPr>
        <w:tc>
          <w:tcPr>
            <w:tcW w:w="2267"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34" w:type="dxa"/>
          </w:tcPr>
          <w:p>
            <w:pPr>
              <w:pStyle w:val="nTable"/>
              <w:spacing w:after="40"/>
            </w:pPr>
            <w:r>
              <w:t xml:space="preserve">20 Oct 1992 (see s. 2 and </w:t>
            </w:r>
            <w:r>
              <w:rPr>
                <w:i/>
              </w:rPr>
              <w:t>Gazette</w:t>
            </w:r>
            <w:r>
              <w:t xml:space="preserve"> 2 Oct 1992 p. 4811)</w:t>
            </w:r>
          </w:p>
        </w:tc>
      </w:tr>
      <w:tr>
        <w:trPr>
          <w:cantSplit/>
        </w:trPr>
        <w:tc>
          <w:tcPr>
            <w:tcW w:w="2267" w:type="dxa"/>
          </w:tcPr>
          <w:p>
            <w:pPr>
              <w:pStyle w:val="nTable"/>
              <w:spacing w:after="40"/>
              <w:ind w:right="170"/>
            </w:pPr>
            <w:r>
              <w:rPr>
                <w:i/>
              </w:rPr>
              <w:t>Acts Amendment (Public Sector Management) Act 1994</w:t>
            </w:r>
            <w:r>
              <w:t xml:space="preserve"> s. 3(1) and 4</w:t>
            </w:r>
          </w:p>
        </w:tc>
        <w:tc>
          <w:tcPr>
            <w:tcW w:w="1134" w:type="dxa"/>
          </w:tcPr>
          <w:p>
            <w:pPr>
              <w:pStyle w:val="nTable"/>
              <w:spacing w:after="40"/>
            </w:pPr>
            <w:r>
              <w:t>32 of 1994</w:t>
            </w:r>
          </w:p>
        </w:tc>
        <w:tc>
          <w:tcPr>
            <w:tcW w:w="1134" w:type="dxa"/>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gridSpan w:val="2"/>
          </w:tcPr>
          <w:p>
            <w:pPr>
              <w:pStyle w:val="nTable"/>
              <w:spacing w:after="40"/>
            </w:pPr>
            <w:r>
              <w:t>30 Apr 1998 (see s. 2(1))</w:t>
            </w:r>
          </w:p>
        </w:tc>
      </w:tr>
      <w:tr>
        <w:trPr>
          <w:cantSplit/>
        </w:trPr>
        <w:tc>
          <w:tcPr>
            <w:tcW w:w="2267" w:type="dxa"/>
          </w:tcPr>
          <w:p>
            <w:pPr>
              <w:pStyle w:val="nTable"/>
              <w:spacing w:after="40"/>
              <w:ind w:right="170"/>
            </w:pPr>
            <w:r>
              <w:rPr>
                <w:i/>
              </w:rPr>
              <w:t>Nuclear Waste Storage (Prohibition) Act 1999</w:t>
            </w:r>
            <w:r>
              <w:t xml:space="preserve"> s. 10(2)</w:t>
            </w:r>
          </w:p>
        </w:tc>
        <w:tc>
          <w:tcPr>
            <w:tcW w:w="1134" w:type="dxa"/>
          </w:tcPr>
          <w:p>
            <w:pPr>
              <w:pStyle w:val="nTable"/>
              <w:spacing w:after="40"/>
            </w:pPr>
            <w:r>
              <w:t>54 of 1999</w:t>
            </w:r>
          </w:p>
        </w:tc>
        <w:tc>
          <w:tcPr>
            <w:tcW w:w="1134" w:type="dxa"/>
          </w:tcPr>
          <w:p>
            <w:pPr>
              <w:pStyle w:val="nTable"/>
              <w:spacing w:after="40"/>
            </w:pPr>
            <w:r>
              <w:t>7 Dec 1999</w:t>
            </w:r>
          </w:p>
        </w:tc>
        <w:tc>
          <w:tcPr>
            <w:tcW w:w="2552" w:type="dxa"/>
            <w:gridSpan w:val="2"/>
          </w:tcPr>
          <w:p>
            <w:pPr>
              <w:pStyle w:val="nTable"/>
              <w:spacing w:after="40"/>
            </w:pPr>
            <w:r>
              <w:t>7 Dec 1999 (see s. 2)</w:t>
            </w:r>
          </w:p>
        </w:tc>
      </w:tr>
      <w:tr>
        <w:trPr>
          <w:cantSplit/>
        </w:trPr>
        <w:tc>
          <w:tcPr>
            <w:tcW w:w="7087" w:type="dxa"/>
            <w:gridSpan w:val="5"/>
          </w:tcPr>
          <w:p>
            <w:pPr>
              <w:pStyle w:val="nTable"/>
              <w:spacing w:after="40"/>
            </w:pPr>
            <w:r>
              <w:rPr>
                <w:b/>
                <w:bCs/>
              </w:rPr>
              <w:t xml:space="preserve">Reprint of the </w:t>
            </w:r>
            <w:r>
              <w:rPr>
                <w:b/>
                <w:bCs/>
                <w:i/>
                <w:iCs/>
              </w:rPr>
              <w:t>Radiation Safety Act 1975</w:t>
            </w:r>
            <w:r>
              <w:rPr>
                <w:b/>
                <w:bCs/>
              </w:rPr>
              <w:t xml:space="preserve"> as at 25 Feb 2000</w:t>
            </w:r>
            <w:r>
              <w:t xml:space="preserve"> (includes amendments listed above) (correction in </w:t>
            </w:r>
            <w:r>
              <w:rPr>
                <w:i/>
                <w:iCs/>
              </w:rPr>
              <w:t>Gazette</w:t>
            </w:r>
            <w:r>
              <w:t xml:space="preserve"> 28 Oct 2003 p. 4527)</w:t>
            </w:r>
          </w:p>
        </w:tc>
      </w:tr>
      <w:tr>
        <w:trPr>
          <w:cantSplit/>
        </w:trPr>
        <w:tc>
          <w:tcPr>
            <w:tcW w:w="2267" w:type="dxa"/>
          </w:tcPr>
          <w:p>
            <w:pPr>
              <w:pStyle w:val="nTable"/>
              <w:spacing w:after="40"/>
              <w:ind w:right="170"/>
            </w:pPr>
            <w:r>
              <w:rPr>
                <w:i/>
              </w:rPr>
              <w:t>Nurses Amendment Act 2003</w:t>
            </w:r>
            <w:r>
              <w:t xml:space="preserve"> Pt. 3 Div. 6</w:t>
            </w:r>
          </w:p>
        </w:tc>
        <w:tc>
          <w:tcPr>
            <w:tcW w:w="1134" w:type="dxa"/>
          </w:tcPr>
          <w:p>
            <w:pPr>
              <w:pStyle w:val="nTable"/>
              <w:spacing w:after="40"/>
            </w:pPr>
            <w:r>
              <w:t>9 of 2003</w:t>
            </w:r>
          </w:p>
        </w:tc>
        <w:tc>
          <w:tcPr>
            <w:tcW w:w="1134" w:type="dxa"/>
          </w:tcPr>
          <w:p>
            <w:pPr>
              <w:pStyle w:val="nTable"/>
              <w:spacing w:after="40"/>
            </w:pPr>
            <w:r>
              <w:t>9 Apr 2003</w:t>
            </w:r>
          </w:p>
        </w:tc>
        <w:tc>
          <w:tcPr>
            <w:tcW w:w="2552" w:type="dxa"/>
            <w:gridSpan w:val="2"/>
          </w:tcPr>
          <w:p>
            <w:pPr>
              <w:pStyle w:val="nTable"/>
              <w:spacing w:after="40"/>
            </w:pPr>
            <w:r>
              <w:t>9 Apr 2003 (see s. 2)</w:t>
            </w:r>
          </w:p>
        </w:tc>
      </w:tr>
      <w:tr>
        <w:trPr>
          <w:cantSplit/>
        </w:trPr>
        <w:tc>
          <w:tcPr>
            <w:tcW w:w="2267" w:type="dxa"/>
          </w:tcPr>
          <w:p>
            <w:pPr>
              <w:pStyle w:val="nTable"/>
              <w:spacing w:after="40"/>
              <w:ind w:right="170"/>
            </w:pPr>
            <w:r>
              <w:rPr>
                <w:i/>
              </w:rPr>
              <w:t>Statutes (Repeals and Minor Amendments) Act 2003</w:t>
            </w:r>
            <w:r>
              <w:t xml:space="preserve"> s. 99</w:t>
            </w:r>
          </w:p>
        </w:tc>
        <w:tc>
          <w:tcPr>
            <w:tcW w:w="1134" w:type="dxa"/>
          </w:tcPr>
          <w:p>
            <w:pPr>
              <w:pStyle w:val="nTable"/>
              <w:spacing w:after="40"/>
            </w:pPr>
            <w:r>
              <w:t>74 of 2003</w:t>
            </w:r>
          </w:p>
        </w:tc>
        <w:tc>
          <w:tcPr>
            <w:tcW w:w="1134" w:type="dxa"/>
          </w:tcPr>
          <w:p>
            <w:pPr>
              <w:pStyle w:val="nTable"/>
              <w:spacing w:after="40"/>
            </w:pPr>
            <w:r>
              <w:t>15 Dec 2003</w:t>
            </w:r>
          </w:p>
        </w:tc>
        <w:tc>
          <w:tcPr>
            <w:tcW w:w="2552" w:type="dxa"/>
            <w:gridSpan w:val="2"/>
          </w:tcPr>
          <w:p>
            <w:pPr>
              <w:pStyle w:val="nTable"/>
              <w:spacing w:after="40"/>
            </w:pPr>
            <w:r>
              <w:rPr>
                <w:spacing w:val="-2"/>
              </w:rPr>
              <w:t>15 Dec 2003 (see s. 2)</w:t>
            </w:r>
          </w:p>
        </w:tc>
      </w:tr>
      <w:tr>
        <w:trPr>
          <w:cantSplit/>
        </w:trPr>
        <w:tc>
          <w:tcPr>
            <w:tcW w:w="2267" w:type="dxa"/>
          </w:tcPr>
          <w:p>
            <w:pPr>
              <w:pStyle w:val="nTable"/>
              <w:spacing w:after="40"/>
              <w:ind w:right="170"/>
            </w:pPr>
            <w:r>
              <w:rPr>
                <w:i/>
              </w:rPr>
              <w:t>Nuclear Waste Storage (Prohibition) Amendment Act 2004</w:t>
            </w:r>
            <w:r>
              <w:t xml:space="preserve"> s. 14</w:t>
            </w:r>
          </w:p>
        </w:tc>
        <w:tc>
          <w:tcPr>
            <w:tcW w:w="1134" w:type="dxa"/>
          </w:tcPr>
          <w:p>
            <w:pPr>
              <w:pStyle w:val="nTable"/>
              <w:spacing w:after="40"/>
            </w:pPr>
            <w:r>
              <w:t>2 of 2004</w:t>
            </w:r>
          </w:p>
        </w:tc>
        <w:tc>
          <w:tcPr>
            <w:tcW w:w="1134" w:type="dxa"/>
          </w:tcPr>
          <w:p>
            <w:pPr>
              <w:pStyle w:val="nTable"/>
              <w:spacing w:after="40"/>
            </w:pPr>
            <w:r>
              <w:t>1 Apr 2004</w:t>
            </w:r>
          </w:p>
        </w:tc>
        <w:tc>
          <w:tcPr>
            <w:tcW w:w="2552" w:type="dxa"/>
            <w:gridSpan w:val="2"/>
          </w:tcPr>
          <w:p>
            <w:pPr>
              <w:pStyle w:val="nTable"/>
              <w:spacing w:after="40"/>
              <w:rPr>
                <w:spacing w:val="-2"/>
              </w:rPr>
            </w:pPr>
            <w:r>
              <w:t>1 Apr 2004 (see s. 2)</w:t>
            </w:r>
          </w:p>
        </w:tc>
      </w:tr>
      <w:tr>
        <w:trPr>
          <w:cantSplit/>
        </w:trPr>
        <w:tc>
          <w:tcPr>
            <w:tcW w:w="2267" w:type="dxa"/>
          </w:tcPr>
          <w:p>
            <w:pPr>
              <w:pStyle w:val="nTable"/>
              <w:spacing w:after="40"/>
              <w:ind w:right="170"/>
              <w:rPr>
                <w:i/>
                <w:vertAlign w:val="superscript"/>
              </w:rPr>
            </w:pPr>
            <w:r>
              <w:rPr>
                <w:i/>
                <w:snapToGrid w:val="0"/>
              </w:rPr>
              <w:t>Courts Legislation Amendment and Repeal Act 2004</w:t>
            </w:r>
            <w:r>
              <w:rPr>
                <w:snapToGrid w:val="0"/>
              </w:rPr>
              <w:t xml:space="preserve"> s. 141 </w:t>
            </w:r>
            <w:r>
              <w:rPr>
                <w:snapToGrid w:val="0"/>
                <w:vertAlign w:val="superscript"/>
              </w:rPr>
              <w:t>3</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7" w:type="dxa"/>
          </w:tcPr>
          <w:p>
            <w:pPr>
              <w:pStyle w:val="nTable"/>
              <w:spacing w:after="40"/>
              <w:ind w:right="170"/>
              <w:rPr>
                <w:i/>
              </w:rPr>
            </w:pPr>
            <w:r>
              <w:rPr>
                <w:i/>
              </w:rPr>
              <w:t>State Administrative Tribunal (Conferral of Jurisdiction) Amendment and Repeal Act 2004</w:t>
            </w:r>
            <w:r>
              <w:rPr>
                <w:i/>
                <w:iCs/>
              </w:rPr>
              <w:t xml:space="preserve"> </w:t>
            </w:r>
            <w:r>
              <w:t>Pt. 2 Div. 110</w:t>
            </w:r>
            <w:r>
              <w:rPr>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2" w:type="dxa"/>
            <w:gridSpan w:val="2"/>
          </w:tcPr>
          <w:p>
            <w:pPr>
              <w:pStyle w:val="nTable"/>
              <w:spacing w:after="40"/>
            </w:pPr>
            <w:r>
              <w:t xml:space="preserve">1 Jan 2005 (see s. 2 and </w:t>
            </w:r>
            <w:r>
              <w:rPr>
                <w:i/>
                <w:iCs/>
              </w:rPr>
              <w:t>Gazette</w:t>
            </w:r>
            <w:r>
              <w:t xml:space="preserve"> 31 Dec 2004 p. 7130)</w:t>
            </w:r>
          </w:p>
        </w:tc>
      </w:tr>
      <w:tr>
        <w:trPr>
          <w:cantSplit/>
        </w:trPr>
        <w:tc>
          <w:tcPr>
            <w:tcW w:w="2267" w:type="dxa"/>
          </w:tcPr>
          <w:p>
            <w:pPr>
              <w:pStyle w:val="nTable"/>
              <w:spacing w:after="40"/>
              <w:ind w:right="170"/>
              <w:rPr>
                <w:i/>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pPr>
            <w:r>
              <w:rPr>
                <w:snapToGrid w:val="0"/>
              </w:rPr>
              <w:t xml:space="preserve">84 of 2004 </w:t>
            </w:r>
          </w:p>
        </w:tc>
        <w:tc>
          <w:tcPr>
            <w:tcW w:w="1134" w:type="dxa"/>
          </w:tcPr>
          <w:p>
            <w:pPr>
              <w:pStyle w:val="nTable"/>
              <w:spacing w:after="40"/>
            </w:pPr>
            <w:r>
              <w:rPr>
                <w:snapToGrid w:val="0"/>
              </w:rP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5"/>
          </w:tcPr>
          <w:p>
            <w:pPr>
              <w:pStyle w:val="nTable"/>
              <w:spacing w:after="40"/>
              <w:rPr>
                <w:snapToGrid w:val="0"/>
              </w:rPr>
            </w:pPr>
            <w:r>
              <w:rPr>
                <w:b/>
                <w:bCs/>
              </w:rPr>
              <w:t xml:space="preserve">Reprint 2: The </w:t>
            </w:r>
            <w:r>
              <w:rPr>
                <w:b/>
                <w:bCs/>
                <w:i/>
                <w:iCs/>
              </w:rPr>
              <w:t>Radiation Safety Act 1975</w:t>
            </w:r>
            <w:r>
              <w:rPr>
                <w:b/>
                <w:bCs/>
              </w:rPr>
              <w:t xml:space="preserve"> as at 4 Nov 2005</w:t>
            </w:r>
            <w: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snapToGrid w:val="0"/>
              </w:rPr>
            </w:pPr>
            <w:r>
              <w:rPr>
                <w:i/>
                <w:iCs/>
                <w:snapToGrid w:val="0"/>
              </w:rPr>
              <w:t>Medical</w:t>
            </w:r>
            <w:r>
              <w:rPr>
                <w:i/>
                <w:noProof/>
                <w:snapToGrid w:val="0"/>
              </w:rPr>
              <w:t xml:space="preserve"> Radiation Technologists Act 2006</w:t>
            </w:r>
            <w:r>
              <w:rPr>
                <w:i/>
                <w:iCs/>
                <w:noProof/>
                <w:snapToGrid w:val="0"/>
              </w:rPr>
              <w:t xml:space="preserve"> </w:t>
            </w:r>
            <w:r>
              <w:rPr>
                <w:noProof/>
                <w:snapToGrid w:val="0"/>
              </w:rPr>
              <w:t>Sch. 3 cl. 5</w:t>
            </w:r>
          </w:p>
        </w:tc>
        <w:tc>
          <w:tcPr>
            <w:tcW w:w="1134" w:type="dxa"/>
            <w:tcBorders>
              <w:top w:val="nil"/>
              <w:bottom w:val="nil"/>
            </w:tcBorders>
          </w:tcPr>
          <w:p>
            <w:pPr>
              <w:pStyle w:val="nTable"/>
              <w:spacing w:after="40"/>
              <w:rPr>
                <w:snapToGrid w:val="0"/>
              </w:rPr>
            </w:pPr>
            <w:r>
              <w:rPr>
                <w:snapToGrid w:val="0"/>
              </w:rPr>
              <w:t>21 of 2006</w:t>
            </w:r>
          </w:p>
        </w:tc>
        <w:tc>
          <w:tcPr>
            <w:tcW w:w="1134" w:type="dxa"/>
            <w:tcBorders>
              <w:top w:val="nil"/>
              <w:bottom w:val="nil"/>
            </w:tcBorders>
          </w:tcPr>
          <w:p>
            <w:pPr>
              <w:pStyle w:val="nTable"/>
              <w:spacing w:after="40"/>
            </w:pPr>
            <w:r>
              <w:t>9 Jun 2006</w:t>
            </w:r>
          </w:p>
        </w:tc>
        <w:tc>
          <w:tcPr>
            <w:tcW w:w="2552" w:type="dxa"/>
            <w:gridSpan w:val="2"/>
            <w:tcBorders>
              <w:top w:val="nil"/>
              <w:bottom w:val="nil"/>
            </w:tcBorders>
          </w:tcPr>
          <w:p>
            <w:pPr>
              <w:pStyle w:val="nTable"/>
              <w:spacing w:after="40"/>
              <w:rPr>
                <w:snapToGrid w:val="0"/>
              </w:rPr>
            </w:pPr>
            <w:r>
              <w:rPr>
                <w:rFonts w:ascii="Times" w:hAnsi="Times"/>
                <w:snapToGrid w:val="0"/>
                <w:color w:val="000000"/>
              </w:rPr>
              <w:t xml:space="preserve">1 Jul 2007 (see s. 2 and </w:t>
            </w:r>
            <w:r>
              <w:rPr>
                <w:rFonts w:ascii="Times" w:hAnsi="Times"/>
                <w:i/>
                <w:iCs/>
                <w:snapToGrid w:val="0"/>
                <w:color w:val="000000"/>
              </w:rPr>
              <w:t>Gazette</w:t>
            </w:r>
            <w:r>
              <w:rPr>
                <w:rFonts w:ascii="Times" w:hAnsi="Times"/>
                <w:snapToGrid w:val="0"/>
                <w:color w:val="000000"/>
              </w:rPr>
              <w:t xml:space="preserve"> 26 Jun 2007 p. 3013)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noProof/>
                <w:snapToGrid w:val="0"/>
              </w:rPr>
            </w:pPr>
            <w:r>
              <w:rPr>
                <w:i/>
                <w:iCs/>
                <w:snapToGrid w:val="0"/>
              </w:rPr>
              <w:t>Nurses</w:t>
            </w:r>
            <w:r>
              <w:rPr>
                <w:i/>
                <w:noProof/>
                <w:snapToGrid w:val="0"/>
              </w:rPr>
              <w:t xml:space="preserve"> and Midwives Act 2006</w:t>
            </w:r>
            <w:r>
              <w:rPr>
                <w:noProof/>
                <w:snapToGrid w:val="0"/>
              </w:rPr>
              <w:t xml:space="preserve"> Sch. 3 cl. 19</w:t>
            </w:r>
          </w:p>
        </w:tc>
        <w:tc>
          <w:tcPr>
            <w:tcW w:w="1134" w:type="dxa"/>
            <w:tcBorders>
              <w:top w:val="nil"/>
              <w:bottom w:val="nil"/>
            </w:tcBorders>
          </w:tcPr>
          <w:p>
            <w:pPr>
              <w:pStyle w:val="nTable"/>
              <w:spacing w:after="40"/>
              <w:rPr>
                <w:snapToGrid w:val="0"/>
              </w:rPr>
            </w:pPr>
            <w:r>
              <w:rPr>
                <w:snapToGrid w:val="0"/>
              </w:rPr>
              <w:t>50 of 2006</w:t>
            </w:r>
          </w:p>
        </w:tc>
        <w:tc>
          <w:tcPr>
            <w:tcW w:w="1134" w:type="dxa"/>
            <w:tcBorders>
              <w:top w:val="nil"/>
              <w:bottom w:val="nil"/>
            </w:tcBorders>
          </w:tcPr>
          <w:p>
            <w:pPr>
              <w:pStyle w:val="nTable"/>
              <w:spacing w:after="40"/>
            </w:pPr>
            <w:r>
              <w:t>6 Oct 2006</w:t>
            </w:r>
          </w:p>
        </w:tc>
        <w:tc>
          <w:tcPr>
            <w:tcW w:w="2552" w:type="dxa"/>
            <w:gridSpan w:val="2"/>
            <w:tcBorders>
              <w:top w:val="nil"/>
              <w:bottom w:val="nil"/>
            </w:tcBorders>
          </w:tcPr>
          <w:p>
            <w:pPr>
              <w:pStyle w:val="nTable"/>
              <w:spacing w:after="40"/>
              <w:rPr>
                <w:rFonts w:ascii="Times" w:hAnsi="Times"/>
                <w:snapToGrid w:val="0"/>
              </w:rPr>
            </w:pPr>
            <w:r>
              <w:rPr>
                <w:rFonts w:ascii="Times" w:hAnsi="Times"/>
                <w:snapToGrid w:val="0"/>
              </w:rPr>
              <w:t xml:space="preserve">19 Sep 2007 (see s. 2 and </w:t>
            </w:r>
            <w:r>
              <w:rPr>
                <w:rFonts w:ascii="Times" w:hAnsi="Times"/>
                <w:i/>
                <w:iCs/>
                <w:snapToGrid w:val="0"/>
              </w:rPr>
              <w:t>Gazette</w:t>
            </w:r>
            <w:r>
              <w:rPr>
                <w:rFonts w:ascii="Times" w:hAnsi="Times"/>
                <w:snapToGrid w:val="0"/>
              </w:rPr>
              <w:t xml:space="preserve"> 18 Sep 2007 p. 4711)</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snapToGrid w:val="0"/>
              </w:rPr>
            </w:pPr>
            <w:r>
              <w:rPr>
                <w:i/>
                <w:iCs/>
                <w:snapToGrid w:val="0"/>
              </w:rPr>
              <w:t>Statutes (Repeals and Miscellaneous Amendments) Act 2009</w:t>
            </w:r>
            <w:r>
              <w:rPr>
                <w:snapToGrid w:val="0"/>
              </w:rPr>
              <w:t xml:space="preserve"> s. 107</w:t>
            </w:r>
          </w:p>
        </w:tc>
        <w:tc>
          <w:tcPr>
            <w:tcW w:w="1134" w:type="dxa"/>
            <w:tcBorders>
              <w:top w:val="nil"/>
              <w:bottom w:val="nil"/>
            </w:tcBorders>
          </w:tcPr>
          <w:p>
            <w:pPr>
              <w:pStyle w:val="nTable"/>
              <w:spacing w:after="40"/>
              <w:rPr>
                <w:snapToGrid w:val="0"/>
              </w:rPr>
            </w:pPr>
            <w:r>
              <w:rPr>
                <w:snapToGrid w:val="0"/>
              </w:rPr>
              <w:t>8 of 2009</w:t>
            </w:r>
          </w:p>
        </w:tc>
        <w:tc>
          <w:tcPr>
            <w:tcW w:w="1134" w:type="dxa"/>
            <w:tcBorders>
              <w:top w:val="nil"/>
              <w:bottom w:val="nil"/>
            </w:tcBorders>
          </w:tcPr>
          <w:p>
            <w:pPr>
              <w:pStyle w:val="nTable"/>
              <w:spacing w:after="40"/>
            </w:pPr>
            <w:r>
              <w:t>21 May 2009</w:t>
            </w:r>
          </w:p>
        </w:tc>
        <w:tc>
          <w:tcPr>
            <w:tcW w:w="2552" w:type="dxa"/>
            <w:gridSpan w:val="2"/>
            <w:tcBorders>
              <w:top w:val="nil"/>
              <w:bottom w:val="nil"/>
            </w:tcBorders>
          </w:tcPr>
          <w:p>
            <w:pPr>
              <w:pStyle w:val="nTable"/>
              <w:spacing w:after="40"/>
              <w:rPr>
                <w:rFonts w:ascii="Times" w:hAnsi="Times"/>
                <w:snapToGrid w:val="0"/>
              </w:rPr>
            </w:pPr>
            <w:r>
              <w:rPr>
                <w:rFonts w:ascii="Times" w:hAnsi="Times"/>
                <w:snapToGrid w:val="0"/>
              </w:rP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73</w:t>
            </w:r>
          </w:p>
        </w:tc>
        <w:tc>
          <w:tcPr>
            <w:tcW w:w="1134" w:type="dxa"/>
          </w:tcPr>
          <w:p>
            <w:pPr>
              <w:pStyle w:val="nTable"/>
              <w:spacing w:after="40"/>
            </w:pPr>
            <w:r>
              <w:t>18 of 2009</w:t>
            </w:r>
          </w:p>
        </w:tc>
        <w:tc>
          <w:tcPr>
            <w:tcW w:w="1134" w:type="dxa"/>
          </w:tcPr>
          <w:p>
            <w:pPr>
              <w:pStyle w:val="nTable"/>
              <w:spacing w:after="40"/>
            </w:pPr>
            <w:r>
              <w:t>16 Sep 2009</w:t>
            </w:r>
          </w:p>
        </w:tc>
        <w:tc>
          <w:tcPr>
            <w:tcW w:w="2552" w:type="dxa"/>
            <w:gridSpan w:val="2"/>
          </w:tcPr>
          <w:p>
            <w:pPr>
              <w:pStyle w:val="nTable"/>
              <w:spacing w:after="40"/>
            </w:pPr>
            <w:r>
              <w:t>17 Sep 2009 (see s. 2(b))</w:t>
            </w:r>
          </w:p>
        </w:tc>
      </w:tr>
      <w:tr>
        <w:trPr>
          <w:cantSplit/>
        </w:trPr>
        <w:tc>
          <w:tcPr>
            <w:tcW w:w="7087" w:type="dxa"/>
            <w:gridSpan w:val="5"/>
          </w:tcPr>
          <w:p>
            <w:pPr>
              <w:pStyle w:val="nTable"/>
              <w:spacing w:after="40"/>
            </w:pPr>
            <w:r>
              <w:rPr>
                <w:b/>
                <w:bCs/>
              </w:rPr>
              <w:t xml:space="preserve">Reprint 3: The </w:t>
            </w:r>
            <w:r>
              <w:rPr>
                <w:b/>
                <w:bCs/>
                <w:i/>
                <w:iCs/>
              </w:rPr>
              <w:t>Radiation Safety Act 1975</w:t>
            </w:r>
            <w:r>
              <w:rPr>
                <w:b/>
                <w:bCs/>
              </w:rPr>
              <w:t xml:space="preserve"> as at 6 Nov 2009</w:t>
            </w:r>
            <w:r>
              <w:t xml:space="preserve"> (includes amendments listed above)</w:t>
            </w:r>
          </w:p>
        </w:tc>
      </w:tr>
      <w:tr>
        <w:trPr>
          <w:cantSplit/>
        </w:trPr>
        <w:tc>
          <w:tcPr>
            <w:tcW w:w="2267" w:type="dxa"/>
          </w:tcPr>
          <w:p>
            <w:pPr>
              <w:pStyle w:val="nTable"/>
              <w:spacing w:after="40"/>
              <w:rPr>
                <w:iCs/>
                <w:snapToGrid w:val="0"/>
              </w:rPr>
            </w:pPr>
            <w:r>
              <w:rPr>
                <w:i/>
                <w:snapToGrid w:val="0"/>
              </w:rPr>
              <w:t xml:space="preserve">Health Practitioner Regulation National Law (WA) Act 2010 </w:t>
            </w:r>
            <w:r>
              <w:rPr>
                <w:snapToGrid w:val="0"/>
              </w:rPr>
              <w:t>Pt. 5 Div. 44</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gridSpan w:val="2"/>
          </w:tcPr>
          <w:p>
            <w:pPr>
              <w:pStyle w:val="nTable"/>
              <w:spacing w:after="40"/>
            </w:pPr>
            <w:r>
              <w:rPr>
                <w:iCs/>
                <w:snapToGrid w:val="0"/>
              </w:rPr>
              <w:t xml:space="preserve">s. 142, 146 and 147(1): </w:t>
            </w:r>
            <w:r>
              <w:rPr>
                <w:snapToGrid w:val="0"/>
              </w:rPr>
              <w:t xml:space="preserve">18 Oct 2010 (see s. 2(b) and </w:t>
            </w:r>
            <w:r>
              <w:rPr>
                <w:i/>
                <w:snapToGrid w:val="0"/>
              </w:rPr>
              <w:t xml:space="preserve">Gazette </w:t>
            </w:r>
            <w:r>
              <w:rPr>
                <w:iCs/>
                <w:snapToGrid w:val="0"/>
              </w:rPr>
              <w:t>1 Oct 2010 p. 5075-6</w:t>
            </w:r>
            <w:r>
              <w:rPr>
                <w:snapToGrid w:val="0"/>
              </w:rPr>
              <w:t>);</w:t>
            </w:r>
            <w:r>
              <w:rPr>
                <w:snapToGrid w:val="0"/>
              </w:rPr>
              <w:br/>
              <w:t xml:space="preserve">s. 143-145, 147(2)-(4), 148 and 149: 1 Jul 2012 (see s. 2(b) and </w:t>
            </w:r>
            <w:r>
              <w:rPr>
                <w:i/>
                <w:snapToGrid w:val="0"/>
              </w:rPr>
              <w:t>Gazette</w:t>
            </w:r>
            <w:r>
              <w:rPr>
                <w:snapToGrid w:val="0"/>
              </w:rPr>
              <w:t xml:space="preserve"> 19 Jun 2012 p. 2631)</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Borders>
              <w:bottom w:val="single" w:sz="4" w:space="0" w:color="auto"/>
            </w:tcBorders>
          </w:tcPr>
          <w:p>
            <w:pPr>
              <w:pStyle w:val="nTable"/>
              <w:spacing w:after="40"/>
              <w:rPr>
                <w:i/>
                <w:iCs/>
                <w:snapToGrid w:val="0"/>
              </w:rPr>
            </w:pPr>
            <w:r>
              <w:rPr>
                <w:i/>
                <w:iCs/>
                <w:snapToGrid w:val="0"/>
              </w:rPr>
              <w:t>Statutes (Repeals and Minor Amendments) Act 2014</w:t>
            </w:r>
            <w:r>
              <w:rPr>
                <w:iCs/>
                <w:snapToGrid w:val="0"/>
              </w:rPr>
              <w:t xml:space="preserve"> s. 33</w:t>
            </w:r>
          </w:p>
        </w:tc>
        <w:tc>
          <w:tcPr>
            <w:tcW w:w="1134" w:type="dxa"/>
            <w:tcBorders>
              <w:bottom w:val="single" w:sz="4" w:space="0" w:color="auto"/>
            </w:tcBorders>
          </w:tcPr>
          <w:p>
            <w:pPr>
              <w:pStyle w:val="nTable"/>
              <w:spacing w:after="40"/>
              <w:rPr>
                <w:snapToGrid w:val="0"/>
              </w:rPr>
            </w:pPr>
            <w:r>
              <w:rPr>
                <w:snapToGrid w:val="0"/>
              </w:rPr>
              <w:t>17 of 2014</w:t>
            </w:r>
          </w:p>
        </w:tc>
        <w:tc>
          <w:tcPr>
            <w:tcW w:w="1134" w:type="dxa"/>
            <w:tcBorders>
              <w:bottom w:val="single" w:sz="4" w:space="0" w:color="auto"/>
            </w:tcBorders>
          </w:tcPr>
          <w:p>
            <w:pPr>
              <w:pStyle w:val="nTable"/>
              <w:spacing w:after="40"/>
              <w:rPr>
                <w:snapToGrid w:val="0"/>
              </w:rPr>
            </w:pPr>
            <w:r>
              <w:rPr>
                <w:snapToGrid w:val="0"/>
              </w:rPr>
              <w:t>2 Jul 2014</w:t>
            </w:r>
          </w:p>
        </w:tc>
        <w:tc>
          <w:tcPr>
            <w:tcW w:w="2552" w:type="dxa"/>
            <w:gridSpan w:val="2"/>
            <w:tcBorders>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rPr>
          <w:i/>
          <w:iCs/>
        </w:rPr>
      </w:pPr>
      <w:r>
        <w:rPr>
          <w:vertAlign w:val="superscript"/>
        </w:rPr>
        <w:t>2</w:t>
      </w:r>
      <w:r>
        <w:tab/>
        <w:t>Repealed by section 5 of this Act</w:t>
      </w:r>
      <w:r>
        <w:rPr>
          <w:i/>
          <w:iCs/>
        </w:rPr>
        <w:t>.</w:t>
      </w:r>
    </w:p>
    <w:p>
      <w:pPr>
        <w:pStyle w:val="nSubsection"/>
        <w:keepNext/>
        <w:keepLines/>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2 cl. 44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158" w:name="_Toc435023395"/>
      <w:r>
        <w:rPr>
          <w:sz w:val="28"/>
        </w:rPr>
        <w:t>Defined terms</w:t>
      </w:r>
      <w:bookmarkEnd w:id="1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authorisation</w:t>
      </w:r>
      <w:r>
        <w:tab/>
        <w:t>41A(1)</w:t>
      </w:r>
    </w:p>
    <w:p>
      <w:pPr>
        <w:pStyle w:val="DefinedTerms"/>
      </w:pPr>
      <w:r>
        <w:t>authorised officer</w:t>
      </w:r>
      <w:r>
        <w:tab/>
        <w:t>4</w:t>
      </w:r>
    </w:p>
    <w:p>
      <w:pPr>
        <w:pStyle w:val="DefinedTerms"/>
      </w:pPr>
      <w:r>
        <w:t>Board</w:t>
      </w:r>
      <w:r>
        <w:tab/>
        <w:t>4</w:t>
      </w:r>
    </w:p>
    <w:p>
      <w:pPr>
        <w:pStyle w:val="DefinedTerms"/>
      </w:pPr>
      <w:r>
        <w:t>Council</w:t>
      </w:r>
      <w:r>
        <w:tab/>
        <w:t>4</w:t>
      </w:r>
    </w:p>
    <w:p>
      <w:pPr>
        <w:pStyle w:val="DefinedTerms"/>
      </w:pPr>
      <w:r>
        <w:t>electronic product</w:t>
      </w:r>
      <w:r>
        <w:tab/>
        <w:t>4</w:t>
      </w:r>
    </w:p>
    <w:p>
      <w:pPr>
        <w:pStyle w:val="DefinedTerms"/>
      </w:pPr>
      <w:r>
        <w:t>Executive Director</w:t>
      </w:r>
      <w:r>
        <w:tab/>
        <w:t>4</w:t>
      </w:r>
    </w:p>
    <w:p>
      <w:pPr>
        <w:pStyle w:val="DefinedTerms"/>
      </w:pPr>
      <w:r>
        <w:t>irradiating apparatus</w:t>
      </w:r>
      <w:r>
        <w:tab/>
        <w:t>4</w:t>
      </w:r>
    </w:p>
    <w:p>
      <w:pPr>
        <w:pStyle w:val="DefinedTerms"/>
      </w:pPr>
      <w:r>
        <w:t>medical radiation practitioner</w:t>
      </w:r>
      <w:r>
        <w:tab/>
        <w:t>4</w:t>
      </w:r>
    </w:p>
    <w:p>
      <w:pPr>
        <w:pStyle w:val="DefinedTerms"/>
      </w:pPr>
      <w:r>
        <w:t>medical radiation technology</w:t>
      </w:r>
      <w:r>
        <w:tab/>
        <w:t>4</w:t>
      </w:r>
    </w:p>
    <w:p>
      <w:pPr>
        <w:pStyle w:val="DefinedTerms"/>
      </w:pPr>
      <w:r>
        <w:t>nuclear waste</w:t>
      </w:r>
      <w:r>
        <w:tab/>
        <w:t>41A(1)</w:t>
      </w:r>
    </w:p>
    <w:p>
      <w:pPr>
        <w:pStyle w:val="DefinedTerms"/>
      </w:pPr>
      <w:r>
        <w:t>owner</w:t>
      </w:r>
      <w:r>
        <w:tab/>
        <w:t>4</w:t>
      </w:r>
    </w:p>
    <w:p>
      <w:pPr>
        <w:pStyle w:val="DefinedTerms"/>
      </w:pPr>
      <w:r>
        <w:t>purchaser</w:t>
      </w:r>
      <w:r>
        <w:tab/>
        <w:t>4</w:t>
      </w:r>
    </w:p>
    <w:p>
      <w:pPr>
        <w:pStyle w:val="DefinedTerms"/>
      </w:pPr>
      <w:r>
        <w:t>radioactive substance</w:t>
      </w:r>
      <w:r>
        <w:tab/>
        <w:t>4</w:t>
      </w:r>
    </w:p>
    <w:p>
      <w:pPr>
        <w:pStyle w:val="DefinedTerms"/>
      </w:pPr>
      <w:r>
        <w:t>sell</w:t>
      </w:r>
      <w:r>
        <w:tab/>
        <w:t>4</w:t>
      </w:r>
    </w:p>
    <w:p>
      <w:pPr>
        <w:pStyle w:val="DefinedTerms"/>
      </w:pPr>
      <w:r>
        <w:t>supervisor</w:t>
      </w:r>
      <w:r>
        <w:tab/>
        <w:t>27(2)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03-i0-02</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55</w:t>
    </w:r>
    <w: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9" w:name="DefinedTerms"/>
    <w:bookmarkEnd w:id="15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0" w:name="Coversheet"/>
    <w:bookmarkEnd w:id="1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404D3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535"/>
    <w:docVar w:name="WAFER_20140124140624" w:val="RemoveTocBookmarks,RemoveUnusedBookmarks,RemoveLanguageTags,UsedStyles,ResetPageSize,UpdateArrangement"/>
    <w:docVar w:name="WAFER_20140124140624_GUID" w:val="561d8698-4637-4f32-a28b-4ee36681e9e4"/>
    <w:docVar w:name="WAFER_20140124143756" w:val="RemoveTocBookmarks,RunningHeaders"/>
    <w:docVar w:name="WAFER_20140124143756_GUID" w:val="6d09d495-631a-4f6d-b3e6-2a727c1d4e3f"/>
    <w:docVar w:name="WAFER_20150710114009" w:val="ResetPageSize,UpdateArrangement,UpdateNTable"/>
    <w:docVar w:name="WAFER_20150710114009_GUID" w:val="183e2a4b-f481-46c9-90e3-5c364b49cfaf"/>
    <w:docVar w:name="WAFER_20151111162535" w:val="UpdateStyles,UsedStyles"/>
    <w:docVar w:name="WAFER_20151111162535_GUID" w:val="6dd91083-a9ea-4419-a645-05aea498d1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14433</Words>
  <Characters>70869</Characters>
  <Application>Microsoft Office Word</Application>
  <DocSecurity>0</DocSecurity>
  <Lines>1864</Lines>
  <Paragraphs>879</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84423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1975 - 03-i0-02</dc:title>
  <dc:subject/>
  <dc:creator/>
  <cp:keywords/>
  <dc:description/>
  <cp:lastModifiedBy>svcMRProcess</cp:lastModifiedBy>
  <cp:revision>4</cp:revision>
  <cp:lastPrinted>2009-11-03T00:33:00Z</cp:lastPrinted>
  <dcterms:created xsi:type="dcterms:W3CDTF">2015-11-11T09:10:00Z</dcterms:created>
  <dcterms:modified xsi:type="dcterms:W3CDTF">2015-11-11T09:10:00Z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655</vt:i4>
  </property>
  <property fmtid="{D5CDD505-2E9C-101B-9397-08002B2CF9AE}" pid="6" name="ReprintNo">
    <vt:lpwstr>3</vt:lpwstr>
  </property>
  <property fmtid="{D5CDD505-2E9C-101B-9397-08002B2CF9AE}" pid="7" name="AsAtDate">
    <vt:lpwstr>06 Sep 2014</vt:lpwstr>
  </property>
  <property fmtid="{D5CDD505-2E9C-101B-9397-08002B2CF9AE}" pid="8" name="Suffix">
    <vt:lpwstr>03-i0-02</vt:lpwstr>
  </property>
</Properties>
</file>