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Road Traffic Act 1974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(Infringements) Regulations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856"/>
      </w:pPr>
      <w:r>
        <w:fldChar w:fldCharType="begin"/>
      </w:r>
      <w:r>
        <w:instrText xml:space="preserve"> STYLEREF "Name Of Act/Reg"</w:instrText>
      </w:r>
      <w:r>
        <w:fldChar w:fldCharType="separate"/>
      </w:r>
      <w:r>
        <w:rPr>
          <w:noProof/>
        </w:rPr>
        <w:t>Road Traffic (Infringements)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_Toc397942049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novice driver (type 1A)</w:t>
      </w:r>
      <w:r>
        <w:tab/>
      </w:r>
      <w:r>
        <w:fldChar w:fldCharType="begin"/>
      </w:r>
      <w:r>
        <w:instrText xml:space="preserve"> PAGEREF _Toc397942050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Offences and penalties prescribed (Act s. 102)</w:t>
      </w:r>
      <w:r>
        <w:tab/>
      </w:r>
      <w:r>
        <w:fldChar w:fldCharType="begin"/>
      </w:r>
      <w:r>
        <w:instrText xml:space="preserve"> PAGEREF _Toc397942051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officers (Act s. 102(5))</w:t>
      </w:r>
      <w:r>
        <w:tab/>
      </w:r>
      <w:r>
        <w:fldChar w:fldCharType="begin"/>
      </w:r>
      <w:r>
        <w:instrText xml:space="preserve"> PAGEREF _Toc397942052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Altering infringement notice, offence</w:t>
      </w:r>
      <w:r>
        <w:tab/>
      </w:r>
      <w:r>
        <w:fldChar w:fldCharType="begin"/>
      </w:r>
      <w:r>
        <w:instrText xml:space="preserve"> PAGEREF _Toc397942053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forms (Act s. 102(1))</w:t>
      </w:r>
      <w:r>
        <w:tab/>
      </w:r>
      <w:r>
        <w:fldChar w:fldCharType="begin"/>
      </w:r>
      <w:r>
        <w:instrText xml:space="preserve"> PAGEREF _Toc397942054 \h </w:instrText>
      </w:r>
      <w:r>
        <w:fldChar w:fldCharType="separate"/>
      </w:r>
      <w:r>
        <w:t>4</w:t>
      </w:r>
      <w:r>
        <w:fldChar w:fldCharType="end"/>
      </w:r>
    </w:p>
    <w:p>
      <w:pPr>
        <w:pStyle w:val="TOC2"/>
        <w:tabs>
          <w:tab w:val="right" w:leader="dot" w:pos="7083"/>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83"/>
        </w:tabs>
        <w:rPr>
          <w:rFonts w:asciiTheme="minorHAnsi" w:eastAsiaTheme="minorEastAsia" w:hAnsiTheme="minorHAnsi" w:cstheme="minorBidi"/>
          <w:b w:val="0"/>
          <w:sz w:val="22"/>
          <w:szCs w:val="22"/>
        </w:rPr>
      </w:pPr>
      <w:r>
        <w:t>Schedule 2 — Forms</w:t>
      </w:r>
    </w:p>
    <w:p>
      <w:pPr>
        <w:pStyle w:val="TOC2"/>
        <w:tabs>
          <w:tab w:val="right" w:leader="dot" w:pos="7083"/>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_Toc397942058 \h </w:instrText>
      </w:r>
      <w:r>
        <w:fldChar w:fldCharType="separate"/>
      </w:r>
      <w:r>
        <w:t>17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_Toc397942059 \h </w:instrText>
      </w:r>
      <w:r>
        <w:fldChar w:fldCharType="separate"/>
      </w:r>
      <w:r>
        <w:t>22</w:t>
      </w:r>
      <w:r>
        <w:fldChar w:fldCharType="end"/>
      </w:r>
    </w:p>
    <w:p>
      <w:pPr>
        <w:pStyle w:val="TOC2"/>
        <w:tabs>
          <w:tab w:val="right" w:leader="dot" w:pos="7083"/>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8"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Road Traffic Act 1974</w:t>
      </w:r>
    </w:p>
    <w:p>
      <w:pPr>
        <w:pStyle w:val="NameofActReg"/>
        <w:spacing w:after="720"/>
      </w:pPr>
      <w:r>
        <w:t>Road Traffic (Infringements) Regulations 1975</w:t>
      </w:r>
    </w:p>
    <w:p>
      <w:pPr>
        <w:pStyle w:val="Heading5"/>
        <w:spacing w:before="240"/>
        <w:rPr>
          <w:snapToGrid w:val="0"/>
        </w:rPr>
      </w:pPr>
      <w:bookmarkStart w:id="1" w:name="_Toc397942049"/>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spacing w:before="240"/>
      </w:pPr>
      <w:bookmarkStart w:id="2" w:name="_Toc397942050"/>
      <w:r>
        <w:rPr>
          <w:rStyle w:val="CharSectno"/>
        </w:rPr>
        <w:t>2</w:t>
      </w:r>
      <w:r>
        <w:t>.</w:t>
      </w:r>
      <w:r>
        <w:tab/>
        <w:t>Term used: novice driver (type 1A)</w:t>
      </w:r>
      <w:bookmarkEnd w:id="2"/>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spacing w:before="240"/>
        <w:rPr>
          <w:snapToGrid w:val="0"/>
        </w:rPr>
      </w:pPr>
      <w:bookmarkStart w:id="3" w:name="_Toc397942051"/>
      <w:r>
        <w:rPr>
          <w:rStyle w:val="CharSectno"/>
        </w:rPr>
        <w:t>3</w:t>
      </w:r>
      <w:r>
        <w:rPr>
          <w:snapToGrid w:val="0"/>
        </w:rPr>
        <w:t>.</w:t>
      </w:r>
      <w:r>
        <w:rPr>
          <w:snapToGrid w:val="0"/>
        </w:rPr>
        <w:tab/>
        <w:t>Offences and penalties prescribed (Act s. 102)</w:t>
      </w:r>
      <w:bookmarkEnd w:id="3"/>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spacing w:before="180"/>
      </w:pPr>
      <w:r>
        <w:tab/>
        <w:t>(2)</w:t>
      </w:r>
      <w:r>
        <w:tab/>
        <w:t>In Schedule 1 column 1 a reference to a provision that creates an offence when read with section 107 of the Act shall be taken to include a reference to the provision read with section 107.</w:t>
      </w:r>
    </w:p>
    <w:p>
      <w:pPr>
        <w:pStyle w:val="Subsection"/>
        <w:spacing w:before="18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4" w:name="_Toc397942052"/>
      <w:r>
        <w:rPr>
          <w:rStyle w:val="CharSectno"/>
        </w:rPr>
        <w:t>4</w:t>
      </w:r>
      <w:r>
        <w:rPr>
          <w:snapToGrid w:val="0"/>
        </w:rPr>
        <w:t>.</w:t>
      </w:r>
      <w:r>
        <w:rPr>
          <w:snapToGrid w:val="0"/>
        </w:rPr>
        <w:tab/>
        <w:t>Prescribed officers (Act s. 102(5))</w:t>
      </w:r>
      <w:bookmarkEnd w:id="4"/>
    </w:p>
    <w:p>
      <w:pPr>
        <w:pStyle w:val="Subsection"/>
        <w:keepNext/>
        <w:keepLines/>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pPr>
      <w:r>
        <w:tab/>
        <w:t>(a)</w:t>
      </w:r>
      <w:r>
        <w:tab/>
        <w:t>the General Manager, Licensing Business Unit, Department of Transport; or</w:t>
      </w:r>
    </w:p>
    <w:p>
      <w:pPr>
        <w:pStyle w:val="Indenta"/>
      </w:pPr>
      <w:r>
        <w:tab/>
        <w:t>(b)</w:t>
      </w:r>
      <w:r>
        <w:tab/>
        <w:t>the Principal Prosecutions Officer, Prosecutions, Department of Transport; or</w:t>
      </w:r>
    </w:p>
    <w:p>
      <w:pPr>
        <w:pStyle w:val="Indenta"/>
      </w:pPr>
      <w:r>
        <w:tab/>
        <w:t>(c)</w:t>
      </w:r>
      <w:r>
        <w:tab/>
        <w:t>the Senior Prosecutions Officer, Prosecutions, Department of Transport; or</w:t>
      </w:r>
    </w:p>
    <w:p>
      <w:pPr>
        <w:pStyle w:val="Indenta"/>
      </w:pPr>
      <w:r>
        <w:tab/>
        <w:t>(d)</w:t>
      </w:r>
      <w:r>
        <w:tab/>
        <w:t>the Prosecutions Officer, Prosecutions, Department of Transport.</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16 Oct 2009 p. 4069.] </w:t>
      </w:r>
    </w:p>
    <w:p>
      <w:pPr>
        <w:pStyle w:val="Ednotesection"/>
        <w:spacing w:before="180"/>
      </w:pPr>
      <w:r>
        <w:t>[</w:t>
      </w:r>
      <w:r>
        <w:rPr>
          <w:b/>
        </w:rPr>
        <w:t>5.</w:t>
      </w:r>
      <w:r>
        <w:tab/>
        <w:t xml:space="preserve">Deleted in Gazette 21 Dec 1990 p. 6288.] </w:t>
      </w:r>
    </w:p>
    <w:p>
      <w:pPr>
        <w:pStyle w:val="Heading5"/>
        <w:spacing w:before="180"/>
        <w:rPr>
          <w:snapToGrid w:val="0"/>
        </w:rPr>
      </w:pPr>
      <w:bookmarkStart w:id="5" w:name="_Toc397942053"/>
      <w:r>
        <w:rPr>
          <w:rStyle w:val="CharSectno"/>
        </w:rPr>
        <w:t>6</w:t>
      </w:r>
      <w:r>
        <w:rPr>
          <w:snapToGrid w:val="0"/>
        </w:rPr>
        <w:t>.</w:t>
      </w:r>
      <w:r>
        <w:rPr>
          <w:snapToGrid w:val="0"/>
        </w:rPr>
        <w:tab/>
        <w:t>Altering infringement notice, offence</w:t>
      </w:r>
      <w:bookmarkEnd w:id="5"/>
      <w:r>
        <w:rPr>
          <w:snapToGrid w:val="0"/>
        </w:rPr>
        <w:t xml:space="preserve"> </w:t>
      </w:r>
    </w:p>
    <w:p>
      <w:pPr>
        <w:pStyle w:val="Subsection"/>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ind w:left="890" w:hanging="890"/>
      </w:pPr>
      <w:r>
        <w:tab/>
        <w:t xml:space="preserve">[Regulation 6 inserted in Gazette 21 Dec 1990 p. 6288; amended in Gazette 17 Jan 1997 p. 440; 31 Jan 1997 p. 681; 23 Dec 1997 p. 7445.] </w:t>
      </w:r>
    </w:p>
    <w:p>
      <w:pPr>
        <w:pStyle w:val="Heading5"/>
        <w:rPr>
          <w:snapToGrid w:val="0"/>
        </w:rPr>
      </w:pPr>
      <w:bookmarkStart w:id="6" w:name="_Toc397942054"/>
      <w:r>
        <w:rPr>
          <w:rStyle w:val="CharSectno"/>
        </w:rPr>
        <w:t>7</w:t>
      </w:r>
      <w:r>
        <w:rPr>
          <w:snapToGrid w:val="0"/>
        </w:rPr>
        <w:t>.</w:t>
      </w:r>
      <w:r>
        <w:rPr>
          <w:snapToGrid w:val="0"/>
        </w:rPr>
        <w:tab/>
        <w:t>Prescribed forms (Act s. 102(1))</w:t>
      </w:r>
      <w:bookmarkEnd w:id="6"/>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 and</w:t>
      </w:r>
    </w:p>
    <w:p>
      <w:pPr>
        <w:pStyle w:val="Indenta"/>
      </w:pPr>
      <w:r>
        <w:tab/>
        <w:t>(b)</w:t>
      </w:r>
      <w:r>
        <w:tab/>
        <w:t>in the case of a traffic infringement notice under section 102A of the Act, the form set out in Schedule 2 Form 1, made out to the responsible person; and</w:t>
      </w:r>
    </w:p>
    <w:p>
      <w:pPr>
        <w:pStyle w:val="Indenta"/>
      </w:pPr>
      <w:r>
        <w:tab/>
        <w:t>(c)</w:t>
      </w:r>
      <w:r>
        <w:tab/>
        <w:t>in the case of a traffic infringement notice under section 102B of the Act, the form set out in Schedule 2 Form 2; and</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7" w:name="_Toc378863648"/>
      <w:bookmarkStart w:id="8" w:name="_Toc397942055"/>
      <w:r>
        <w:rPr>
          <w:rStyle w:val="CharSchNo"/>
        </w:rPr>
        <w:t>Schedule 1</w:t>
      </w:r>
      <w:r>
        <w:t> — </w:t>
      </w:r>
      <w:r>
        <w:rPr>
          <w:rStyle w:val="CharSchText"/>
        </w:rPr>
        <w:t>Prescribed offences and modified penalties</w:t>
      </w:r>
      <w:bookmarkEnd w:id="7"/>
      <w:bookmarkEnd w:id="8"/>
    </w:p>
    <w:p>
      <w:pPr>
        <w:pStyle w:val="yShoulderClause"/>
        <w:rPr>
          <w:snapToGrid w:val="0"/>
        </w:rPr>
      </w:pPr>
      <w:r>
        <w:rPr>
          <w:snapToGrid w:val="0"/>
        </w:rPr>
        <w:t>[Reg. 3]</w:t>
      </w:r>
    </w:p>
    <w:p>
      <w:pPr>
        <w:pStyle w:val="yFootnoteheading"/>
        <w:spacing w:after="12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175"/>
        <w:gridCol w:w="548"/>
      </w:tblGrid>
      <w:tr>
        <w:trPr>
          <w:cantSplit/>
          <w:tblHeader/>
        </w:trPr>
        <w:tc>
          <w:tcPr>
            <w:tcW w:w="2977" w:type="dxa"/>
            <w:tcBorders>
              <w:top w:val="single" w:sz="4" w:space="0" w:color="auto"/>
              <w:bottom w:val="single" w:sz="4" w:space="0" w:color="auto"/>
            </w:tcBorders>
          </w:tcPr>
          <w:p>
            <w:pPr>
              <w:pStyle w:val="yTableNAm"/>
              <w:rPr>
                <w:b/>
              </w:rPr>
            </w:pPr>
            <w:r>
              <w:rPr>
                <w:b/>
              </w:rPr>
              <w:t>Provision creating offence</w:t>
            </w:r>
          </w:p>
        </w:tc>
        <w:tc>
          <w:tcPr>
            <w:tcW w:w="3719" w:type="dxa"/>
            <w:gridSpan w:val="2"/>
            <w:tcBorders>
              <w:top w:val="single" w:sz="4" w:space="0" w:color="auto"/>
              <w:bottom w:val="single" w:sz="4" w:space="0" w:color="auto"/>
            </w:tcBorders>
          </w:tcPr>
          <w:p>
            <w:pPr>
              <w:pStyle w:val="yTableNAm"/>
              <w:rPr>
                <w:b/>
              </w:rPr>
            </w:pPr>
            <w:r>
              <w:rPr>
                <w:b/>
              </w:rPr>
              <w:t>Nature of offence</w:t>
            </w:r>
          </w:p>
        </w:tc>
        <w:tc>
          <w:tcPr>
            <w:tcW w:w="548" w:type="dxa"/>
            <w:tcBorders>
              <w:top w:val="single" w:sz="4" w:space="0" w:color="auto"/>
              <w:bottom w:val="single" w:sz="4" w:space="0" w:color="auto"/>
            </w:tcBorders>
          </w:tcPr>
          <w:p>
            <w:pPr>
              <w:pStyle w:val="yTableNAm"/>
              <w:rPr>
                <w:b/>
              </w:rPr>
            </w:pPr>
            <w:r>
              <w:rPr>
                <w:b/>
              </w:rPr>
              <w:t>PU</w:t>
            </w:r>
          </w:p>
        </w:tc>
      </w:tr>
      <w:tr>
        <w:trPr>
          <w:cantSplit/>
        </w:trPr>
        <w:tc>
          <w:tcPr>
            <w:tcW w:w="2977" w:type="dxa"/>
          </w:tcPr>
          <w:p>
            <w:pPr>
              <w:pStyle w:val="yTableNAm"/>
            </w:pPr>
            <w:r>
              <w:rPr>
                <w:i/>
              </w:rPr>
              <w:t>Road Traffic Act 1974</w:t>
            </w:r>
          </w:p>
        </w:tc>
        <w:tc>
          <w:tcPr>
            <w:tcW w:w="3719" w:type="dxa"/>
            <w:gridSpan w:val="2"/>
          </w:tcPr>
          <w:p>
            <w:pPr>
              <w:pStyle w:val="yTableNAm"/>
            </w:pPr>
          </w:p>
        </w:tc>
        <w:tc>
          <w:tcPr>
            <w:tcW w:w="548" w:type="dxa"/>
          </w:tcPr>
          <w:p>
            <w:pPr>
              <w:pStyle w:val="yTableNAm"/>
            </w:pPr>
          </w:p>
        </w:tc>
      </w:tr>
      <w:tr>
        <w:trPr>
          <w:cantSplit/>
        </w:trPr>
        <w:tc>
          <w:tcPr>
            <w:tcW w:w="2977" w:type="dxa"/>
          </w:tcPr>
          <w:p>
            <w:pPr>
              <w:pStyle w:val="yTableNAm"/>
            </w:pPr>
            <w:r>
              <w:t>1.</w:t>
            </w:r>
            <w:r>
              <w:tab/>
              <w:t>Section 24(1)</w:t>
            </w:r>
          </w:p>
        </w:tc>
        <w:tc>
          <w:tcPr>
            <w:tcW w:w="3719" w:type="dxa"/>
            <w:gridSpan w:val="2"/>
          </w:tcPr>
          <w:p>
            <w:pPr>
              <w:pStyle w:val="yTableNAm"/>
              <w:tabs>
                <w:tab w:val="clear" w:pos="567"/>
                <w:tab w:val="right" w:leader="dot" w:pos="3460"/>
              </w:tabs>
            </w:pPr>
            <w:r>
              <w:t>Failure of licence holder to forthwith notify change of vehicle ownership</w:t>
            </w:r>
            <w:r>
              <w:tab/>
            </w:r>
          </w:p>
        </w:tc>
        <w:tc>
          <w:tcPr>
            <w:tcW w:w="548" w:type="dxa"/>
          </w:tcPr>
          <w:p>
            <w:pPr>
              <w:pStyle w:val="yTableNAm"/>
            </w:pPr>
            <w:r>
              <w:br/>
              <w:t>2</w:t>
            </w:r>
          </w:p>
        </w:tc>
      </w:tr>
      <w:tr>
        <w:trPr>
          <w:cantSplit/>
        </w:trPr>
        <w:tc>
          <w:tcPr>
            <w:tcW w:w="2977" w:type="dxa"/>
          </w:tcPr>
          <w:p>
            <w:pPr>
              <w:pStyle w:val="yTableNAm"/>
            </w:pPr>
            <w:r>
              <w:t>2.</w:t>
            </w:r>
            <w:r>
              <w:tab/>
              <w:t>Section 24(2d)</w:t>
            </w:r>
          </w:p>
        </w:tc>
        <w:tc>
          <w:tcPr>
            <w:tcW w:w="3719" w:type="dxa"/>
            <w:gridSpan w:val="2"/>
          </w:tcPr>
          <w:p>
            <w:pPr>
              <w:pStyle w:val="yTableNAm"/>
              <w:tabs>
                <w:tab w:val="clear" w:pos="567"/>
                <w:tab w:val="right" w:leader="dot" w:pos="3460"/>
              </w:tabs>
            </w:pPr>
            <w:r>
              <w:t xml:space="preserve">Failure to apply for the transfer of a vehicle licence within 28 days after the issue of a notice under section 24(2a)(b) </w:t>
            </w:r>
            <w:r>
              <w:tab/>
            </w:r>
          </w:p>
        </w:tc>
        <w:tc>
          <w:tcPr>
            <w:tcW w:w="548" w:type="dxa"/>
          </w:tcPr>
          <w:p>
            <w:pPr>
              <w:pStyle w:val="yTableNAm"/>
            </w:pPr>
            <w:r>
              <w:br/>
            </w:r>
            <w:r>
              <w:br/>
              <w:t>2</w:t>
            </w:r>
          </w:p>
        </w:tc>
      </w:tr>
      <w:tr>
        <w:trPr>
          <w:cantSplit/>
        </w:trPr>
        <w:tc>
          <w:tcPr>
            <w:tcW w:w="2977" w:type="dxa"/>
          </w:tcPr>
          <w:p>
            <w:pPr>
              <w:pStyle w:val="yTableNAm"/>
            </w:pPr>
            <w:r>
              <w:rPr>
                <w:i/>
                <w:iCs/>
              </w:rPr>
              <w:t>[3, 4.</w:t>
            </w:r>
            <w:r>
              <w:rPr>
                <w:i/>
                <w:iCs/>
              </w:rPr>
              <w:tab/>
              <w:t>deleted]</w:t>
            </w:r>
          </w:p>
        </w:tc>
        <w:tc>
          <w:tcPr>
            <w:tcW w:w="3719" w:type="dxa"/>
            <w:gridSpan w:val="2"/>
          </w:tcPr>
          <w:p>
            <w:pPr>
              <w:pStyle w:val="yTableNAm"/>
            </w:pPr>
          </w:p>
        </w:tc>
        <w:tc>
          <w:tcPr>
            <w:tcW w:w="548" w:type="dxa"/>
          </w:tcPr>
          <w:p>
            <w:pPr>
              <w:pStyle w:val="yTableNAm"/>
            </w:pPr>
          </w:p>
        </w:tc>
      </w:tr>
      <w:tr>
        <w:trPr>
          <w:cantSplit/>
        </w:trPr>
        <w:tc>
          <w:tcPr>
            <w:tcW w:w="2977" w:type="dxa"/>
          </w:tcPr>
          <w:p>
            <w:pPr>
              <w:pStyle w:val="yTableNAm"/>
            </w:pPr>
            <w:r>
              <w:t>5.</w:t>
            </w:r>
            <w:r>
              <w:tab/>
              <w:t>Section 49(1)</w:t>
            </w:r>
          </w:p>
        </w:tc>
        <w:tc>
          <w:tcPr>
            <w:tcW w:w="3719" w:type="dxa"/>
            <w:gridSpan w:val="2"/>
          </w:tcPr>
          <w:p>
            <w:pPr>
              <w:pStyle w:val="yTableNAm"/>
              <w:tabs>
                <w:tab w:val="clear" w:pos="567"/>
                <w:tab w:val="right" w:leader="dot" w:pos="3460"/>
              </w:tabs>
            </w:pPr>
            <w:r>
              <w:t xml:space="preserve">Driving while not authorised, other than if s. 49(3) of the Act or item 5A applies </w:t>
            </w:r>
            <w:r>
              <w:tab/>
            </w:r>
          </w:p>
        </w:tc>
        <w:tc>
          <w:tcPr>
            <w:tcW w:w="548" w:type="dxa"/>
          </w:tcPr>
          <w:p>
            <w:pPr>
              <w:pStyle w:val="yTableNAm"/>
            </w:pPr>
            <w:r>
              <w:br/>
              <w:t>2</w:t>
            </w:r>
          </w:p>
        </w:tc>
      </w:tr>
      <w:tr>
        <w:trPr>
          <w:cantSplit/>
        </w:trPr>
        <w:tc>
          <w:tcPr>
            <w:tcW w:w="2977" w:type="dxa"/>
          </w:tcPr>
          <w:p>
            <w:pPr>
              <w:pStyle w:val="yTableNAm"/>
            </w:pPr>
            <w:r>
              <w:t>5A.</w:t>
            </w:r>
            <w:r>
              <w:tab/>
              <w:t>Section 49(1)</w:t>
            </w:r>
          </w:p>
        </w:tc>
        <w:tc>
          <w:tcPr>
            <w:tcW w:w="3719" w:type="dxa"/>
            <w:gridSpan w:val="2"/>
          </w:tcPr>
          <w:p>
            <w:pPr>
              <w:pStyle w:val="yTableNAm"/>
              <w:tabs>
                <w:tab w:val="clear" w:pos="567"/>
                <w:tab w:val="right" w:leader="dot" w:pos="3460"/>
              </w:tabs>
            </w:pPr>
            <w:r>
              <w:t xml:space="preserve">Driving while not authorised if the driving is by a novice driver (type 1A) and between midnight and the following 5 a.m., other than if s. 49(3) of the Act applies </w:t>
            </w:r>
            <w:r>
              <w:tab/>
            </w:r>
          </w:p>
        </w:tc>
        <w:tc>
          <w:tcPr>
            <w:tcW w:w="548" w:type="dxa"/>
          </w:tcPr>
          <w:p>
            <w:pPr>
              <w:pStyle w:val="yTableNAm"/>
            </w:pPr>
            <w:r>
              <w:br/>
            </w:r>
            <w:r>
              <w:br/>
            </w:r>
            <w:r>
              <w:br/>
            </w:r>
            <w:r>
              <w:br/>
              <w:t>4</w:t>
            </w:r>
          </w:p>
        </w:tc>
      </w:tr>
      <w:tr>
        <w:trPr>
          <w:cantSplit/>
        </w:trPr>
        <w:tc>
          <w:tcPr>
            <w:tcW w:w="2977" w:type="dxa"/>
          </w:tcPr>
          <w:p>
            <w:pPr>
              <w:pStyle w:val="yTableNAm"/>
            </w:pPr>
            <w:r>
              <w:t>6.</w:t>
            </w:r>
            <w:r>
              <w:tab/>
              <w:t>Section 50A(1)</w:t>
            </w:r>
          </w:p>
        </w:tc>
        <w:tc>
          <w:tcPr>
            <w:tcW w:w="3719" w:type="dxa"/>
            <w:gridSpan w:val="2"/>
          </w:tcPr>
          <w:p>
            <w:pPr>
              <w:pStyle w:val="yTableNAm"/>
              <w:tabs>
                <w:tab w:val="clear" w:pos="567"/>
                <w:tab w:val="right" w:leader="dot" w:pos="3460"/>
              </w:tabs>
            </w:pPr>
            <w:r>
              <w:t xml:space="preserve">Failure to carry or produce documents to do with authorisation other than Australian driver licence </w:t>
            </w:r>
            <w:r>
              <w:tab/>
            </w:r>
          </w:p>
        </w:tc>
        <w:tc>
          <w:tcPr>
            <w:tcW w:w="548" w:type="dxa"/>
          </w:tcPr>
          <w:p>
            <w:pPr>
              <w:pStyle w:val="yTableNAm"/>
            </w:pPr>
            <w:r>
              <w:br/>
            </w:r>
            <w:r>
              <w:br/>
              <w:t>1</w:t>
            </w:r>
          </w:p>
        </w:tc>
      </w:tr>
      <w:tr>
        <w:trPr>
          <w:cantSplit/>
        </w:trPr>
        <w:tc>
          <w:tcPr>
            <w:tcW w:w="2977" w:type="dxa"/>
          </w:tcPr>
          <w:p>
            <w:pPr>
              <w:pStyle w:val="yTableNAm"/>
            </w:pPr>
            <w:r>
              <w:t>7.</w:t>
            </w:r>
            <w:r>
              <w:tab/>
              <w:t>Section 53(2)</w:t>
            </w:r>
          </w:p>
        </w:tc>
        <w:tc>
          <w:tcPr>
            <w:tcW w:w="3719" w:type="dxa"/>
            <w:gridSpan w:val="2"/>
          </w:tcPr>
          <w:p>
            <w:pPr>
              <w:pStyle w:val="yTableNAm"/>
              <w:tabs>
                <w:tab w:val="clear" w:pos="567"/>
                <w:tab w:val="right" w:leader="dot" w:pos="3460"/>
              </w:tabs>
            </w:pPr>
            <w:r>
              <w:t>Failure to produce a driver’s licence within a reasonable time after demand, or at all</w:t>
            </w:r>
            <w:r>
              <w:tab/>
            </w:r>
          </w:p>
        </w:tc>
        <w:tc>
          <w:tcPr>
            <w:tcW w:w="548" w:type="dxa"/>
            <w:vAlign w:val="bottom"/>
          </w:tcPr>
          <w:p>
            <w:pPr>
              <w:pStyle w:val="yTableNAm"/>
            </w:pPr>
          </w:p>
          <w:p>
            <w:pPr>
              <w:pStyle w:val="yTableNAm"/>
            </w:pPr>
            <w:r>
              <w:t>1</w:t>
            </w:r>
          </w:p>
        </w:tc>
      </w:tr>
      <w:tr>
        <w:trPr>
          <w:cantSplit/>
        </w:trPr>
        <w:tc>
          <w:tcPr>
            <w:tcW w:w="2977" w:type="dxa"/>
          </w:tcPr>
          <w:p>
            <w:pPr>
              <w:pStyle w:val="yTableNAm"/>
            </w:pPr>
            <w:r>
              <w:t>8.</w:t>
            </w:r>
            <w:r>
              <w:tab/>
              <w:t>Section 62</w:t>
            </w:r>
          </w:p>
        </w:tc>
        <w:tc>
          <w:tcPr>
            <w:tcW w:w="3719" w:type="dxa"/>
            <w:gridSpan w:val="2"/>
          </w:tcPr>
          <w:p>
            <w:pPr>
              <w:pStyle w:val="yTableNAm"/>
              <w:tabs>
                <w:tab w:val="clear" w:pos="567"/>
                <w:tab w:val="right" w:leader="dot" w:pos="3460"/>
              </w:tabs>
            </w:pPr>
            <w:r>
              <w:t>Careless driving</w:t>
            </w:r>
            <w:r>
              <w:tab/>
            </w:r>
          </w:p>
        </w:tc>
        <w:tc>
          <w:tcPr>
            <w:tcW w:w="548" w:type="dxa"/>
          </w:tcPr>
          <w:p>
            <w:pPr>
              <w:pStyle w:val="yTableNAm"/>
            </w:pPr>
            <w:r>
              <w:t>2</w:t>
            </w:r>
          </w:p>
        </w:tc>
      </w:tr>
      <w:tr>
        <w:trPr>
          <w:cantSplit/>
        </w:trPr>
        <w:tc>
          <w:tcPr>
            <w:tcW w:w="2977" w:type="dxa"/>
          </w:tcPr>
          <w:p>
            <w:pPr>
              <w:pStyle w:val="yTableNAm"/>
              <w:rPr>
                <w:szCs w:val="19"/>
              </w:rPr>
            </w:pPr>
            <w:r>
              <w:rPr>
                <w:szCs w:val="19"/>
              </w:rPr>
              <w:t>9.</w:t>
            </w:r>
            <w:r>
              <w:rPr>
                <w:szCs w:val="19"/>
              </w:rPr>
              <w:tab/>
              <w:t>Section 64AA</w:t>
            </w:r>
          </w:p>
        </w:tc>
        <w:tc>
          <w:tcPr>
            <w:tcW w:w="3719" w:type="dxa"/>
            <w:gridSpan w:val="2"/>
          </w:tcPr>
          <w:p>
            <w:pPr>
              <w:pStyle w:val="yTableNAm"/>
              <w:tabs>
                <w:tab w:val="clear" w:pos="567"/>
                <w:tab w:val="right" w:leader="dot" w:pos="3460"/>
              </w:tabs>
              <w:rPr>
                <w:szCs w:val="19"/>
              </w:rPr>
            </w:pPr>
            <w:r>
              <w:rPr>
                <w:szCs w:val="19"/>
              </w:rPr>
              <w:t xml:space="preserve">A first offence of driving or attempting to drive a motor vehicle while having a blood alcohol content of or above 0.05 g of alcohol per 100 mL of </w:t>
            </w:r>
            <w:r>
              <w:t>blood</w:t>
            </w:r>
            <w:r>
              <w:tab/>
            </w:r>
          </w:p>
        </w:tc>
        <w:tc>
          <w:tcPr>
            <w:tcW w:w="548" w:type="dxa"/>
          </w:tcPr>
          <w:p>
            <w:pPr>
              <w:pStyle w:val="yTableNAm"/>
              <w:rPr>
                <w:szCs w:val="19"/>
              </w:rPr>
            </w:pPr>
            <w:r>
              <w:rPr>
                <w:szCs w:val="19"/>
              </w:rPr>
              <w:br/>
            </w:r>
            <w:r>
              <w:rPr>
                <w:szCs w:val="19"/>
              </w:rPr>
              <w:br/>
            </w:r>
            <w:r>
              <w:rPr>
                <w:szCs w:val="19"/>
              </w:rPr>
              <w:br/>
              <w:t>5</w:t>
            </w:r>
          </w:p>
        </w:tc>
      </w:tr>
      <w:tr>
        <w:trPr>
          <w:cantSplit/>
        </w:trPr>
        <w:tc>
          <w:tcPr>
            <w:tcW w:w="2977" w:type="dxa"/>
          </w:tcPr>
          <w:p>
            <w:pPr>
              <w:pStyle w:val="yTableNAm"/>
              <w:rPr>
                <w:szCs w:val="19"/>
              </w:rPr>
            </w:pPr>
            <w:r>
              <w:rPr>
                <w:szCs w:val="19"/>
              </w:rPr>
              <w:t>9A.</w:t>
            </w:r>
            <w:r>
              <w:rPr>
                <w:szCs w:val="19"/>
              </w:rPr>
              <w:tab/>
              <w:t>Section 64AAA</w:t>
            </w:r>
          </w:p>
        </w:tc>
        <w:tc>
          <w:tcPr>
            <w:tcW w:w="3719" w:type="dxa"/>
            <w:gridSpan w:val="2"/>
          </w:tcPr>
          <w:p>
            <w:pPr>
              <w:pStyle w:val="yTableNAm"/>
              <w:tabs>
                <w:tab w:val="clear" w:pos="567"/>
                <w:tab w:val="right" w:leader="dot" w:pos="3460"/>
              </w:tabs>
              <w:rPr>
                <w:szCs w:val="19"/>
              </w:rPr>
            </w:pPr>
            <w:r>
              <w:rPr>
                <w:szCs w:val="19"/>
              </w:rPr>
              <w:t xml:space="preserve">Driving or attempting to drive a motor vehicle while having any blood alcohol content </w:t>
            </w:r>
            <w:r>
              <w:rPr>
                <w:szCs w:val="19"/>
              </w:rPr>
              <w:tab/>
            </w:r>
          </w:p>
        </w:tc>
        <w:tc>
          <w:tcPr>
            <w:tcW w:w="548" w:type="dxa"/>
          </w:tcPr>
          <w:p>
            <w:pPr>
              <w:pStyle w:val="yTableNAm"/>
              <w:rPr>
                <w:szCs w:val="19"/>
              </w:rPr>
            </w:pPr>
            <w:r>
              <w:rPr>
                <w:szCs w:val="19"/>
              </w:rPr>
              <w:br/>
            </w:r>
            <w:r>
              <w:rPr>
                <w:szCs w:val="19"/>
              </w:rPr>
              <w:br/>
              <w:t>2</w:t>
            </w:r>
          </w:p>
        </w:tc>
      </w:tr>
      <w:tr>
        <w:trPr>
          <w:cantSplit/>
        </w:trPr>
        <w:tc>
          <w:tcPr>
            <w:tcW w:w="2977" w:type="dxa"/>
          </w:tcPr>
          <w:p>
            <w:pPr>
              <w:pStyle w:val="yTableNAm"/>
              <w:keepNext/>
            </w:pPr>
            <w:r>
              <w:t>10.</w:t>
            </w:r>
            <w:r>
              <w:tab/>
              <w:t>Section 86(2)</w:t>
            </w:r>
          </w:p>
        </w:tc>
        <w:tc>
          <w:tcPr>
            <w:tcW w:w="3719" w:type="dxa"/>
            <w:gridSpan w:val="2"/>
          </w:tcPr>
          <w:p>
            <w:pPr>
              <w:pStyle w:val="yTableNAm"/>
              <w:keepNext/>
              <w:tabs>
                <w:tab w:val="clear" w:pos="567"/>
                <w:tab w:val="right" w:leader="dot" w:pos="3460"/>
              </w:tabs>
            </w:pPr>
            <w:r>
              <w:t>Unlawfully parking on land not a road</w:t>
            </w:r>
          </w:p>
        </w:tc>
        <w:tc>
          <w:tcPr>
            <w:tcW w:w="548" w:type="dxa"/>
          </w:tcPr>
          <w:p>
            <w:pPr>
              <w:pStyle w:val="yTableNAm"/>
            </w:pPr>
            <w:r>
              <w:t>1</w:t>
            </w:r>
          </w:p>
        </w:tc>
      </w:tr>
      <w:tr>
        <w:trPr>
          <w:cantSplit/>
        </w:trPr>
        <w:tc>
          <w:tcPr>
            <w:tcW w:w="2977" w:type="dxa"/>
          </w:tcPr>
          <w:p>
            <w:pPr>
              <w:pStyle w:val="yTableNAm"/>
            </w:pPr>
            <w:r>
              <w:t>11.</w:t>
            </w:r>
            <w:r>
              <w:tab/>
              <w:t>Section 93</w:t>
            </w:r>
          </w:p>
        </w:tc>
        <w:tc>
          <w:tcPr>
            <w:tcW w:w="3719" w:type="dxa"/>
            <w:gridSpan w:val="2"/>
          </w:tcPr>
          <w:p>
            <w:pPr>
              <w:pStyle w:val="yTableNAm"/>
              <w:tabs>
                <w:tab w:val="clear" w:pos="567"/>
                <w:tab w:val="right" w:leader="dot" w:pos="3460"/>
              </w:tabs>
            </w:pPr>
            <w:r>
              <w:t xml:space="preserve">Failure to produce driver’s licence in court </w:t>
            </w:r>
            <w:r>
              <w:tab/>
            </w:r>
          </w:p>
        </w:tc>
        <w:tc>
          <w:tcPr>
            <w:tcW w:w="548" w:type="dxa"/>
          </w:tcPr>
          <w:p>
            <w:pPr>
              <w:pStyle w:val="yTableNAm"/>
            </w:pPr>
            <w:r>
              <w:br/>
              <w:t>1</w:t>
            </w:r>
          </w:p>
        </w:tc>
      </w:tr>
      <w:tr>
        <w:trPr>
          <w:cantSplit/>
        </w:trPr>
        <w:tc>
          <w:tcPr>
            <w:tcW w:w="6696" w:type="dxa"/>
            <w:gridSpan w:val="3"/>
          </w:tcPr>
          <w:p>
            <w:pPr>
              <w:pStyle w:val="yTableNAm"/>
            </w:pPr>
            <w:r>
              <w:rPr>
                <w:i/>
              </w:rPr>
              <w:t>[Headings and items 12</w:t>
            </w:r>
            <w:r>
              <w:rPr>
                <w:i/>
              </w:rPr>
              <w:noBreakHyphen/>
              <w:t>107 deleted]</w:t>
            </w:r>
          </w:p>
        </w:tc>
        <w:tc>
          <w:tcPr>
            <w:tcW w:w="548" w:type="dxa"/>
          </w:tcPr>
          <w:p>
            <w:pPr>
              <w:pStyle w:val="yTableNAm"/>
            </w:pPr>
          </w:p>
        </w:tc>
      </w:tr>
      <w:tr>
        <w:trPr>
          <w:cantSplit/>
        </w:trPr>
        <w:tc>
          <w:tcPr>
            <w:tcW w:w="7244" w:type="dxa"/>
            <w:gridSpan w:val="4"/>
          </w:tcPr>
          <w:p>
            <w:pPr>
              <w:pStyle w:val="yTableNAm"/>
              <w:rPr>
                <w:i/>
              </w:rPr>
            </w:pPr>
            <w:r>
              <w:rPr>
                <w:i/>
              </w:rPr>
              <w:t>Road Traffic (Licensing) Regulations 1975</w:t>
            </w:r>
          </w:p>
        </w:tc>
      </w:tr>
      <w:tr>
        <w:trPr>
          <w:cantSplit/>
        </w:trPr>
        <w:tc>
          <w:tcPr>
            <w:tcW w:w="2977" w:type="dxa"/>
          </w:tcPr>
          <w:p>
            <w:pPr>
              <w:pStyle w:val="yTableNAm"/>
            </w:pPr>
            <w:r>
              <w:t>108.</w:t>
            </w:r>
            <w:r>
              <w:tab/>
              <w:t>Regulation 15(2)</w:t>
            </w:r>
          </w:p>
        </w:tc>
        <w:tc>
          <w:tcPr>
            <w:tcW w:w="3544" w:type="dxa"/>
          </w:tcPr>
          <w:p>
            <w:pPr>
              <w:pStyle w:val="yTableNAm"/>
              <w:tabs>
                <w:tab w:val="clear" w:pos="567"/>
                <w:tab w:val="right" w:leader="dot" w:pos="3460"/>
              </w:tabs>
            </w:pPr>
            <w:r>
              <w:t>Failure to deliver up on demand a suspended or cancelled vehicle licence or licence obtained by misrepresentation or fraud</w:t>
            </w:r>
            <w:r>
              <w:tab/>
            </w:r>
          </w:p>
        </w:tc>
        <w:tc>
          <w:tcPr>
            <w:tcW w:w="723" w:type="dxa"/>
            <w:gridSpan w:val="2"/>
          </w:tcPr>
          <w:p>
            <w:pPr>
              <w:pStyle w:val="yTableNAm"/>
            </w:pPr>
            <w:r>
              <w:br/>
            </w:r>
            <w:r>
              <w:br/>
            </w:r>
            <w:r>
              <w:br/>
              <w:t>2</w:t>
            </w:r>
          </w:p>
        </w:tc>
      </w:tr>
      <w:tr>
        <w:trPr>
          <w:cantSplit/>
        </w:trPr>
        <w:tc>
          <w:tcPr>
            <w:tcW w:w="2977" w:type="dxa"/>
          </w:tcPr>
          <w:p>
            <w:pPr>
              <w:pStyle w:val="yTableNAm"/>
            </w:pPr>
            <w:r>
              <w:t>108A</w:t>
            </w:r>
            <w:r>
              <w:tab/>
              <w:t>Regulation 16A</w:t>
            </w:r>
          </w:p>
        </w:tc>
        <w:tc>
          <w:tcPr>
            <w:tcW w:w="3544" w:type="dxa"/>
          </w:tcPr>
          <w:p>
            <w:pPr>
              <w:pStyle w:val="yTableNAm"/>
              <w:tabs>
                <w:tab w:val="clear" w:pos="567"/>
                <w:tab w:val="right" w:leader="dot" w:pos="3460"/>
              </w:tabs>
            </w:pPr>
            <w:r>
              <w:t xml:space="preserve">Failure to hand over licence document when disposing of used vehicle </w:t>
            </w:r>
            <w:r>
              <w:tab/>
            </w:r>
          </w:p>
        </w:tc>
        <w:tc>
          <w:tcPr>
            <w:tcW w:w="723" w:type="dxa"/>
            <w:gridSpan w:val="2"/>
          </w:tcPr>
          <w:p>
            <w:pPr>
              <w:pStyle w:val="yTableNAm"/>
            </w:pPr>
            <w:r>
              <w:br/>
              <w:t>2</w:t>
            </w:r>
          </w:p>
        </w:tc>
      </w:tr>
      <w:tr>
        <w:trPr>
          <w:cantSplit/>
        </w:trPr>
        <w:tc>
          <w:tcPr>
            <w:tcW w:w="2977" w:type="dxa"/>
          </w:tcPr>
          <w:p>
            <w:pPr>
              <w:pStyle w:val="yTableNAm"/>
            </w:pPr>
            <w:r>
              <w:t>109.</w:t>
            </w:r>
            <w:r>
              <w:tab/>
              <w:t>Regulation 22(3)</w:t>
            </w:r>
          </w:p>
        </w:tc>
        <w:tc>
          <w:tcPr>
            <w:tcW w:w="3544" w:type="dxa"/>
          </w:tcPr>
          <w:p>
            <w:pPr>
              <w:pStyle w:val="yTableNAm"/>
              <w:tabs>
                <w:tab w:val="clear" w:pos="567"/>
                <w:tab w:val="right" w:leader="dot" w:pos="3460"/>
              </w:tabs>
            </w:pPr>
            <w:r>
              <w:t>Failure to return number plates</w:t>
            </w:r>
            <w:r>
              <w:tab/>
            </w:r>
          </w:p>
        </w:tc>
        <w:tc>
          <w:tcPr>
            <w:tcW w:w="723" w:type="dxa"/>
            <w:gridSpan w:val="2"/>
          </w:tcPr>
          <w:p>
            <w:pPr>
              <w:pStyle w:val="yTableNAm"/>
            </w:pPr>
            <w:r>
              <w:t>2</w:t>
            </w:r>
          </w:p>
        </w:tc>
      </w:tr>
      <w:tr>
        <w:trPr>
          <w:cantSplit/>
        </w:trPr>
        <w:tc>
          <w:tcPr>
            <w:tcW w:w="2977" w:type="dxa"/>
          </w:tcPr>
          <w:p>
            <w:pPr>
              <w:pStyle w:val="yTableNAm"/>
            </w:pPr>
            <w:r>
              <w:t>109A.</w:t>
            </w:r>
            <w:r>
              <w:tab/>
              <w:t>Regulation 22(3a)</w:t>
            </w:r>
          </w:p>
        </w:tc>
        <w:tc>
          <w:tcPr>
            <w:tcW w:w="3544" w:type="dxa"/>
          </w:tcPr>
          <w:p>
            <w:pPr>
              <w:pStyle w:val="yTableNAm"/>
              <w:tabs>
                <w:tab w:val="clear" w:pos="567"/>
                <w:tab w:val="right" w:leader="dot" w:pos="3460"/>
              </w:tabs>
            </w:pPr>
            <w:r>
              <w:t xml:space="preserve">Failure to surrender number plates when required by notice issued whilst a compliance notice under Part 7 of the </w:t>
            </w:r>
            <w:r>
              <w:rPr>
                <w:i/>
              </w:rPr>
              <w:t>Road Traffic (Vehicle Standards) Regulations 2002</w:t>
            </w:r>
            <w:r>
              <w:t xml:space="preserve"> is in force </w:t>
            </w:r>
            <w:r>
              <w:tab/>
            </w:r>
          </w:p>
        </w:tc>
        <w:tc>
          <w:tcPr>
            <w:tcW w:w="723" w:type="dxa"/>
            <w:gridSpan w:val="2"/>
          </w:tcPr>
          <w:p>
            <w:pPr>
              <w:pStyle w:val="yTableNAm"/>
            </w:pPr>
            <w:r>
              <w:br/>
            </w:r>
            <w:r>
              <w:br/>
            </w:r>
            <w:r>
              <w:br/>
            </w:r>
            <w:r>
              <w:br/>
              <w:t>2</w:t>
            </w:r>
          </w:p>
        </w:tc>
      </w:tr>
      <w:tr>
        <w:trPr>
          <w:cantSplit/>
        </w:trPr>
        <w:tc>
          <w:tcPr>
            <w:tcW w:w="2977" w:type="dxa"/>
          </w:tcPr>
          <w:p>
            <w:pPr>
              <w:pStyle w:val="yTableNAm"/>
            </w:pPr>
            <w:r>
              <w:t>110.</w:t>
            </w:r>
            <w:r>
              <w:tab/>
              <w:t>Regulation 24(8)</w:t>
            </w:r>
          </w:p>
        </w:tc>
        <w:tc>
          <w:tcPr>
            <w:tcW w:w="3544" w:type="dxa"/>
          </w:tcPr>
          <w:p>
            <w:pPr>
              <w:pStyle w:val="yTableNAm"/>
              <w:tabs>
                <w:tab w:val="clear" w:pos="567"/>
                <w:tab w:val="right" w:leader="dot" w:pos="3460"/>
              </w:tabs>
            </w:pPr>
            <w:r>
              <w:t>Failure when required by notice to surrender non</w:t>
            </w:r>
            <w:r>
              <w:noBreakHyphen/>
              <w:t>reflective identification tablet or number plate other than special plates</w:t>
            </w:r>
            <w:r>
              <w:tab/>
            </w:r>
          </w:p>
        </w:tc>
        <w:tc>
          <w:tcPr>
            <w:tcW w:w="723" w:type="dxa"/>
            <w:gridSpan w:val="2"/>
          </w:tcPr>
          <w:p>
            <w:pPr>
              <w:pStyle w:val="yTableNAm"/>
            </w:pPr>
            <w:r>
              <w:br/>
            </w:r>
            <w:r>
              <w:br/>
            </w:r>
            <w:r>
              <w:br/>
              <w:t>2</w:t>
            </w:r>
          </w:p>
        </w:tc>
      </w:tr>
      <w:tr>
        <w:trPr>
          <w:cantSplit/>
        </w:trPr>
        <w:tc>
          <w:tcPr>
            <w:tcW w:w="2977" w:type="dxa"/>
          </w:tcPr>
          <w:p>
            <w:pPr>
              <w:pStyle w:val="yTableNAm"/>
            </w:pPr>
            <w:r>
              <w:t>111.</w:t>
            </w:r>
            <w:r>
              <w:tab/>
              <w:t>Regulation 27</w:t>
            </w:r>
          </w:p>
        </w:tc>
        <w:tc>
          <w:tcPr>
            <w:tcW w:w="3544" w:type="dxa"/>
          </w:tcPr>
          <w:p>
            <w:pPr>
              <w:pStyle w:val="yTableNAm"/>
              <w:tabs>
                <w:tab w:val="clear" w:pos="567"/>
                <w:tab w:val="right" w:leader="dot" w:pos="3460"/>
              </w:tabs>
            </w:pPr>
            <w:r>
              <w:t xml:space="preserve">Painting or interfering with, or suffering another, paint or interfere with, any number plate, except for the purposes of reinstatement </w:t>
            </w:r>
            <w:r>
              <w:tab/>
            </w:r>
          </w:p>
        </w:tc>
        <w:tc>
          <w:tcPr>
            <w:tcW w:w="723" w:type="dxa"/>
            <w:gridSpan w:val="2"/>
          </w:tcPr>
          <w:p>
            <w:pPr>
              <w:pStyle w:val="yTableNAm"/>
            </w:pPr>
            <w:r>
              <w:br/>
            </w:r>
            <w:r>
              <w:br/>
            </w:r>
            <w:r>
              <w:br/>
              <w:t>2</w:t>
            </w:r>
          </w:p>
        </w:tc>
      </w:tr>
      <w:tr>
        <w:trPr>
          <w:cantSplit/>
        </w:trPr>
        <w:tc>
          <w:tcPr>
            <w:tcW w:w="2977" w:type="dxa"/>
          </w:tcPr>
          <w:p>
            <w:pPr>
              <w:pStyle w:val="yTableNAm"/>
            </w:pPr>
            <w:r>
              <w:t>112.</w:t>
            </w:r>
            <w:r>
              <w:tab/>
              <w:t>Regulation 28(6)</w:t>
            </w:r>
          </w:p>
        </w:tc>
        <w:tc>
          <w:tcPr>
            <w:tcW w:w="3544" w:type="dxa"/>
          </w:tcPr>
          <w:p>
            <w:pPr>
              <w:pStyle w:val="yTableNAm"/>
              <w:tabs>
                <w:tab w:val="clear" w:pos="567"/>
                <w:tab w:val="right" w:leader="dot" w:pos="3460"/>
              </w:tabs>
            </w:pPr>
            <w:r>
              <w:t>Altering, defacing, obliterating or removing identification mark from engine, or stamping on or affixing to engine a purported identification mark</w:t>
            </w:r>
            <w:r>
              <w:tab/>
            </w:r>
          </w:p>
        </w:tc>
        <w:tc>
          <w:tcPr>
            <w:tcW w:w="723" w:type="dxa"/>
            <w:gridSpan w:val="2"/>
          </w:tcPr>
          <w:p>
            <w:pPr>
              <w:pStyle w:val="yTableNAm"/>
            </w:pPr>
            <w:r>
              <w:br/>
            </w:r>
            <w:r>
              <w:br/>
            </w:r>
            <w:r>
              <w:br/>
              <w:t>2</w:t>
            </w:r>
          </w:p>
        </w:tc>
      </w:tr>
      <w:tr>
        <w:trPr>
          <w:cantSplit/>
        </w:trPr>
        <w:tc>
          <w:tcPr>
            <w:tcW w:w="2977" w:type="dxa"/>
          </w:tcPr>
          <w:p>
            <w:pPr>
              <w:pStyle w:val="yTableNAm"/>
            </w:pPr>
            <w:r>
              <w:t>113.</w:t>
            </w:r>
            <w:r>
              <w:tab/>
              <w:t>Regulation 31(1)</w:t>
            </w:r>
          </w:p>
        </w:tc>
        <w:tc>
          <w:tcPr>
            <w:tcW w:w="3544" w:type="dxa"/>
          </w:tcPr>
          <w:p>
            <w:pPr>
              <w:pStyle w:val="yTableNAm"/>
              <w:tabs>
                <w:tab w:val="clear" w:pos="567"/>
                <w:tab w:val="right" w:leader="dot" w:pos="3460"/>
              </w:tabs>
            </w:pPr>
            <w:r>
              <w:t xml:space="preserve">Failure to affix or display label </w:t>
            </w:r>
            <w:r>
              <w:tab/>
            </w:r>
          </w:p>
        </w:tc>
        <w:tc>
          <w:tcPr>
            <w:tcW w:w="723" w:type="dxa"/>
            <w:gridSpan w:val="2"/>
          </w:tcPr>
          <w:p>
            <w:pPr>
              <w:pStyle w:val="yTableNAm"/>
            </w:pPr>
            <w:r>
              <w:t>2</w:t>
            </w:r>
          </w:p>
        </w:tc>
      </w:tr>
      <w:tr>
        <w:trPr>
          <w:cantSplit/>
        </w:trPr>
        <w:tc>
          <w:tcPr>
            <w:tcW w:w="2977" w:type="dxa"/>
          </w:tcPr>
          <w:p>
            <w:pPr>
              <w:pStyle w:val="yTableNAm"/>
            </w:pPr>
            <w:r>
              <w:t>114.</w:t>
            </w:r>
            <w:r>
              <w:tab/>
              <w:t>Regulation 31(2)</w:t>
            </w:r>
          </w:p>
        </w:tc>
        <w:tc>
          <w:tcPr>
            <w:tcW w:w="3544" w:type="dxa"/>
          </w:tcPr>
          <w:p>
            <w:pPr>
              <w:pStyle w:val="yTableNAm"/>
              <w:tabs>
                <w:tab w:val="clear" w:pos="567"/>
                <w:tab w:val="right" w:leader="dot" w:pos="3460"/>
              </w:tabs>
            </w:pPr>
            <w:r>
              <w:t xml:space="preserve">Failure to keep label affixed or displayed </w:t>
            </w:r>
            <w:r>
              <w:tab/>
            </w:r>
          </w:p>
        </w:tc>
        <w:tc>
          <w:tcPr>
            <w:tcW w:w="723" w:type="dxa"/>
            <w:gridSpan w:val="2"/>
            <w:vAlign w:val="bottom"/>
          </w:tcPr>
          <w:p>
            <w:pPr>
              <w:pStyle w:val="yTableNAm"/>
            </w:pPr>
            <w:r>
              <w:t>2</w:t>
            </w:r>
          </w:p>
        </w:tc>
      </w:tr>
      <w:tr>
        <w:trPr>
          <w:cantSplit/>
        </w:trPr>
        <w:tc>
          <w:tcPr>
            <w:tcW w:w="2977" w:type="dxa"/>
          </w:tcPr>
          <w:p>
            <w:pPr>
              <w:pStyle w:val="yTableNAm"/>
            </w:pPr>
            <w:r>
              <w:t>115.</w:t>
            </w:r>
            <w:r>
              <w:tab/>
              <w:t>Regulation 32(2)</w:t>
            </w:r>
          </w:p>
        </w:tc>
        <w:tc>
          <w:tcPr>
            <w:tcW w:w="3544" w:type="dxa"/>
          </w:tcPr>
          <w:p>
            <w:pPr>
              <w:pStyle w:val="yTableNAm"/>
              <w:tabs>
                <w:tab w:val="clear" w:pos="567"/>
                <w:tab w:val="right" w:leader="dot" w:pos="3460"/>
              </w:tabs>
            </w:pPr>
            <w:r>
              <w:t>Failure to affix or display registration label</w:t>
            </w:r>
            <w:r>
              <w:tab/>
            </w:r>
          </w:p>
        </w:tc>
        <w:tc>
          <w:tcPr>
            <w:tcW w:w="723" w:type="dxa"/>
            <w:gridSpan w:val="2"/>
          </w:tcPr>
          <w:p>
            <w:pPr>
              <w:pStyle w:val="yTableNAm"/>
            </w:pPr>
            <w:r>
              <w:br/>
              <w:t>2</w:t>
            </w:r>
          </w:p>
        </w:tc>
      </w:tr>
      <w:tr>
        <w:trPr>
          <w:cantSplit/>
        </w:trPr>
        <w:tc>
          <w:tcPr>
            <w:tcW w:w="2977" w:type="dxa"/>
            <w:tcBorders>
              <w:bottom w:val="single" w:sz="4" w:space="0" w:color="auto"/>
            </w:tcBorders>
          </w:tcPr>
          <w:p>
            <w:pPr>
              <w:pStyle w:val="yTableNAm"/>
            </w:pPr>
            <w:r>
              <w:t>116.</w:t>
            </w:r>
            <w:r>
              <w:tab/>
              <w:t>Regulation 33(2)</w:t>
            </w:r>
          </w:p>
        </w:tc>
        <w:tc>
          <w:tcPr>
            <w:tcW w:w="3544" w:type="dxa"/>
            <w:tcBorders>
              <w:bottom w:val="single" w:sz="4" w:space="0" w:color="auto"/>
            </w:tcBorders>
          </w:tcPr>
          <w:p>
            <w:pPr>
              <w:pStyle w:val="yTableNAm"/>
              <w:tabs>
                <w:tab w:val="clear" w:pos="567"/>
                <w:tab w:val="right" w:leader="dot" w:pos="3460"/>
              </w:tabs>
            </w:pPr>
            <w:r>
              <w:t xml:space="preserve">Failure to keep registration label affixed </w:t>
            </w:r>
            <w:r>
              <w:tab/>
            </w:r>
          </w:p>
        </w:tc>
        <w:tc>
          <w:tcPr>
            <w:tcW w:w="723" w:type="dxa"/>
            <w:gridSpan w:val="2"/>
            <w:tcBorders>
              <w:bottom w:val="single" w:sz="4" w:space="0" w:color="auto"/>
            </w:tcBorders>
          </w:tcPr>
          <w:p>
            <w:pPr>
              <w:pStyle w:val="yTableNAm"/>
            </w:pPr>
            <w:r>
              <w:b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 xml:space="preserve">2; 20 Jul 1999 p. 3249; 30 Nov 1999 p. 5955; 1 Dec 2000 p. 6759; 1 Nov 2002 p. 5390; 23 Dec 2005 p. 6276 and 6286; 28 Nov 2006 p. 4912; 14 Mar 2008 p. 834; 10 Jun 2008 p. 2463; 27 Jun 2008 p. 3123; 31 Dec 2009 p. 5415-16; 30 Aug 2011 p. 3512.] </w:t>
      </w:r>
    </w:p>
    <w:p>
      <w:pPr>
        <w:pStyle w:val="yScheduleHeading"/>
      </w:pPr>
      <w:bookmarkStart w:id="9" w:name="_Toc378863649"/>
      <w:bookmarkStart w:id="10" w:name="_Toc397942056"/>
      <w:r>
        <w:rPr>
          <w:rStyle w:val="CharSchNo"/>
        </w:rPr>
        <w:t>Schedule 2</w:t>
      </w:r>
      <w:r>
        <w:t> — </w:t>
      </w:r>
      <w:r>
        <w:rPr>
          <w:rStyle w:val="CharSchText"/>
        </w:rPr>
        <w:t>Forms</w:t>
      </w:r>
      <w:bookmarkEnd w:id="9"/>
      <w:bookmarkEnd w:id="10"/>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Table"/>
        <w:pageBreakBefore/>
        <w:jc w:val="center"/>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w:t>
            </w:r>
            <w:smartTag w:uri="urn:schemas-microsoft-com:office:smarttags" w:element="Street">
              <w:smartTag w:uri="urn:schemas-microsoft-com:office:smarttags" w:element="address">
                <w:r>
                  <w:rPr>
                    <w:rFonts w:ascii="Arial Narrow" w:hAnsi="Arial Narrow"/>
                    <w:sz w:val="14"/>
                  </w:rPr>
                  <w:t>Magistrates Court</w:t>
                </w:r>
              </w:smartTag>
            </w:smartTag>
            <w:r>
              <w:rPr>
                <w:rFonts w:ascii="Arial Narrow" w:hAnsi="Arial Narrow"/>
                <w:sz w:val="14"/>
              </w:rPr>
              <w: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Table"/>
        <w:pageBreakBefore/>
        <w:jc w:val="center"/>
        <w:rPr>
          <w:b/>
        </w:rPr>
      </w:pPr>
      <w:r>
        <w:rPr>
          <w:b/>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w:t>
            </w:r>
            <w:r>
              <w:rPr>
                <w:rFonts w:ascii="Arial Narrow" w:hAnsi="Arial Narrow"/>
                <w:sz w:val="14"/>
                <w:vertAlign w:val="superscript"/>
              </w:rPr>
              <w:t> 2</w:t>
            </w:r>
            <w:r>
              <w:rPr>
                <w:rFonts w:ascii="Arial Narrow" w:hAnsi="Arial Narrow"/>
                <w:sz w:val="14"/>
              </w:rPr>
              <w:t xml:space="preserv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w:t>
            </w:r>
            <w:r>
              <w:rPr>
                <w:rFonts w:ascii="Arial Narrow" w:hAnsi="Arial Narrow"/>
                <w:sz w:val="14"/>
                <w:vertAlign w:val="superscript"/>
              </w:rPr>
              <w:t> 2</w:t>
            </w:r>
            <w:r>
              <w:rPr>
                <w:rFonts w:ascii="Arial Narrow" w:hAnsi="Arial Narrow"/>
                <w:sz w:val="14"/>
              </w:rPr>
              <w:t xml:space="preserve"> </w:t>
            </w:r>
            <w:r>
              <w:rPr>
                <w:rFonts w:ascii="Arial Narrow" w:hAnsi="Arial Narrow"/>
                <w:spacing w:val="-2"/>
                <w:sz w:val="14"/>
              </w:rPr>
              <w:t xml:space="preserv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r>
              <w:rPr>
                <w:rFonts w:ascii="Arial Narrow" w:hAnsi="Arial Narrow"/>
                <w:sz w:val="14"/>
                <w:vertAlign w:val="superscript"/>
              </w:rPr>
              <w:t> 2</w:t>
            </w:r>
            <w:r>
              <w:rPr>
                <w:rFonts w:ascii="Arial Narrow" w:hAnsi="Arial Narrow"/>
                <w:sz w:val="14"/>
              </w:rPr>
              <w:t>”.</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w:t>
            </w:r>
            <w:r>
              <w:rPr>
                <w:rFonts w:ascii="Arial Narrow" w:hAnsi="Arial Narrow"/>
                <w:sz w:val="14"/>
                <w:vertAlign w:val="superscript"/>
              </w:rPr>
              <w:t> 2</w:t>
            </w:r>
            <w:r>
              <w:rPr>
                <w:rFonts w:ascii="Arial Narrow" w:hAnsi="Arial Narrow"/>
                <w:sz w:val="14"/>
              </w:rPr>
              <w:t>,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w:t>
            </w:r>
            <w:r>
              <w:rPr>
                <w:rFonts w:ascii="Arial Narrow" w:hAnsi="Arial Narrow"/>
                <w:sz w:val="16"/>
                <w:vertAlign w:val="superscript"/>
              </w:rPr>
              <w:t> </w:t>
            </w:r>
            <w:smartTag w:uri="urn:schemas-microsoft-com:office:smarttags" w:element="Street">
              <w:smartTag w:uri="urn:schemas-microsoft-com:office:smarttags" w:element="address">
                <w:r>
                  <w:rPr>
                    <w:rFonts w:ascii="Arial Narrow" w:hAnsi="Arial Narrow"/>
                    <w:sz w:val="16"/>
                    <w:vertAlign w:val="superscript"/>
                  </w:rPr>
                  <w:t>2</w:t>
                </w:r>
                <w:r>
                  <w:rPr>
                    <w:rFonts w:ascii="Arial Narrow" w:hAnsi="Arial Narrow"/>
                    <w:b/>
                    <w:sz w:val="16"/>
                  </w:rPr>
                  <w:t xml:space="preserve"> PO Box R1290</w:t>
                </w:r>
              </w:smartTag>
            </w:smartTag>
            <w:r>
              <w:rPr>
                <w:rFonts w:ascii="Arial Narrow" w:hAnsi="Arial Narrow"/>
                <w:b/>
                <w:sz w:val="16"/>
              </w:rPr>
              <w:t xml:space="preserve">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56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32"/>
                <w:tab w:val="left" w:pos="2268"/>
              </w:tabs>
              <w:ind w:left="459" w:hanging="459"/>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113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84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32"/>
                <w:tab w:val="left" w:pos="2268"/>
              </w:tabs>
              <w:ind w:left="459" w:hanging="459"/>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32"/>
                <w:tab w:val="left" w:pos="2268"/>
              </w:tabs>
              <w:ind w:left="459" w:hanging="459"/>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 </w:t>
            </w:r>
            <w:r>
              <w:rPr>
                <w:rFonts w:ascii="Arial Narrow" w:hAnsi="Arial Narrow"/>
                <w:b/>
                <w:spacing w:val="-2"/>
                <w:sz w:val="14"/>
                <w:vertAlign w:val="superscript"/>
              </w:rPr>
              <w:t>3</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w:t>
            </w:r>
            <w:r>
              <w:rPr>
                <w:rFonts w:ascii="Arial Narrow" w:hAnsi="Arial Narrow"/>
                <w:sz w:val="16"/>
                <w:vertAlign w:val="superscript"/>
              </w:rPr>
              <w:t> </w:t>
            </w:r>
            <w:smartTag w:uri="urn:schemas-microsoft-com:office:smarttags" w:element="Street">
              <w:smartTag w:uri="urn:schemas-microsoft-com:office:smarttags" w:element="address">
                <w:r>
                  <w:rPr>
                    <w:rFonts w:ascii="Arial Narrow" w:hAnsi="Arial Narrow"/>
                    <w:sz w:val="16"/>
                    <w:vertAlign w:val="superscript"/>
                  </w:rPr>
                  <w:t>2</w:t>
                </w:r>
                <w:r>
                  <w:rPr>
                    <w:rFonts w:ascii="Arial Narrow" w:hAnsi="Arial Narrow"/>
                    <w:b/>
                    <w:sz w:val="16"/>
                  </w:rPr>
                  <w:t xml:space="preserve"> PO Box R1290</w:t>
                </w:r>
              </w:smartTag>
            </w:smartTag>
            <w:r>
              <w:rPr>
                <w:rFonts w:ascii="Arial Narrow" w:hAnsi="Arial Narrow"/>
                <w:b/>
                <w:sz w:val="16"/>
              </w:rPr>
              <w:t xml:space="preserve">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pStyle w:val="yFootnotesection"/>
      </w:pPr>
      <w:r>
        <w:tab/>
        <w:t>[Form 3 inserted in Gazette 23 Dec 2005 p. 6287</w:t>
      </w:r>
      <w:r>
        <w:noBreakHyphen/>
        <w:t>9; amended in Gazette 20 Aug 2013 p. 3847.]</w:t>
      </w:r>
    </w:p>
    <w:p>
      <w:pPr>
        <w:pStyle w:val="yTable"/>
        <w:pageBreakBefore/>
        <w:spacing w:before="0"/>
        <w:jc w:val="center"/>
        <w:rPr>
          <w:b/>
        </w:rPr>
      </w:pPr>
      <w:r>
        <w:rPr>
          <w:b/>
        </w:rPr>
        <w:t>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0"/>
        <w:gridCol w:w="149"/>
        <w:gridCol w:w="90"/>
        <w:gridCol w:w="357"/>
        <w:gridCol w:w="111"/>
        <w:gridCol w:w="1428"/>
        <w:gridCol w:w="405"/>
        <w:gridCol w:w="132"/>
        <w:gridCol w:w="14"/>
        <w:gridCol w:w="704"/>
        <w:gridCol w:w="458"/>
        <w:gridCol w:w="496"/>
        <w:gridCol w:w="12"/>
        <w:gridCol w:w="374"/>
        <w:gridCol w:w="47"/>
        <w:gridCol w:w="596"/>
        <w:gridCol w:w="55"/>
        <w:gridCol w:w="818"/>
      </w:tblGrid>
      <w:tr>
        <w:trPr>
          <w:cantSplit/>
        </w:trPr>
        <w:tc>
          <w:tcPr>
            <w:tcW w:w="6946" w:type="dxa"/>
            <w:gridSpan w:val="18"/>
            <w:tcBorders>
              <w:top w:val="nil"/>
              <w:left w:val="nil"/>
              <w:bottom w:val="nil"/>
              <w:right w:val="nil"/>
            </w:tcBorders>
            <w:vAlign w:val="center"/>
          </w:tcPr>
          <w:p>
            <w:pPr>
              <w:pStyle w:val="yTable"/>
              <w:jc w:val="center"/>
              <w:rPr>
                <w:rFonts w:ascii="Arial" w:hAnsi="Arial" w:cs="Arial"/>
              </w:rPr>
            </w:pPr>
            <w:r>
              <w:rPr>
                <w:rFonts w:ascii="Arial" w:hAnsi="Arial" w:cs="Arial"/>
              </w:rPr>
              <w:br w:type="page"/>
            </w:r>
            <w:r>
              <w:rPr>
                <w:rFonts w:ascii="Arial" w:hAnsi="Arial" w:cs="Arial"/>
              </w:rPr>
              <w:br w:type="page"/>
            </w:r>
            <w:r>
              <w:rPr>
                <w:rFonts w:ascii="Arial" w:hAnsi="Arial" w:cs="Arial"/>
                <w:b/>
                <w:sz w:val="16"/>
              </w:rPr>
              <w:t>MOTOR VEHICLE OFFENCE — NOTICE REQUESTING INFORMATION</w:t>
            </w:r>
          </w:p>
        </w:tc>
      </w:tr>
      <w:tr>
        <w:trPr>
          <w:cantSplit/>
        </w:trPr>
        <w:tc>
          <w:tcPr>
            <w:tcW w:w="6946" w:type="dxa"/>
            <w:gridSpan w:val="18"/>
            <w:tcBorders>
              <w:top w:val="nil"/>
              <w:left w:val="nil"/>
              <w:bottom w:val="nil"/>
              <w:right w:val="nil"/>
            </w:tcBorders>
            <w:vAlign w:val="center"/>
          </w:tcPr>
          <w:p>
            <w:pPr>
              <w:pStyle w:val="yTableNAm"/>
              <w:spacing w:before="60"/>
              <w:jc w:val="right"/>
              <w:rPr>
                <w:rFonts w:ascii="Arial" w:hAnsi="Arial" w:cs="Arial"/>
                <w:iCs/>
                <w:sz w:val="14"/>
              </w:rPr>
            </w:pPr>
            <w:r>
              <w:rPr>
                <w:rFonts w:ascii="Arial" w:hAnsi="Arial" w:cs="Arial"/>
                <w:iCs/>
                <w:sz w:val="14"/>
              </w:rPr>
              <w:tab/>
              <w:t>Road Traffic Act 1974 s. 102C, 102D</w:t>
            </w:r>
          </w:p>
        </w:tc>
      </w:tr>
      <w:tr>
        <w:trPr>
          <w:cantSplit/>
        </w:trPr>
        <w:tc>
          <w:tcPr>
            <w:tcW w:w="2835" w:type="dxa"/>
            <w:gridSpan w:val="6"/>
            <w:vMerge w:val="restart"/>
            <w:tcBorders>
              <w:top w:val="single" w:sz="4" w:space="0" w:color="auto"/>
              <w:left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[Name and address of responsible person]</w:t>
            </w: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Notice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[Notice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Vehicle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[Vehicle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Date of issue</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[Issue date]</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 xml:space="preserve">Compliance date </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[Compliance date]</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ab/>
              <w:t>REQUEST FOR INFORMATION</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 xml:space="preserve">Under the </w:t>
            </w:r>
            <w:r>
              <w:rPr>
                <w:rFonts w:ascii="Arial" w:hAnsi="Arial" w:cs="Arial"/>
                <w:i/>
                <w:sz w:val="14"/>
              </w:rPr>
              <w:t>Road Traffic Act 1974</w:t>
            </w:r>
            <w:r>
              <w:rPr>
                <w:rFonts w:ascii="Arial" w:hAnsi="Arial" w:cs="Arial"/>
                <w:sz w:val="14"/>
              </w:rPr>
              <w:t xml:space="preserve"> you are a responsible person for the vehicle referred to above. </w:t>
            </w:r>
          </w:p>
          <w:p>
            <w:pPr>
              <w:pStyle w:val="yTableNAm"/>
              <w:spacing w:before="60"/>
              <w:rPr>
                <w:rFonts w:ascii="Arial" w:hAnsi="Arial" w:cs="Arial"/>
                <w:sz w:val="14"/>
              </w:rPr>
            </w:pPr>
            <w:r>
              <w:rPr>
                <w:rFonts w:ascii="Arial" w:hAnsi="Arial" w:cs="Arial"/>
                <w:sz w:val="14"/>
              </w:rPr>
              <w:t>It is alleged that the offence described in Part A was committed involving that vehicle. As a responsible person you are required to give to the WA Police the name and address of the driver or person in charge of the vehicle at the time of the alleged offence.</w:t>
            </w:r>
          </w:p>
          <w:p>
            <w:pPr>
              <w:pStyle w:val="yTableNAm"/>
              <w:spacing w:before="60"/>
              <w:rPr>
                <w:rFonts w:ascii="Arial" w:hAnsi="Arial" w:cs="Arial"/>
                <w:sz w:val="14"/>
              </w:rPr>
            </w:pPr>
            <w:r>
              <w:rPr>
                <w:rFonts w:ascii="Arial" w:hAnsi="Arial" w:cs="Arial"/>
                <w:sz w:val="14"/>
              </w:rPr>
              <w:t xml:space="preserve">To do this </w:t>
            </w:r>
            <w:r>
              <w:rPr>
                <w:rFonts w:ascii="Arial" w:hAnsi="Arial" w:cs="Arial"/>
                <w:b/>
                <w:bCs/>
                <w:sz w:val="14"/>
              </w:rPr>
              <w:t>fill in Part B and return this form by the compliance date.</w:t>
            </w:r>
          </w:p>
          <w:p>
            <w:pPr>
              <w:pStyle w:val="yTableNAm"/>
              <w:spacing w:before="60"/>
              <w:rPr>
                <w:rFonts w:ascii="Arial" w:hAnsi="Arial" w:cs="Arial"/>
                <w:sz w:val="14"/>
              </w:rPr>
            </w:pPr>
            <w:r>
              <w:rPr>
                <w:rFonts w:ascii="Arial" w:hAnsi="Arial" w:cs="Arial"/>
                <w:sz w:val="14"/>
              </w:rPr>
              <w:t xml:space="preserve">Failing to provide the information as requested is an offence. There is more information about this overleaf.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Issuing officer</w:t>
            </w:r>
          </w:p>
        </w:tc>
        <w:tc>
          <w:tcPr>
            <w:tcW w:w="4117"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jc w:val="right"/>
              <w:rPr>
                <w:rFonts w:ascii="Arial" w:hAnsi="Arial" w:cs="Arial"/>
                <w:sz w:val="14"/>
              </w:rPr>
            </w:pPr>
            <w:r>
              <w:rPr>
                <w:rFonts w:ascii="Arial" w:hAnsi="Arial" w:cs="Arial"/>
                <w:sz w:val="14"/>
              </w:rPr>
              <w:t>PD No.</w:t>
            </w:r>
          </w:p>
        </w:tc>
        <w:tc>
          <w:tcPr>
            <w:tcW w:w="1890" w:type="dxa"/>
            <w:gridSpan w:val="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4"/>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A</w:t>
            </w:r>
            <w:r>
              <w:rPr>
                <w:rFonts w:ascii="Arial" w:hAnsi="Arial" w:cs="Arial"/>
                <w:color w:val="FFFFFF"/>
                <w:sz w:val="16"/>
              </w:rPr>
              <w:tab/>
              <w:t xml:space="preserve">DETAILS OF OFFENCE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Offence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Location</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tcMar>
              <w:right w:w="0" w:type="dxa"/>
            </w:tcMar>
            <w:vAlign w:val="center"/>
          </w:tcPr>
          <w:p>
            <w:pPr>
              <w:pStyle w:val="yTableNAm"/>
              <w:spacing w:before="60"/>
              <w:rPr>
                <w:rFonts w:ascii="Arial" w:hAnsi="Arial" w:cs="Arial"/>
                <w:sz w:val="14"/>
              </w:rPr>
            </w:pPr>
            <w:r>
              <w:rPr>
                <w:rFonts w:ascii="Arial" w:hAnsi="Arial" w:cs="Arial"/>
                <w:sz w:val="14"/>
              </w:rPr>
              <w:t>Date and time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tabs>
                <w:tab w:val="clear" w:pos="567"/>
                <w:tab w:val="left" w:pos="858"/>
              </w:tabs>
              <w:spacing w:before="60"/>
              <w:rPr>
                <w:rFonts w:ascii="Arial" w:hAnsi="Arial" w:cs="Arial"/>
                <w:sz w:val="14"/>
              </w:rPr>
            </w:pPr>
            <w:r>
              <w:rPr>
                <w:rFonts w:ascii="Arial" w:hAnsi="Arial" w:cs="Arial"/>
                <w:sz w:val="14"/>
              </w:rPr>
              <w:t xml:space="preserve"> </w:t>
            </w:r>
            <w:r>
              <w:rPr>
                <w:rFonts w:ascii="Arial" w:hAnsi="Arial" w:cs="Arial"/>
                <w:sz w:val="14"/>
              </w:rPr>
              <w:tab/>
              <w:t>/</w:t>
            </w:r>
            <w:r>
              <w:rPr>
                <w:rFonts w:ascii="Arial" w:hAnsi="Arial" w:cs="Arial"/>
                <w:sz w:val="14"/>
              </w:rPr>
              <w:tab/>
              <w:t xml:space="preserve">/ </w:t>
            </w:r>
            <w:r>
              <w:rPr>
                <w:rFonts w:ascii="Arial" w:hAnsi="Arial" w:cs="Arial"/>
                <w:sz w:val="14"/>
              </w:rPr>
              <w:tab/>
            </w:r>
            <w:r>
              <w:rPr>
                <w:rFonts w:ascii="Arial" w:hAnsi="Arial" w:cs="Arial"/>
                <w:sz w:val="14"/>
              </w:rPr>
              <w:tab/>
            </w:r>
            <w:r>
              <w:rPr>
                <w:rFonts w:ascii="Arial" w:hAnsi="Arial" w:cs="Arial"/>
                <w:sz w:val="14"/>
              </w:rPr>
              <w:tab/>
              <w:t xml:space="preserve"> hours</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These images identify the vehicle involved in the alleged offence and may assist you to identify the driver.</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jc w:val="center"/>
              <w:rPr>
                <w:rFonts w:ascii="Arial" w:hAnsi="Arial" w:cs="Arial"/>
                <w:i/>
                <w:iCs/>
                <w:color w:val="808080"/>
                <w:sz w:val="14"/>
              </w:rPr>
            </w:pPr>
          </w:p>
          <w:p>
            <w:pPr>
              <w:pStyle w:val="yTableNAm"/>
              <w:spacing w:before="60"/>
              <w:jc w:val="center"/>
              <w:rPr>
                <w:rFonts w:ascii="Arial" w:hAnsi="Arial" w:cs="Arial"/>
                <w:i/>
                <w:iCs/>
                <w:color w:val="808080"/>
                <w:sz w:val="14"/>
              </w:rPr>
            </w:pPr>
            <w:r>
              <w:rPr>
                <w:rFonts w:ascii="Arial" w:hAnsi="Arial" w:cs="Arial"/>
                <w:i/>
                <w:iCs/>
                <w:color w:val="808080"/>
                <w:sz w:val="14"/>
              </w:rPr>
              <w:t>[Photographs of vehicle]</w:t>
            </w:r>
          </w:p>
          <w:p>
            <w:pPr>
              <w:pStyle w:val="yTableNAm"/>
              <w:spacing w:before="60"/>
              <w:jc w:val="center"/>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B</w:t>
            </w:r>
            <w:r>
              <w:rPr>
                <w:rFonts w:ascii="Arial" w:hAnsi="Arial" w:cs="Arial"/>
                <w:color w:val="FFFFFF"/>
                <w:sz w:val="16"/>
              </w:rPr>
              <w:tab/>
              <w:t xml:space="preserve">INFORMATION TO BE PROVIDED </w:t>
            </w:r>
            <w:r>
              <w:rPr>
                <w:rFonts w:ascii="Arial" w:hAnsi="Arial" w:cs="Arial"/>
                <w:color w:val="FFFFFF"/>
                <w:sz w:val="16"/>
              </w:rPr>
              <w:tab/>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pacing w:val="-2"/>
                <w:sz w:val="14"/>
              </w:rPr>
            </w:pPr>
            <w:r>
              <w:rPr>
                <w:rFonts w:ascii="Arial" w:hAnsi="Arial" w:cs="Arial"/>
                <w:b/>
                <w:bCs/>
                <w:spacing w:val="-2"/>
                <w:sz w:val="14"/>
              </w:rPr>
              <w:t>If you know who was driving</w:t>
            </w:r>
            <w:r>
              <w:rPr>
                <w:rFonts w:ascii="Arial" w:hAnsi="Arial" w:cs="Arial"/>
                <w:spacing w:val="-2"/>
                <w:sz w:val="14"/>
              </w:rPr>
              <w:t xml:space="preserve"> or in charge of the vehicle at the time of the alleged offence, </w:t>
            </w:r>
            <w:r>
              <w:rPr>
                <w:rFonts w:ascii="Arial" w:hAnsi="Arial" w:cs="Arial"/>
                <w:b/>
                <w:bCs/>
                <w:spacing w:val="-2"/>
                <w:sz w:val="14"/>
              </w:rPr>
              <w:t>fill in Division 1</w:t>
            </w:r>
            <w:r>
              <w:rPr>
                <w:rFonts w:ascii="Arial" w:hAnsi="Arial" w:cs="Arial"/>
                <w:spacing w:val="-2"/>
                <w:sz w:val="14"/>
              </w:rPr>
              <w:t xml:space="preserve">. </w:t>
            </w:r>
          </w:p>
          <w:p>
            <w:pPr>
              <w:pStyle w:val="yTableNAm"/>
              <w:spacing w:before="60"/>
              <w:rPr>
                <w:rFonts w:ascii="Arial" w:hAnsi="Arial" w:cs="Arial"/>
                <w:spacing w:val="-2"/>
                <w:sz w:val="14"/>
              </w:rPr>
            </w:pPr>
            <w:r>
              <w:rPr>
                <w:rFonts w:ascii="Arial" w:hAnsi="Arial" w:cs="Arial"/>
                <w:b/>
                <w:bCs/>
                <w:spacing w:val="-2"/>
                <w:sz w:val="14"/>
              </w:rPr>
              <w:t>If the vehicle had been stolen</w:t>
            </w:r>
            <w:r>
              <w:rPr>
                <w:rFonts w:ascii="Arial" w:hAnsi="Arial" w:cs="Arial"/>
                <w:spacing w:val="-2"/>
                <w:sz w:val="14"/>
              </w:rPr>
              <w:t xml:space="preserve"> or unlawfully taken or used, </w:t>
            </w:r>
            <w:r>
              <w:rPr>
                <w:rFonts w:ascii="Arial" w:hAnsi="Arial" w:cs="Arial"/>
                <w:b/>
                <w:bCs/>
                <w:spacing w:val="-2"/>
                <w:sz w:val="14"/>
              </w:rPr>
              <w:t>fill in Division 2</w:t>
            </w:r>
            <w:r>
              <w:rPr>
                <w:rFonts w:ascii="Arial" w:hAnsi="Arial" w:cs="Arial"/>
                <w:spacing w:val="-2"/>
                <w:sz w:val="14"/>
              </w:rPr>
              <w:t>.</w:t>
            </w:r>
          </w:p>
          <w:p>
            <w:pPr>
              <w:pStyle w:val="yTableNAm"/>
              <w:spacing w:before="60"/>
              <w:rPr>
                <w:rFonts w:ascii="Arial" w:hAnsi="Arial" w:cs="Arial"/>
                <w:spacing w:val="-2"/>
                <w:sz w:val="14"/>
              </w:rPr>
            </w:pPr>
            <w:r>
              <w:rPr>
                <w:rFonts w:ascii="Arial" w:hAnsi="Arial" w:cs="Arial"/>
                <w:b/>
                <w:bCs/>
                <w:spacing w:val="-2"/>
                <w:sz w:val="14"/>
              </w:rPr>
              <w:t>If you do not know who was driving</w:t>
            </w:r>
            <w:r>
              <w:rPr>
                <w:rFonts w:ascii="Arial" w:hAnsi="Arial" w:cs="Arial"/>
                <w:spacing w:val="-2"/>
                <w:sz w:val="14"/>
              </w:rPr>
              <w:t xml:space="preserve"> at the time, you may make a statutory declaration to that effect as described in Division 3.</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1</w:t>
            </w:r>
            <w:r>
              <w:rPr>
                <w:rFonts w:ascii="Arial" w:hAnsi="Arial" w:cs="Arial"/>
                <w:b/>
                <w:bCs/>
                <w:sz w:val="14"/>
              </w:rPr>
              <w:tab/>
              <w:t xml:space="preserve"> Driver or person in charge known</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Driver </w:t>
            </w:r>
            <w:r>
              <w:rPr>
                <w:rFonts w:ascii="Arial" w:hAnsi="Arial" w:cs="Arial"/>
                <w:sz w:val="14"/>
              </w:rPr>
              <w:tab/>
              <w:t xml:space="preserve">or </w:t>
            </w:r>
            <w:r>
              <w:rPr>
                <w:rFonts w:ascii="Arial" w:hAnsi="Arial" w:cs="Arial"/>
                <w:sz w:val="14"/>
              </w:rPr>
              <w:tab/>
              <w:t xml:space="preserve"> </w:t>
            </w:r>
            <w:r>
              <w:rPr>
                <w:rFonts w:ascii="Arial" w:hAnsi="Arial" w:cs="Arial"/>
                <w:sz w:val="20"/>
              </w:rPr>
              <w:sym w:font="Monotype Sorts" w:char="F071"/>
            </w:r>
            <w:r>
              <w:rPr>
                <w:rFonts w:ascii="Arial" w:hAnsi="Arial" w:cs="Arial"/>
                <w:sz w:val="14"/>
              </w:rPr>
              <w:t xml:space="preserve">  Person in charge of vehicle</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398" w:type="dxa"/>
            <w:gridSpan w:val="7"/>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nil"/>
              <w:right w:val="nil"/>
            </w:tcBorders>
            <w:tcMar>
              <w:right w:w="0" w:type="dxa"/>
            </w:tcMar>
            <w:vAlign w:val="center"/>
          </w:tcPr>
          <w:p>
            <w:pPr>
              <w:pStyle w:val="yTableNAm"/>
              <w:spacing w:before="60"/>
              <w:rPr>
                <w:rFonts w:ascii="Arial" w:hAnsi="Arial" w:cs="Arial"/>
                <w:sz w:val="14"/>
              </w:rPr>
            </w:pPr>
            <w:r>
              <w:rPr>
                <w:rFonts w:ascii="Arial" w:hAnsi="Arial" w:cs="Arial"/>
                <w:sz w:val="14"/>
              </w:rPr>
              <w:t>No. and street</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43"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single" w:sz="4" w:space="0" w:color="auto"/>
              <w:right w:val="nil"/>
            </w:tcBorders>
            <w:vAlign w:val="center"/>
          </w:tcPr>
          <w:p>
            <w:pPr>
              <w:pStyle w:val="yTableNAm"/>
              <w:spacing w:before="60"/>
              <w:rPr>
                <w:rFonts w:ascii="Arial" w:hAnsi="Arial" w:cs="Arial"/>
                <w:sz w:val="14"/>
              </w:rPr>
            </w:pPr>
            <w:r>
              <w:rPr>
                <w:rFonts w:ascii="Arial" w:hAnsi="Arial" w:cs="Arial"/>
                <w:sz w:val="14"/>
              </w:rPr>
              <w:t>Phone No.</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Driver’s licence</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No.</w:t>
            </w:r>
          </w:p>
        </w:tc>
        <w:tc>
          <w:tcPr>
            <w:tcW w:w="643"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 xml:space="preserve">State </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2</w:t>
            </w:r>
            <w:r>
              <w:rPr>
                <w:rFonts w:ascii="Arial" w:hAnsi="Arial" w:cs="Arial"/>
                <w:b/>
                <w:bCs/>
                <w:sz w:val="14"/>
              </w:rPr>
              <w:tab/>
              <w:t xml:space="preserve"> Vehicle stolen or unlawfully taken or used</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Stolen or unlawfully taken or used</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Reported to police</w:t>
            </w:r>
          </w:p>
        </w:tc>
        <w:tc>
          <w:tcPr>
            <w:tcW w:w="2090" w:type="dxa"/>
            <w:gridSpan w:val="5"/>
            <w:tcBorders>
              <w:top w:val="nil"/>
              <w:left w:val="nil"/>
              <w:bottom w:val="nil"/>
              <w:right w:val="nil"/>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20"/>
              </w:rPr>
              <w:t xml:space="preserve">  </w:t>
            </w:r>
            <w:r>
              <w:rPr>
                <w:rFonts w:ascii="Arial" w:hAnsi="Arial" w:cs="Arial"/>
                <w:sz w:val="14"/>
              </w:rPr>
              <w:t>Yes</w:t>
            </w:r>
            <w:r>
              <w:rPr>
                <w:rFonts w:ascii="Arial" w:hAnsi="Arial" w:cs="Arial"/>
                <w:sz w:val="14"/>
              </w:rPr>
              <w:tab/>
              <w:t xml:space="preserve">Report No. </w:t>
            </w:r>
          </w:p>
        </w:tc>
        <w:tc>
          <w:tcPr>
            <w:tcW w:w="3560" w:type="dxa"/>
            <w:gridSpan w:val="9"/>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nil"/>
              <w:right w:val="nil"/>
            </w:tcBorders>
            <w:vAlign w:val="center"/>
          </w:tcPr>
          <w:p>
            <w:pPr>
              <w:pStyle w:val="yTableNAm"/>
              <w:spacing w:before="60"/>
              <w:rPr>
                <w:rFonts w:ascii="Arial" w:hAnsi="Arial" w:cs="Arial"/>
                <w:sz w:val="2"/>
              </w:rPr>
            </w:pPr>
          </w:p>
        </w:tc>
      </w:tr>
      <w:tr>
        <w:trPr>
          <w:cantSplit/>
        </w:trPr>
        <w:tc>
          <w:tcPr>
            <w:tcW w:w="3372" w:type="dxa"/>
            <w:gridSpan w:val="8"/>
            <w:tcBorders>
              <w:top w:val="single" w:sz="4" w:space="0" w:color="auto"/>
              <w:left w:val="single" w:sz="4" w:space="0" w:color="auto"/>
              <w:bottom w:val="nil"/>
              <w:right w:val="single" w:sz="4" w:space="0" w:color="auto"/>
            </w:tcBorders>
            <w:shd w:val="clear" w:color="auto" w:fill="C0C0C0"/>
            <w:vAlign w:val="center"/>
          </w:tcPr>
          <w:p>
            <w:pPr>
              <w:pStyle w:val="yTableNAm"/>
              <w:keepNext/>
              <w:spacing w:before="60"/>
              <w:rPr>
                <w:rFonts w:ascii="Arial" w:hAnsi="Arial" w:cs="Arial"/>
                <w:b/>
                <w:bCs/>
                <w:sz w:val="14"/>
              </w:rPr>
            </w:pPr>
            <w:r>
              <w:rPr>
                <w:rFonts w:ascii="Arial" w:hAnsi="Arial" w:cs="Arial"/>
                <w:b/>
                <w:bCs/>
                <w:sz w:val="14"/>
              </w:rPr>
              <w:t>Division 3</w:t>
            </w:r>
            <w:r>
              <w:rPr>
                <w:rFonts w:ascii="Arial" w:hAnsi="Arial" w:cs="Arial"/>
                <w:b/>
                <w:bCs/>
                <w:sz w:val="14"/>
              </w:rPr>
              <w:tab/>
              <w:t xml:space="preserve">Driver or person in charge not known </w:t>
            </w:r>
          </w:p>
        </w:tc>
        <w:tc>
          <w:tcPr>
            <w:tcW w:w="3574" w:type="dxa"/>
            <w:gridSpan w:val="10"/>
            <w:tcBorders>
              <w:top w:val="single" w:sz="4" w:space="0" w:color="auto"/>
              <w:left w:val="single" w:sz="4" w:space="0" w:color="auto"/>
              <w:right w:val="single" w:sz="4" w:space="0" w:color="auto"/>
            </w:tcBorders>
            <w:vAlign w:val="center"/>
          </w:tcPr>
          <w:p>
            <w:pPr>
              <w:pStyle w:val="yTableNAm"/>
              <w:keepNext/>
              <w:spacing w:before="60"/>
              <w:rPr>
                <w:rFonts w:ascii="Arial" w:hAnsi="Arial" w:cs="Arial"/>
                <w:sz w:val="14"/>
              </w:rPr>
            </w:pPr>
          </w:p>
        </w:tc>
      </w:tr>
      <w:tr>
        <w:trPr>
          <w:cantSplit/>
        </w:trPr>
        <w:tc>
          <w:tcPr>
            <w:tcW w:w="6946" w:type="dxa"/>
            <w:gridSpan w:val="18"/>
            <w:tcBorders>
              <w:top w:val="single" w:sz="4" w:space="0" w:color="auto"/>
              <w:left w:val="single" w:sz="4" w:space="0" w:color="auto"/>
              <w:bottom w:val="nil"/>
              <w:right w:val="single" w:sz="4" w:space="0" w:color="auto"/>
            </w:tcBorders>
            <w:vAlign w:val="center"/>
          </w:tcPr>
          <w:p>
            <w:pPr>
              <w:pStyle w:val="yTableNAm"/>
              <w:keepNext/>
              <w:spacing w:before="60"/>
              <w:rPr>
                <w:rFonts w:ascii="Arial" w:hAnsi="Arial" w:cs="Arial"/>
                <w:sz w:val="14"/>
              </w:rPr>
            </w:pPr>
            <w:r>
              <w:rPr>
                <w:rFonts w:ascii="Arial" w:hAnsi="Arial" w:cs="Arial"/>
                <w:sz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z w:val="14"/>
              </w:rPr>
              <w:t xml:space="preserve">A statutory declaration must be made in accordance with the </w:t>
            </w:r>
            <w:r>
              <w:rPr>
                <w:rFonts w:ascii="Arial" w:hAnsi="Arial" w:cs="Arial"/>
                <w:i/>
                <w:spacing w:val="-2"/>
                <w:sz w:val="14"/>
              </w:rPr>
              <w:t>Oaths, Affidavits and Statutory Declarations Act 2005</w:t>
            </w:r>
            <w:r>
              <w:rPr>
                <w:rFonts w:ascii="Arial" w:hAnsi="Arial" w:cs="Arial"/>
                <w:i/>
                <w:sz w:val="14"/>
              </w:rPr>
              <w:t xml:space="preserve">.  </w:t>
            </w:r>
            <w:r>
              <w:rPr>
                <w:rFonts w:ascii="Arial" w:hAnsi="Arial" w:cs="Arial"/>
                <w:i/>
                <w:sz w:val="14"/>
              </w:rPr>
              <w:br/>
            </w:r>
            <w:r>
              <w:rPr>
                <w:rFonts w:ascii="Arial" w:hAnsi="Arial" w:cs="Arial"/>
                <w:sz w:val="14"/>
              </w:rPr>
              <w:t xml:space="preserve">It must be signed before an authorised witness.  An example statutory declaration is available at </w:t>
            </w:r>
            <w:r>
              <w:rPr>
                <w:rFonts w:ascii="Arial" w:hAnsi="Arial" w:cs="Arial"/>
                <w:i/>
                <w:iCs/>
                <w:color w:val="808080"/>
                <w:sz w:val="14"/>
              </w:rPr>
              <w:t>[www.  Police website  ]</w:t>
            </w:r>
            <w:r>
              <w:rPr>
                <w:rFonts w:ascii="Arial" w:hAnsi="Arial" w:cs="Arial"/>
                <w:sz w:val="14"/>
              </w:rPr>
              <w:t>.</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Making a false statutory declaration is an offence for which you may be imprisoned for 5 years.</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C0C0C"/>
            <w:vAlign w:val="center"/>
          </w:tcPr>
          <w:p>
            <w:pPr>
              <w:pStyle w:val="yTableNAm"/>
              <w:spacing w:before="60"/>
              <w:rPr>
                <w:rFonts w:ascii="Arial" w:hAnsi="Arial" w:cs="Arial"/>
                <w:color w:val="FFFFFF"/>
                <w:sz w:val="16"/>
              </w:rPr>
            </w:pPr>
            <w:r>
              <w:rPr>
                <w:rFonts w:ascii="Arial" w:hAnsi="Arial" w:cs="Arial"/>
                <w:color w:val="FFFFFF"/>
                <w:sz w:val="16"/>
              </w:rPr>
              <w:tab/>
              <w:t xml:space="preserve">SIGN AND RETURN FORM </w:t>
            </w: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387" w:type="dxa"/>
            <w:gridSpan w:val="5"/>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18"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301" w:type="dxa"/>
            <w:gridSpan w:val="4"/>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849" w:type="dxa"/>
            <w:gridSpan w:val="2"/>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628" w:type="dxa"/>
            <w:gridSpan w:val="13"/>
            <w:tcBorders>
              <w:top w:val="nil"/>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18"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700" w:type="dxa"/>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07" w:type="dxa"/>
            <w:gridSpan w:val="4"/>
            <w:tcBorders>
              <w:top w:val="single" w:sz="4" w:space="0" w:color="auto"/>
              <w:left w:val="nil"/>
              <w:right w:val="single" w:sz="4" w:space="0" w:color="auto"/>
            </w:tcBorders>
            <w:vAlign w:val="center"/>
          </w:tcPr>
          <w:p>
            <w:pPr>
              <w:pStyle w:val="yTableNAm"/>
              <w:spacing w:before="60"/>
              <w:rPr>
                <w:rFonts w:ascii="Arial" w:hAnsi="Arial" w:cs="Arial"/>
                <w:sz w:val="14"/>
              </w:rPr>
            </w:pPr>
            <w:r>
              <w:rPr>
                <w:rFonts w:ascii="Arial" w:hAnsi="Arial" w:cs="Arial"/>
                <w:sz w:val="14"/>
              </w:rPr>
              <w:t>By post</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700" w:type="dxa"/>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07" w:type="dxa"/>
            <w:gridSpan w:val="4"/>
            <w:tcBorders>
              <w:left w:val="nil"/>
              <w:right w:val="single" w:sz="4" w:space="0" w:color="auto"/>
            </w:tcBorders>
            <w:vAlign w:val="center"/>
          </w:tcPr>
          <w:p>
            <w:pPr>
              <w:pStyle w:val="yTableNAm"/>
              <w:spacing w:before="60"/>
              <w:rPr>
                <w:rFonts w:ascii="Arial" w:hAnsi="Arial" w:cs="Arial"/>
                <w:sz w:val="14"/>
              </w:rPr>
            </w:pPr>
            <w:r>
              <w:rPr>
                <w:rFonts w:ascii="Arial" w:hAnsi="Arial" w:cs="Arial"/>
                <w:sz w:val="14"/>
              </w:rPr>
              <w:t>In person</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bl>
    <w:p>
      <w:pPr>
        <w:pStyle w:val="yMiscellaneousHeading"/>
        <w:spacing w:after="60"/>
        <w:rPr>
          <w:b/>
          <w:bCs/>
        </w:rPr>
      </w:pPr>
      <w:r>
        <w:rPr>
          <w:b/>
          <w:bCs/>
        </w:rPr>
        <w:t>Reverse of 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4"/>
        <w:gridCol w:w="15"/>
        <w:gridCol w:w="712"/>
        <w:gridCol w:w="1345"/>
        <w:gridCol w:w="1057"/>
        <w:gridCol w:w="585"/>
        <w:gridCol w:w="626"/>
        <w:gridCol w:w="28"/>
        <w:gridCol w:w="406"/>
        <w:gridCol w:w="338"/>
        <w:gridCol w:w="870"/>
      </w:tblGrid>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b/>
                <w:bCs/>
                <w:sz w:val="14"/>
              </w:rPr>
            </w:pPr>
            <w:r>
              <w:rPr>
                <w:rFonts w:ascii="Arial" w:hAnsi="Arial" w:cs="Arial"/>
                <w:b/>
                <w:bCs/>
                <w:sz w:val="14"/>
              </w:rPr>
              <w:t>If you have filled in Part B on the front of the form, DO NOT FILL IN THIS SIDE OF THE FORM</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4"/>
              </w:rPr>
              <w:tab/>
            </w:r>
            <w:r>
              <w:rPr>
                <w:rFonts w:ascii="Arial" w:hAnsi="Arial" w:cs="Arial"/>
                <w:color w:val="FFFFFF"/>
                <w:sz w:val="16"/>
              </w:rPr>
              <w:t>FAILING TO PROVIDE REQUESTED INFORMATION IS AN OFFENCE</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pacing w:val="-2"/>
                <w:sz w:val="14"/>
              </w:rPr>
              <w:t xml:space="preserve">If you do not complete Part B and return this form </w:t>
            </w:r>
            <w:r>
              <w:rPr>
                <w:rFonts w:ascii="Arial" w:hAnsi="Arial" w:cs="Arial"/>
                <w:sz w:val="14"/>
              </w:rPr>
              <w:t xml:space="preserve">by the compliance date set out on the front of this form you commit an offence — called the “failing to comply offence”.  </w:t>
            </w:r>
          </w:p>
        </w:tc>
      </w:tr>
      <w:tr>
        <w:trPr>
          <w:cantSplit/>
        </w:trPr>
        <w:tc>
          <w:tcPr>
            <w:tcW w:w="4678" w:type="dxa"/>
            <w:gridSpan w:val="6"/>
            <w:tcBorders>
              <w:top w:val="nil"/>
              <w:left w:val="single" w:sz="4" w:space="0" w:color="auto"/>
              <w:bottom w:val="nil"/>
              <w:right w:val="single" w:sz="4" w:space="0" w:color="auto"/>
            </w:tcBorders>
          </w:tcPr>
          <w:p>
            <w:pPr>
              <w:pStyle w:val="yTableNAm"/>
              <w:spacing w:before="60"/>
              <w:rPr>
                <w:rFonts w:ascii="Arial" w:hAnsi="Arial" w:cs="Arial"/>
                <w:spacing w:val="-2"/>
                <w:sz w:val="14"/>
              </w:rPr>
            </w:pPr>
            <w:r>
              <w:rPr>
                <w:rFonts w:ascii="Arial" w:hAnsi="Arial" w:cs="Arial"/>
                <w:spacing w:val="-2"/>
                <w:sz w:val="14"/>
              </w:rPr>
              <w:t>This notice then has effect as an infringement notice about the failing to comply offence.</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rPr>
                <w:rFonts w:ascii="Arial" w:hAnsi="Arial" w:cs="Arial"/>
                <w:sz w:val="14"/>
              </w:rPr>
            </w:pPr>
            <w:r>
              <w:rPr>
                <w:rFonts w:ascii="Arial" w:hAnsi="Arial" w:cs="Arial"/>
                <w:sz w:val="14"/>
              </w:rPr>
              <w:t>Infringement No.</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[Notice No.]</w:t>
            </w:r>
          </w:p>
        </w:tc>
      </w:tr>
      <w:tr>
        <w:trPr>
          <w:cantSplit/>
          <w:trHeight w:val="280"/>
        </w:trPr>
        <w:tc>
          <w:tcPr>
            <w:tcW w:w="4678" w:type="dxa"/>
            <w:gridSpan w:val="6"/>
            <w:vMerge w:val="restart"/>
            <w:tcBorders>
              <w:top w:val="nil"/>
              <w:left w:val="single" w:sz="4" w:space="0" w:color="auto"/>
              <w:bottom w:val="nil"/>
              <w:right w:val="single" w:sz="4" w:space="0" w:color="auto"/>
            </w:tcBorders>
          </w:tcPr>
          <w:p>
            <w:pPr>
              <w:pStyle w:val="yTableNAm"/>
              <w:spacing w:before="60"/>
              <w:ind w:right="-37"/>
              <w:rPr>
                <w:rFonts w:ascii="Arial" w:hAnsi="Arial" w:cs="Arial"/>
                <w:spacing w:val="-2"/>
                <w:sz w:val="14"/>
              </w:rPr>
            </w:pPr>
            <w:r>
              <w:rPr>
                <w:rFonts w:ascii="Arial" w:hAnsi="Arial" w:cs="Arial"/>
                <w:spacing w:val="-2"/>
                <w:sz w:val="14"/>
              </w:rPr>
              <w:t xml:space="preserve">If you do not want to be prosecuted for the failing to comply offence, you can pay the modified penalty.  To do this </w:t>
            </w:r>
            <w:r>
              <w:rPr>
                <w:rFonts w:ascii="Arial" w:hAnsi="Arial" w:cs="Arial"/>
                <w:b/>
                <w:bCs/>
                <w:spacing w:val="-2"/>
                <w:sz w:val="14"/>
              </w:rPr>
              <w:t>you must pay the modified penalty by the payment date</w:t>
            </w:r>
            <w:r>
              <w:rPr>
                <w:rFonts w:ascii="Arial" w:hAnsi="Arial" w:cs="Arial"/>
                <w:spacing w:val="-2"/>
                <w:sz w:val="14"/>
              </w:rPr>
              <w:t>.  The options for how to pay are set out in Part D below.</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Modified penalty</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[Modified penalty]</w:t>
            </w:r>
          </w:p>
        </w:tc>
      </w:tr>
      <w:tr>
        <w:trPr>
          <w:cantSplit/>
          <w:trHeight w:val="280"/>
        </w:trPr>
        <w:tc>
          <w:tcPr>
            <w:tcW w:w="4678" w:type="dxa"/>
            <w:gridSpan w:val="6"/>
            <w:vMerge/>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Payment date</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[Payment date]</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If you do not do pay the modified penalty you may be prosecuted for committing the failing to comply offence.</w:t>
            </w:r>
          </w:p>
          <w:p>
            <w:pPr>
              <w:pStyle w:val="yTableNAm"/>
              <w:spacing w:before="60"/>
              <w:rPr>
                <w:rFonts w:ascii="Arial" w:hAnsi="Arial" w:cs="Arial"/>
                <w:spacing w:val="-2"/>
                <w:sz w:val="14"/>
              </w:rPr>
            </w:pPr>
            <w:r>
              <w:rPr>
                <w:rFonts w:ascii="Arial" w:hAnsi="Arial" w:cs="Arial"/>
                <w:sz w:val="14"/>
              </w:rPr>
              <w:t>The maximum fine for the failing to comply offence is double the maximum fine that could be imposed by a court for the vehicle offence described in Part A. You may also be ordered to pay costs.</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pacing w:val="-2"/>
                <w:sz w:val="14"/>
              </w:rPr>
              <w:t xml:space="preserve">If you want the offence dealt with by a court, fill in Part C and </w:t>
            </w:r>
            <w:r>
              <w:rPr>
                <w:rFonts w:ascii="Arial" w:hAnsi="Arial" w:cs="Arial"/>
                <w:sz w:val="14"/>
              </w:rPr>
              <w:t>return this form by the payment date.</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6"/>
              </w:rPr>
              <w:t>PART C</w:t>
            </w:r>
            <w:r>
              <w:rPr>
                <w:rFonts w:ascii="Arial" w:hAnsi="Arial" w:cs="Arial"/>
                <w:color w:val="FFFFFF"/>
                <w:sz w:val="16"/>
              </w:rPr>
              <w:tab/>
              <w:t>FAILING TO COMPLY OFFENCE – ELECTION TO GO TO COURT</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sym w:font="Monotype Sorts" w:char="F071"/>
            </w:r>
            <w:r>
              <w:rPr>
                <w:rFonts w:ascii="Arial" w:hAnsi="Arial" w:cs="Arial"/>
                <w:sz w:val="14"/>
              </w:rPr>
              <w:tab/>
              <w:t>I elect to have the failing to comply offence described above dealt with by a court.</w:t>
            </w: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239"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744"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07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340" w:type="dxa"/>
            <w:gridSpan w:val="6"/>
            <w:tcBorders>
              <w:top w:val="nil"/>
              <w:left w:val="nil"/>
              <w:bottom w:val="single" w:sz="4" w:space="0" w:color="auto"/>
              <w:right w:val="nil"/>
            </w:tcBorders>
            <w:vAlign w:val="center"/>
          </w:tcPr>
          <w:p>
            <w:pPr>
              <w:pStyle w:val="yTableNAm"/>
              <w:spacing w:before="60"/>
              <w:rPr>
                <w:rFonts w:ascii="Arial" w:hAnsi="Arial" w:cs="Arial"/>
                <w:sz w:val="14"/>
              </w:rPr>
            </w:pPr>
          </w:p>
        </w:tc>
        <w:tc>
          <w:tcPr>
            <w:tcW w:w="772"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79" w:type="dxa"/>
            <w:gridSpan w:val="2"/>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12" w:type="dxa"/>
            <w:tcBorders>
              <w:top w:val="single" w:sz="4" w:space="0" w:color="auto"/>
              <w:left w:val="nil"/>
              <w:right w:val="nil"/>
            </w:tcBorders>
            <w:vAlign w:val="center"/>
          </w:tcPr>
          <w:p>
            <w:pPr>
              <w:pStyle w:val="yTableNAm"/>
              <w:spacing w:before="60"/>
              <w:rPr>
                <w:rFonts w:ascii="Arial" w:hAnsi="Arial" w:cs="Arial"/>
                <w:sz w:val="14"/>
              </w:rPr>
            </w:pPr>
            <w:r>
              <w:rPr>
                <w:rFonts w:ascii="Arial" w:hAnsi="Arial" w:cs="Arial"/>
                <w:sz w:val="14"/>
              </w:rPr>
              <w:t>By post</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979" w:type="dxa"/>
            <w:gridSpan w:val="2"/>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12" w:type="dxa"/>
            <w:tcBorders>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In person</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szCs w:val="16"/>
              </w:rPr>
            </w:pPr>
            <w:r>
              <w:rPr>
                <w:rFonts w:ascii="Arial" w:hAnsi="Arial" w:cs="Arial"/>
                <w:color w:val="FFFFFF"/>
                <w:sz w:val="16"/>
                <w:szCs w:val="16"/>
              </w:rPr>
              <w:t>PART D</w:t>
            </w:r>
            <w:r>
              <w:rPr>
                <w:rFonts w:ascii="Arial" w:hAnsi="Arial" w:cs="Arial"/>
                <w:color w:val="FFFFFF"/>
                <w:sz w:val="16"/>
                <w:szCs w:val="16"/>
              </w:rPr>
              <w:tab/>
              <w:t xml:space="preserve">FAILING TO COMPLY OFFENCE – PAYMENT OPTIONS </w:t>
            </w:r>
          </w:p>
        </w:tc>
      </w:tr>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i/>
                <w:iCs/>
                <w:color w:val="808080"/>
                <w:sz w:val="14"/>
              </w:rPr>
            </w:pPr>
            <w:r>
              <w:rPr>
                <w:rFonts w:ascii="Arial" w:hAnsi="Arial" w:cs="Arial"/>
                <w:i/>
                <w:iCs/>
                <w:color w:val="808080"/>
                <w:sz w:val="14"/>
              </w:rPr>
              <w:t>[Details of how to pay:</w:t>
            </w:r>
          </w:p>
          <w:p>
            <w:pPr>
              <w:pStyle w:val="yTableNAm"/>
              <w:spacing w:before="60"/>
              <w:rPr>
                <w:rFonts w:ascii="Arial" w:hAnsi="Arial" w:cs="Arial"/>
                <w:i/>
                <w:iCs/>
                <w:color w:val="808080"/>
                <w:sz w:val="14"/>
              </w:rPr>
            </w:pPr>
            <w:r>
              <w:rPr>
                <w:rFonts w:ascii="Arial" w:hAnsi="Arial" w:cs="Arial"/>
                <w:i/>
                <w:iCs/>
                <w:color w:val="808080"/>
                <w:sz w:val="14"/>
              </w:rPr>
              <w:t xml:space="preserve">in person </w:t>
            </w:r>
          </w:p>
          <w:p>
            <w:pPr>
              <w:pStyle w:val="yTableNAm"/>
              <w:spacing w:before="60"/>
              <w:rPr>
                <w:rFonts w:ascii="Arial" w:hAnsi="Arial" w:cs="Arial"/>
                <w:i/>
                <w:iCs/>
                <w:color w:val="808080"/>
                <w:sz w:val="14"/>
              </w:rPr>
            </w:pPr>
            <w:r>
              <w:rPr>
                <w:rFonts w:ascii="Arial" w:hAnsi="Arial" w:cs="Arial"/>
                <w:i/>
                <w:iCs/>
                <w:color w:val="808080"/>
                <w:sz w:val="14"/>
              </w:rPr>
              <w:t>by post</w:t>
            </w:r>
          </w:p>
          <w:p>
            <w:pPr>
              <w:pStyle w:val="yTableNAm"/>
              <w:spacing w:before="60"/>
              <w:rPr>
                <w:rFonts w:ascii="Arial" w:hAnsi="Arial" w:cs="Arial"/>
                <w:i/>
                <w:iCs/>
                <w:color w:val="808080"/>
                <w:sz w:val="14"/>
              </w:rPr>
            </w:pPr>
            <w:r>
              <w:rPr>
                <w:rFonts w:ascii="Arial" w:hAnsi="Arial" w:cs="Arial"/>
                <w:i/>
                <w:iCs/>
                <w:color w:val="808080"/>
                <w:sz w:val="14"/>
              </w:rPr>
              <w:t>by any available electronic or other methods.]</w:t>
            </w:r>
          </w:p>
        </w:tc>
      </w:tr>
    </w:tbl>
    <w:p>
      <w:pPr>
        <w:pStyle w:val="yFootnotesection"/>
      </w:pPr>
      <w:r>
        <w:tab/>
        <w:t>[Form 4 inserted in Gazette 13 Nov 2009 p. 4539</w:t>
      </w:r>
      <w:r>
        <w:noBreakHyphen/>
        <w:t>40.]</w:t>
      </w:r>
    </w:p>
    <w:p>
      <w:pPr>
        <w:pStyle w:val="yTable"/>
        <w:pageBreakBefore/>
        <w:jc w:val="center"/>
        <w:rPr>
          <w:b/>
        </w:rPr>
      </w:pPr>
      <w:r>
        <w:rPr>
          <w:b/>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
      <w:pPr>
        <w:pStyle w:val="CentredBaseLine"/>
        <w:jc w:val="center"/>
      </w:pPr>
      <w:r>
        <w:rPr>
          <w:noProof/>
        </w:rPr>
        <w:drawing>
          <wp:inline distT="0" distB="0" distL="0" distR="0">
            <wp:extent cx="935355" cy="173355"/>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1" w:name="_Toc378863650"/>
      <w:bookmarkStart w:id="12" w:name="_Toc397942057"/>
      <w:r>
        <w:t>Notes</w:t>
      </w:r>
      <w:bookmarkEnd w:id="11"/>
      <w:bookmarkEnd w:id="12"/>
    </w:p>
    <w:p>
      <w:pPr>
        <w:pStyle w:val="nSubsection"/>
        <w:rPr>
          <w:snapToGrid w:val="0"/>
        </w:rPr>
      </w:pPr>
      <w:r>
        <w:rPr>
          <w:snapToGrid w:val="0"/>
          <w:vertAlign w:val="superscript"/>
        </w:rPr>
        <w:t>1</w:t>
      </w:r>
      <w:r>
        <w:rPr>
          <w:snapToGrid w:val="0"/>
        </w:rPr>
        <w:tab/>
        <w:t xml:space="preserve">This reprint is a compilation as at 9 March 2012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 </w:t>
      </w:r>
      <w:r>
        <w:rPr>
          <w:snapToGrid w:val="0"/>
          <w:vertAlign w:val="superscript"/>
        </w:rPr>
        <w:t>1a</w:t>
      </w:r>
    </w:p>
    <w:p>
      <w:pPr>
        <w:pStyle w:val="nHeading3"/>
        <w:rPr>
          <w:snapToGrid w:val="0"/>
        </w:rPr>
      </w:pPr>
      <w:bookmarkStart w:id="13" w:name="_Toc397942058"/>
      <w:r>
        <w:rPr>
          <w:snapToGrid w:val="0"/>
        </w:rP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iCs/>
                <w:sz w:val="19"/>
                <w:vertAlign w:val="superscript"/>
              </w:rPr>
              <w:t> 4</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r>
              <w:rPr>
                <w:sz w:val="19"/>
                <w:vertAlign w:val="superscript"/>
              </w:rPr>
              <w:t> 5</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w:t>
            </w:r>
            <w:r>
              <w:rPr>
                <w:sz w:val="19"/>
              </w:rPr>
              <w:noBreakHyphen/>
              <w:t>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Pr>
          <w:p>
            <w:pPr>
              <w:pStyle w:val="nTable"/>
              <w:spacing w:after="40"/>
              <w:rPr>
                <w:sz w:val="19"/>
              </w:rPr>
            </w:pPr>
            <w:r>
              <w:rPr>
                <w:sz w:val="19"/>
              </w:rPr>
              <w:t>10 Jun 2008 p. 2449</w:t>
            </w:r>
            <w:r>
              <w:rPr>
                <w:sz w:val="19"/>
              </w:rPr>
              <w:noBreakHyphen/>
              <w:t>67</w:t>
            </w:r>
          </w:p>
        </w:tc>
        <w:tc>
          <w:tcPr>
            <w:tcW w:w="2693" w:type="dxa"/>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r>
        <w:trPr>
          <w:cantSplit/>
        </w:trPr>
        <w:tc>
          <w:tcPr>
            <w:tcW w:w="3118" w:type="dxa"/>
          </w:tcPr>
          <w:p>
            <w:pPr>
              <w:pStyle w:val="nTable"/>
              <w:spacing w:after="40"/>
              <w:ind w:right="113"/>
              <w:rPr>
                <w:i/>
                <w:sz w:val="19"/>
              </w:rPr>
            </w:pPr>
            <w:r>
              <w:rPr>
                <w:i/>
                <w:sz w:val="19"/>
              </w:rPr>
              <w:t>Road Traffic Amendment (Novice Driver Penalties) Regulations 2008</w:t>
            </w:r>
            <w:r>
              <w:rPr>
                <w:i/>
                <w:iCs/>
                <w:sz w:val="19"/>
              </w:rPr>
              <w:t xml:space="preserve"> </w:t>
            </w:r>
            <w:r>
              <w:rPr>
                <w:sz w:val="19"/>
              </w:rPr>
              <w:t>Pt. 3</w:t>
            </w:r>
          </w:p>
        </w:tc>
        <w:tc>
          <w:tcPr>
            <w:tcW w:w="1276" w:type="dxa"/>
          </w:tcPr>
          <w:p>
            <w:pPr>
              <w:pStyle w:val="nTable"/>
              <w:spacing w:after="40"/>
              <w:rPr>
                <w:sz w:val="19"/>
              </w:rPr>
            </w:pPr>
            <w:r>
              <w:rPr>
                <w:sz w:val="19"/>
              </w:rPr>
              <w:t>27 Jun 2008 p. 3119</w:t>
            </w:r>
            <w:r>
              <w:rPr>
                <w:sz w:val="19"/>
              </w:rPr>
              <w:noBreakHyphen/>
              <w:t>24</w:t>
            </w:r>
          </w:p>
        </w:tc>
        <w:tc>
          <w:tcPr>
            <w:tcW w:w="2693" w:type="dxa"/>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rPr>
          <w:cantSplit/>
        </w:trPr>
        <w:tc>
          <w:tcPr>
            <w:tcW w:w="7087" w:type="dxa"/>
            <w:gridSpan w:val="3"/>
          </w:tcPr>
          <w:p>
            <w:pPr>
              <w:pStyle w:val="nTable"/>
              <w:spacing w:after="40"/>
              <w:rPr>
                <w:sz w:val="19"/>
              </w:rPr>
            </w:pPr>
            <w:r>
              <w:rPr>
                <w:b/>
                <w:bCs/>
                <w:sz w:val="19"/>
              </w:rPr>
              <w:t xml:space="preserve">Reprint 6: The </w:t>
            </w:r>
            <w:r>
              <w:rPr>
                <w:b/>
                <w:bCs/>
                <w:i/>
                <w:iCs/>
                <w:sz w:val="19"/>
              </w:rPr>
              <w:t>Road Traffic (Infringements) Regulations 1975</w:t>
            </w:r>
            <w:r>
              <w:rPr>
                <w:b/>
                <w:bCs/>
                <w:sz w:val="19"/>
              </w:rPr>
              <w:t xml:space="preserve"> as at 3 Apr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2009</w:t>
            </w:r>
          </w:p>
        </w:tc>
        <w:tc>
          <w:tcPr>
            <w:tcW w:w="1276" w:type="dxa"/>
          </w:tcPr>
          <w:p>
            <w:pPr>
              <w:pStyle w:val="nTable"/>
              <w:spacing w:after="40"/>
              <w:rPr>
                <w:sz w:val="19"/>
              </w:rPr>
            </w:pPr>
            <w:r>
              <w:rPr>
                <w:sz w:val="19"/>
              </w:rPr>
              <w:t>16 Oct 2009 p. 4069</w:t>
            </w:r>
          </w:p>
        </w:tc>
        <w:tc>
          <w:tcPr>
            <w:tcW w:w="2693" w:type="dxa"/>
          </w:tcPr>
          <w:p>
            <w:pPr>
              <w:pStyle w:val="nTable"/>
              <w:spacing w:after="40"/>
              <w:rPr>
                <w:sz w:val="19"/>
              </w:rPr>
            </w:pPr>
            <w:r>
              <w:rPr>
                <w:sz w:val="19"/>
              </w:rPr>
              <w:t>r. 1 and 2: 16 Oct 2009 (see r. 2(a));</w:t>
            </w:r>
            <w:r>
              <w:rPr>
                <w:sz w:val="19"/>
              </w:rPr>
              <w:br/>
              <w:t>Regulations other than r. 1 and 2: 17 Oct 2009 (see r. 2(b))</w:t>
            </w:r>
          </w:p>
        </w:tc>
      </w:tr>
      <w:tr>
        <w:trPr>
          <w:cantSplit/>
        </w:trPr>
        <w:tc>
          <w:tcPr>
            <w:tcW w:w="3118" w:type="dxa"/>
          </w:tcPr>
          <w:p>
            <w:pPr>
              <w:pStyle w:val="nTable"/>
              <w:spacing w:after="40"/>
              <w:ind w:right="113"/>
              <w:rPr>
                <w:i/>
                <w:sz w:val="19"/>
              </w:rPr>
            </w:pPr>
            <w:r>
              <w:rPr>
                <w:i/>
                <w:sz w:val="19"/>
              </w:rPr>
              <w:t>Road Traffic (Infringements) Amendment Regulations 2009</w:t>
            </w:r>
          </w:p>
        </w:tc>
        <w:tc>
          <w:tcPr>
            <w:tcW w:w="1276" w:type="dxa"/>
          </w:tcPr>
          <w:p>
            <w:pPr>
              <w:pStyle w:val="nTable"/>
              <w:spacing w:after="40"/>
              <w:rPr>
                <w:sz w:val="19"/>
              </w:rPr>
            </w:pPr>
            <w:r>
              <w:rPr>
                <w:sz w:val="19"/>
              </w:rPr>
              <w:t>13 Nov 2009 p. 4539</w:t>
            </w:r>
            <w:r>
              <w:rPr>
                <w:sz w:val="19"/>
              </w:rPr>
              <w:noBreakHyphen/>
              <w:t>40</w:t>
            </w:r>
          </w:p>
        </w:tc>
        <w:tc>
          <w:tcPr>
            <w:tcW w:w="2693" w:type="dxa"/>
          </w:tcPr>
          <w:p>
            <w:pPr>
              <w:pStyle w:val="nTable"/>
              <w:spacing w:after="40"/>
              <w:rPr>
                <w:sz w:val="19"/>
              </w:rPr>
            </w:pPr>
            <w:r>
              <w:rPr>
                <w:snapToGrid w:val="0"/>
                <w:spacing w:val="-2"/>
                <w:sz w:val="19"/>
              </w:rPr>
              <w:t>r. 1 and 2: 13 Nov 2009 (see r. 2(a));</w:t>
            </w:r>
            <w:r>
              <w:rPr>
                <w:snapToGrid w:val="0"/>
                <w:spacing w:val="-2"/>
                <w:sz w:val="19"/>
              </w:rPr>
              <w:br/>
              <w:t>Regulations other than r. 1 and 2: 14 Nov 2009 (see r. 2(b))</w:t>
            </w:r>
          </w:p>
        </w:tc>
      </w:tr>
      <w:tr>
        <w:trPr>
          <w:cantSplit/>
        </w:trPr>
        <w:tc>
          <w:tcPr>
            <w:tcW w:w="3118" w:type="dxa"/>
          </w:tcPr>
          <w:p>
            <w:pPr>
              <w:pStyle w:val="nTable"/>
              <w:spacing w:after="40"/>
              <w:ind w:right="113"/>
              <w:rPr>
                <w:i/>
                <w:sz w:val="19"/>
              </w:rPr>
            </w:pPr>
            <w:r>
              <w:rPr>
                <w:i/>
                <w:sz w:val="19"/>
              </w:rPr>
              <w:t>Road Traffic (Infringements) Amendment Regulations (No. 3) 2009</w:t>
            </w:r>
          </w:p>
        </w:tc>
        <w:tc>
          <w:tcPr>
            <w:tcW w:w="1276" w:type="dxa"/>
          </w:tcPr>
          <w:p>
            <w:pPr>
              <w:pStyle w:val="nTable"/>
              <w:spacing w:after="40"/>
              <w:rPr>
                <w:sz w:val="19"/>
              </w:rPr>
            </w:pPr>
            <w:r>
              <w:rPr>
                <w:sz w:val="19"/>
              </w:rPr>
              <w:t>31 Dec 2009 p. 5415-16</w:t>
            </w:r>
          </w:p>
        </w:tc>
        <w:tc>
          <w:tcPr>
            <w:tcW w:w="2693" w:type="dxa"/>
          </w:tcPr>
          <w:p>
            <w:pPr>
              <w:pStyle w:val="nTable"/>
              <w:spacing w:after="40"/>
              <w:rPr>
                <w:snapToGrid w:val="0"/>
                <w:spacing w:val="-2"/>
                <w:sz w:val="19"/>
              </w:rPr>
            </w:pPr>
            <w:r>
              <w:rPr>
                <w:snapToGrid w:val="0"/>
                <w:spacing w:val="-2"/>
                <w:sz w:val="19"/>
              </w:rPr>
              <w:t>r. 1 and 2: 31 Dec 2009 (see r. 2(a));</w:t>
            </w:r>
            <w:r>
              <w:rPr>
                <w:snapToGrid w:val="0"/>
                <w:spacing w:val="-2"/>
                <w:sz w:val="19"/>
              </w:rPr>
              <w:br/>
              <w:t>Regulations other than r. 1 and 2: 1 Jan 2010 (see r. 2(b))</w:t>
            </w:r>
          </w:p>
        </w:tc>
      </w:tr>
      <w:tr>
        <w:trPr>
          <w:cantSplit/>
        </w:trPr>
        <w:tc>
          <w:tcPr>
            <w:tcW w:w="3118" w:type="dxa"/>
            <w:shd w:val="clear" w:color="auto" w:fill="auto"/>
          </w:tcPr>
          <w:p>
            <w:pPr>
              <w:pStyle w:val="nTable"/>
              <w:spacing w:after="40"/>
              <w:ind w:right="113"/>
              <w:rPr>
                <w:i/>
                <w:sz w:val="19"/>
              </w:rPr>
            </w:pPr>
            <w:r>
              <w:rPr>
                <w:i/>
                <w:sz w:val="19"/>
              </w:rPr>
              <w:t>Road Traffic (Infringements) Amendment Regulations 2011</w:t>
            </w:r>
          </w:p>
        </w:tc>
        <w:tc>
          <w:tcPr>
            <w:tcW w:w="1276" w:type="dxa"/>
            <w:shd w:val="clear" w:color="auto" w:fill="auto"/>
          </w:tcPr>
          <w:p>
            <w:pPr>
              <w:pStyle w:val="nTable"/>
              <w:spacing w:after="40"/>
              <w:rPr>
                <w:sz w:val="19"/>
              </w:rPr>
            </w:pPr>
            <w:r>
              <w:rPr>
                <w:sz w:val="19"/>
              </w:rPr>
              <w:t>30 Aug 2011 p. 3512</w:t>
            </w:r>
          </w:p>
        </w:tc>
        <w:tc>
          <w:tcPr>
            <w:tcW w:w="2693" w:type="dxa"/>
            <w:shd w:val="clear" w:color="auto" w:fill="auto"/>
          </w:tcPr>
          <w:p>
            <w:pPr>
              <w:pStyle w:val="nTable"/>
              <w:spacing w:after="40"/>
              <w:rPr>
                <w:snapToGrid w:val="0"/>
                <w:spacing w:val="-2"/>
                <w:sz w:val="19"/>
              </w:rPr>
            </w:pPr>
            <w:r>
              <w:rPr>
                <w:snapToGrid w:val="0"/>
                <w:spacing w:val="-2"/>
                <w:sz w:val="19"/>
              </w:rPr>
              <w:t xml:space="preserve">r. 1 and 2: </w:t>
            </w:r>
            <w:r>
              <w:rPr>
                <w:sz w:val="19"/>
              </w:rPr>
              <w:t xml:space="preserve">30 Aug 2011 </w:t>
            </w:r>
            <w:r>
              <w:rPr>
                <w:snapToGrid w:val="0"/>
                <w:spacing w:val="-2"/>
                <w:sz w:val="19"/>
              </w:rPr>
              <w:t>(see r. 2(a));</w:t>
            </w:r>
            <w:r>
              <w:rPr>
                <w:snapToGrid w:val="0"/>
                <w:spacing w:val="-2"/>
                <w:sz w:val="19"/>
              </w:rPr>
              <w:br/>
              <w:t xml:space="preserve">Regulations other than r. 1 and 2: </w:t>
            </w:r>
            <w:r>
              <w:rPr>
                <w:sz w:val="19"/>
              </w:rPr>
              <w:t xml:space="preserve">1 Oct 2011 (see r. 2(b) and </w:t>
            </w:r>
            <w:r>
              <w:rPr>
                <w:i/>
                <w:sz w:val="19"/>
              </w:rPr>
              <w:t>Gazette</w:t>
            </w:r>
            <w:r>
              <w:rPr>
                <w:sz w:val="19"/>
              </w:rPr>
              <w:t xml:space="preserve"> 30 Aug 2011 p. 3503)</w:t>
            </w:r>
          </w:p>
        </w:tc>
      </w:tr>
      <w:tr>
        <w:trPr>
          <w:cantSplit/>
        </w:trPr>
        <w:tc>
          <w:tcPr>
            <w:tcW w:w="7087" w:type="dxa"/>
            <w:gridSpan w:val="3"/>
            <w:shd w:val="clear" w:color="auto" w:fill="auto"/>
          </w:tcPr>
          <w:p>
            <w:pPr>
              <w:pStyle w:val="nTable"/>
              <w:spacing w:after="40"/>
              <w:rPr>
                <w:sz w:val="19"/>
              </w:rPr>
            </w:pPr>
            <w:r>
              <w:rPr>
                <w:b/>
                <w:bCs/>
                <w:sz w:val="19"/>
              </w:rPr>
              <w:t xml:space="preserve">Reprint 7: The </w:t>
            </w:r>
            <w:r>
              <w:rPr>
                <w:b/>
                <w:bCs/>
                <w:i/>
                <w:iCs/>
                <w:sz w:val="19"/>
              </w:rPr>
              <w:t>Road Traffic (Infringements) Regulations 1975</w:t>
            </w:r>
            <w:r>
              <w:rPr>
                <w:b/>
                <w:bCs/>
                <w:sz w:val="19"/>
              </w:rPr>
              <w:t xml:space="preserve"> as at 9 Mar 2012</w:t>
            </w:r>
            <w:r>
              <w:rPr>
                <w:sz w:val="19"/>
              </w:rP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ind w:right="113"/>
              <w:rPr>
                <w:i/>
                <w:sz w:val="19"/>
              </w:rPr>
            </w:pPr>
            <w:r>
              <w:rPr>
                <w:i/>
                <w:sz w:val="19"/>
              </w:rPr>
              <w:t>Road Traffic (Infringements) Amendment Regulations 2013</w:t>
            </w:r>
          </w:p>
        </w:tc>
        <w:tc>
          <w:tcPr>
            <w:tcW w:w="1276" w:type="dxa"/>
            <w:tcBorders>
              <w:bottom w:val="single" w:sz="4" w:space="0" w:color="auto"/>
            </w:tcBorders>
            <w:shd w:val="clear" w:color="auto" w:fill="auto"/>
          </w:tcPr>
          <w:p>
            <w:pPr>
              <w:pStyle w:val="nTable"/>
              <w:spacing w:after="40"/>
              <w:rPr>
                <w:sz w:val="19"/>
              </w:rPr>
            </w:pPr>
            <w:r>
              <w:rPr>
                <w:sz w:val="19"/>
              </w:rPr>
              <w:t>20 Aug 2013 p. 3847</w:t>
            </w:r>
          </w:p>
        </w:tc>
        <w:tc>
          <w:tcPr>
            <w:tcW w:w="2693" w:type="dxa"/>
            <w:tcBorders>
              <w:bottom w:val="single" w:sz="4" w:space="0" w:color="auto"/>
            </w:tcBorders>
            <w:shd w:val="clear" w:color="auto" w:fill="auto"/>
          </w:tcPr>
          <w:p>
            <w:pPr>
              <w:pStyle w:val="nTable"/>
              <w:spacing w:after="40"/>
              <w:rPr>
                <w:i/>
                <w:snapToGrid w:val="0"/>
                <w:spacing w:val="-2"/>
                <w:sz w:val="19"/>
              </w:rPr>
            </w:pPr>
            <w:r>
              <w:rPr>
                <w:snapToGrid w:val="0"/>
                <w:spacing w:val="-2"/>
                <w:sz w:val="19"/>
              </w:rPr>
              <w:t>r. 1 and 2: 20 Aug 2013</w:t>
            </w:r>
            <w:r>
              <w:rPr>
                <w:sz w:val="19"/>
              </w:rPr>
              <w:t xml:space="preserve"> </w:t>
            </w:r>
            <w:r>
              <w:rPr>
                <w:snapToGrid w:val="0"/>
                <w:spacing w:val="-2"/>
                <w:sz w:val="19"/>
              </w:rPr>
              <w:t>(see r. 2(a));</w:t>
            </w:r>
            <w:r>
              <w:rPr>
                <w:snapToGrid w:val="0"/>
                <w:spacing w:val="-2"/>
                <w:sz w:val="19"/>
              </w:rPr>
              <w:br/>
              <w:t>Regulations other than r. 1 and 2: 21 Aug 2013</w:t>
            </w:r>
            <w:r>
              <w:rPr>
                <w:sz w:val="19"/>
              </w:rPr>
              <w:t xml:space="preserve"> (see r. 2(b) and </w:t>
            </w:r>
            <w:r>
              <w:rPr>
                <w:i/>
                <w:sz w:val="19"/>
              </w:rPr>
              <w:t>Gazette</w:t>
            </w:r>
            <w:r>
              <w:rPr>
                <w:sz w:val="19"/>
              </w:rPr>
              <w:t xml:space="preserve"> 20 Aug 2013 p. 3815)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 w:name="_Toc397942059"/>
      <w:r>
        <w:t>Provisions that have not come into operation</w:t>
      </w:r>
      <w:bookmarkEnd w:id="1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sz w:val="19"/>
              </w:rPr>
              <w:t>Road Traffic (Infringements) Amendment Regulations 2014</w:t>
            </w:r>
            <w:r>
              <w:t xml:space="preserve"> r. 3-4 </w:t>
            </w:r>
            <w:r>
              <w:rPr>
                <w:vertAlign w:val="superscript"/>
              </w:rPr>
              <w:t>6</w:t>
            </w:r>
          </w:p>
        </w:tc>
        <w:tc>
          <w:tcPr>
            <w:tcW w:w="1276" w:type="dxa"/>
            <w:tcBorders>
              <w:top w:val="single" w:sz="8" w:space="0" w:color="auto"/>
              <w:bottom w:val="single" w:sz="8" w:space="0" w:color="auto"/>
            </w:tcBorders>
          </w:tcPr>
          <w:p>
            <w:pPr>
              <w:pStyle w:val="nTable"/>
              <w:spacing w:after="40"/>
              <w:rPr>
                <w:sz w:val="19"/>
              </w:rPr>
            </w:pPr>
            <w:r>
              <w:rPr>
                <w:sz w:val="19"/>
              </w:rPr>
              <w:t>9 Sep 2014 p. 3248</w:t>
            </w:r>
          </w:p>
        </w:tc>
        <w:tc>
          <w:tcPr>
            <w:tcW w:w="2693" w:type="dxa"/>
            <w:tcBorders>
              <w:top w:val="single" w:sz="8" w:space="0" w:color="auto"/>
              <w:bottom w:val="single" w:sz="8" w:space="0" w:color="auto"/>
            </w:tcBorders>
          </w:tcPr>
          <w:p>
            <w:pPr>
              <w:pStyle w:val="nTable"/>
              <w:spacing w:after="40"/>
              <w:rPr>
                <w:sz w:val="19"/>
              </w:rPr>
            </w:pPr>
            <w:r>
              <w:rPr>
                <w:sz w:val="19"/>
              </w:rPr>
              <w:t>26 Sep 2014 (see r. 2(b))</w:t>
            </w:r>
          </w:p>
        </w:tc>
      </w:tr>
    </w:tbl>
    <w:p>
      <w:pPr>
        <w:pStyle w:val="nSubsection"/>
        <w:rPr>
          <w:vertAlign w:val="superscript"/>
        </w:rPr>
      </w:pPr>
      <w:r>
        <w:rPr>
          <w:vertAlign w:val="superscript"/>
        </w:rPr>
        <w:t>2</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vertAlign w:val="superscript"/>
        </w:rPr>
      </w:pPr>
      <w:r>
        <w:rPr>
          <w:vertAlign w:val="superscript"/>
        </w:rPr>
        <w:t>3</w:t>
      </w:r>
      <w:r>
        <w:rPr>
          <w:vertAlign w:val="superscript"/>
        </w:rPr>
        <w:tab/>
      </w:r>
      <w:r>
        <w:rPr>
          <w:rFonts w:ascii="Times" w:hAnsi="Times"/>
        </w:rPr>
        <w:t xml:space="preserve">Under the </w:t>
      </w:r>
      <w:r>
        <w:rPr>
          <w:i/>
          <w:iCs/>
        </w:rPr>
        <w:t xml:space="preserve">Duties Act 2008 </w:t>
      </w:r>
      <w:r>
        <w:rPr>
          <w:iCs/>
        </w:rPr>
        <w:t>Sch. 3 cl. 28(2), a reference to the</w:t>
      </w:r>
      <w:r>
        <w:rPr>
          <w:i/>
          <w:iCs/>
        </w:rPr>
        <w:t xml:space="preserve"> Stamp Act 1921 </w:t>
      </w:r>
      <w:r>
        <w:rPr>
          <w:iCs/>
        </w:rPr>
        <w:t>in a written law is, if it is appropriate in the context to do so, to be taken to be a reference to the</w:t>
      </w:r>
      <w:r>
        <w:rPr>
          <w:i/>
          <w:iCs/>
        </w:rPr>
        <w:t xml:space="preserve"> Duties Act 2008.</w:t>
      </w:r>
    </w:p>
    <w:p>
      <w:pPr>
        <w:pStyle w:val="nSubsection"/>
      </w:pPr>
      <w:r>
        <w:rPr>
          <w:vertAlign w:val="superscript"/>
        </w:rPr>
        <w:t>4</w:t>
      </w:r>
      <w:r>
        <w:tab/>
        <w:t xml:space="preserve">This amendment was superseded in </w:t>
      </w:r>
      <w:r>
        <w:rPr>
          <w:i/>
          <w:iCs/>
        </w:rPr>
        <w:t>Gazette</w:t>
      </w:r>
      <w:r>
        <w:t xml:space="preserve"> 29 Jun 1979 p. 1777</w:t>
      </w:r>
      <w:r>
        <w:noBreakHyphen/>
        <w:t>8.</w:t>
      </w:r>
    </w:p>
    <w:p>
      <w:pPr>
        <w:pStyle w:val="nSubsection"/>
        <w:rPr>
          <w:rFonts w:ascii="Times" w:hAnsi="Times"/>
        </w:rPr>
      </w:pPr>
      <w:r>
        <w:rPr>
          <w:vertAlign w:val="superscript"/>
        </w:rPr>
        <w:t>5</w:t>
      </w:r>
      <w:r>
        <w:tab/>
        <w:t xml:space="preserve">The amendments to the First Schedule do not have effect because the items they would have amended were deleted in </w:t>
      </w:r>
      <w:r>
        <w:rPr>
          <w:i/>
          <w:iCs/>
        </w:rPr>
        <w:t>Gazette</w:t>
      </w:r>
      <w:r>
        <w:t xml:space="preserve"> 1 Dec 2000 p. 6759.</w:t>
      </w:r>
    </w:p>
    <w:p>
      <w:pPr>
        <w:pStyle w:val="nSubsection"/>
        <w:spacing w:before="200"/>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rPr>
        <w:t>Road Traffic (Infringements) Amendment Regulations 2014</w:t>
      </w:r>
      <w:r>
        <w:rPr>
          <w:i/>
          <w:snapToGrid w:val="0"/>
        </w:rPr>
        <w:t xml:space="preserve"> </w:t>
      </w:r>
      <w:r>
        <w:rPr>
          <w:snapToGrid w:val="0"/>
        </w:rPr>
        <w:t>r. 3-4 had not come into operation.  It reads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Road Traffic (Infringements) Regulations 1975</w:t>
      </w:r>
      <w:r>
        <w:t>.</w:t>
      </w:r>
    </w:p>
    <w:p>
      <w:pPr>
        <w:pStyle w:val="nzHeading5"/>
      </w:pPr>
      <w:r>
        <w:rPr>
          <w:rStyle w:val="CharSectno"/>
        </w:rPr>
        <w:t>4</w:t>
      </w:r>
      <w:r>
        <w:t>.</w:t>
      </w:r>
      <w:r>
        <w:tab/>
        <w:t>Schedule 1 amended</w:t>
      </w:r>
    </w:p>
    <w:p>
      <w:pPr>
        <w:pStyle w:val="nzSubsection"/>
      </w:pPr>
      <w:r>
        <w:tab/>
      </w:r>
      <w:r>
        <w:tab/>
        <w:t>In Schedule 1:</w:t>
      </w:r>
    </w:p>
    <w:p>
      <w:pPr>
        <w:pStyle w:val="nzIndenta"/>
      </w:pPr>
      <w:r>
        <w:tab/>
        <w:t>(a)</w:t>
      </w:r>
      <w:r>
        <w:tab/>
        <w:t>in item 9 column 3 delete “</w:t>
      </w:r>
      <w:r>
        <w:rPr>
          <w:sz w:val="22"/>
          <w:szCs w:val="22"/>
        </w:rPr>
        <w:t>5</w:t>
      </w:r>
      <w:r>
        <w:t>” and insert:</w:t>
      </w:r>
    </w:p>
    <w:p>
      <w:pPr>
        <w:pStyle w:val="BlankOpen"/>
        <w:widowControl w:val="0"/>
      </w:pPr>
    </w:p>
    <w:p>
      <w:pPr>
        <w:pStyle w:val="nzIndenta"/>
      </w:pPr>
      <w:r>
        <w:tab/>
      </w:r>
      <w:r>
        <w:tab/>
      </w:r>
      <w:r>
        <w:rPr>
          <w:sz w:val="22"/>
          <w:szCs w:val="22"/>
        </w:rPr>
        <w:t>8</w:t>
      </w:r>
    </w:p>
    <w:p>
      <w:pPr>
        <w:pStyle w:val="BlankClose"/>
        <w:widowControl w:val="0"/>
      </w:pPr>
    </w:p>
    <w:p>
      <w:pPr>
        <w:pStyle w:val="nzIndenta"/>
      </w:pPr>
      <w:r>
        <w:tab/>
        <w:t>(b)</w:t>
      </w:r>
      <w:r>
        <w:tab/>
        <w:t>in item 9A column 3 delete “</w:t>
      </w:r>
      <w:r>
        <w:rPr>
          <w:sz w:val="22"/>
          <w:szCs w:val="22"/>
        </w:rPr>
        <w:t>2</w:t>
      </w:r>
      <w:r>
        <w:t>” and insert:</w:t>
      </w:r>
    </w:p>
    <w:p>
      <w:pPr>
        <w:pStyle w:val="BlankOpen"/>
        <w:widowControl w:val="0"/>
      </w:pPr>
    </w:p>
    <w:p>
      <w:pPr>
        <w:pStyle w:val="nzIndenta"/>
      </w:pPr>
      <w:r>
        <w:tab/>
      </w:r>
      <w:r>
        <w:tab/>
      </w:r>
      <w:r>
        <w:rPr>
          <w:sz w:val="22"/>
          <w:szCs w:val="22"/>
        </w:rPr>
        <w:t>6</w:t>
      </w:r>
    </w:p>
    <w:p>
      <w:pPr>
        <w:pStyle w:val="BlankClose"/>
        <w:keepNext/>
        <w:widowControl w:val="0"/>
      </w:pPr>
    </w:p>
    <w:p>
      <w:pPr>
        <w:pStyle w:val="nzIndenta"/>
      </w:pPr>
      <w:r>
        <w:tab/>
        <w:t>(c)</w:t>
      </w:r>
      <w:r>
        <w:tab/>
        <w:t>after item 110 insert:</w:t>
      </w:r>
    </w:p>
    <w:p>
      <w:pPr>
        <w:pStyle w:val="BlankOpen"/>
      </w:pPr>
    </w:p>
    <w:tbl>
      <w:tblPr>
        <w:tblW w:w="7088" w:type="dxa"/>
        <w:tblInd w:w="184" w:type="dxa"/>
        <w:tblLayout w:type="fixed"/>
        <w:tblCellMar>
          <w:left w:w="42" w:type="dxa"/>
          <w:right w:w="42" w:type="dxa"/>
        </w:tblCellMar>
        <w:tblLook w:val="0000" w:firstRow="0" w:lastRow="0" w:firstColumn="0" w:lastColumn="0" w:noHBand="0" w:noVBand="0"/>
      </w:tblPr>
      <w:tblGrid>
        <w:gridCol w:w="2835"/>
        <w:gridCol w:w="3719"/>
        <w:gridCol w:w="534"/>
      </w:tblGrid>
      <w:tr>
        <w:trPr>
          <w:cantSplit/>
        </w:trPr>
        <w:tc>
          <w:tcPr>
            <w:tcW w:w="2835" w:type="dxa"/>
          </w:tcPr>
          <w:p>
            <w:pPr>
              <w:pStyle w:val="zyTableNAm"/>
              <w:tabs>
                <w:tab w:val="clear" w:pos="567"/>
                <w:tab w:val="left" w:pos="667"/>
              </w:tabs>
              <w:rPr>
                <w:szCs w:val="19"/>
              </w:rPr>
            </w:pPr>
            <w:r>
              <w:rPr>
                <w:szCs w:val="19"/>
              </w:rPr>
              <w:t>111A.</w:t>
            </w:r>
            <w:r>
              <w:rPr>
                <w:szCs w:val="19"/>
              </w:rPr>
              <w:tab/>
            </w:r>
            <w:r>
              <w:t>Regulation 25(1)</w:t>
            </w:r>
          </w:p>
        </w:tc>
        <w:tc>
          <w:tcPr>
            <w:tcW w:w="3719" w:type="dxa"/>
          </w:tcPr>
          <w:p>
            <w:pPr>
              <w:pStyle w:val="zyTableNAm"/>
              <w:tabs>
                <w:tab w:val="clear" w:pos="567"/>
                <w:tab w:val="right" w:leader="dot" w:pos="6804"/>
              </w:tabs>
            </w:pPr>
            <w:r>
              <w:t xml:space="preserve">Failure to fix, keep, display number plate as required </w:t>
            </w:r>
            <w:r>
              <w:tab/>
            </w:r>
          </w:p>
        </w:tc>
        <w:tc>
          <w:tcPr>
            <w:tcW w:w="534" w:type="dxa"/>
          </w:tcPr>
          <w:p>
            <w:pPr>
              <w:pStyle w:val="zyTableNAm"/>
              <w:rPr>
                <w:szCs w:val="19"/>
              </w:rPr>
            </w:pPr>
            <w:r>
              <w:rPr>
                <w:szCs w:val="19"/>
              </w:rPr>
              <w:br/>
              <w:t>2</w:t>
            </w:r>
          </w:p>
        </w:tc>
      </w:tr>
      <w:tr>
        <w:trPr>
          <w:cantSplit/>
        </w:trPr>
        <w:tc>
          <w:tcPr>
            <w:tcW w:w="2835" w:type="dxa"/>
          </w:tcPr>
          <w:p>
            <w:pPr>
              <w:pStyle w:val="zyTableNAm"/>
              <w:tabs>
                <w:tab w:val="clear" w:pos="567"/>
                <w:tab w:val="left" w:pos="667"/>
              </w:tabs>
              <w:ind w:left="667" w:hanging="667"/>
              <w:rPr>
                <w:szCs w:val="19"/>
              </w:rPr>
            </w:pPr>
            <w:r>
              <w:rPr>
                <w:szCs w:val="19"/>
              </w:rPr>
              <w:t>111B.</w:t>
            </w:r>
            <w:r>
              <w:rPr>
                <w:szCs w:val="19"/>
              </w:rPr>
              <w:tab/>
            </w:r>
            <w:r>
              <w:t>Regulation 25AA(2), (3), (4), (5), (6), (7), (8) and (9)</w:t>
            </w:r>
          </w:p>
        </w:tc>
        <w:tc>
          <w:tcPr>
            <w:tcW w:w="3719" w:type="dxa"/>
          </w:tcPr>
          <w:p>
            <w:pPr>
              <w:pStyle w:val="zyTableNAm"/>
              <w:tabs>
                <w:tab w:val="clear" w:pos="567"/>
                <w:tab w:val="right" w:leader="dot" w:pos="6804"/>
              </w:tabs>
              <w:rPr>
                <w:szCs w:val="19"/>
              </w:rPr>
            </w:pPr>
            <w:r>
              <w:t xml:space="preserve">Preventing effective identification of number plate </w:t>
            </w:r>
            <w:r>
              <w:tab/>
            </w:r>
          </w:p>
        </w:tc>
        <w:tc>
          <w:tcPr>
            <w:tcW w:w="534" w:type="dxa"/>
          </w:tcPr>
          <w:p>
            <w:pPr>
              <w:pStyle w:val="zyTableNAm"/>
              <w:rPr>
                <w:szCs w:val="19"/>
              </w:rPr>
            </w:pPr>
            <w:r>
              <w:rPr>
                <w:szCs w:val="19"/>
              </w:rPr>
              <w:br/>
              <w:t>20</w:t>
            </w:r>
          </w:p>
        </w:tc>
      </w:tr>
    </w:tbl>
    <w:p>
      <w:pPr>
        <w:pStyle w:val="BlankClose"/>
      </w:pPr>
    </w:p>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5" w:name="_Toc378863652"/>
      <w:bookmarkStart w:id="16" w:name="_Toc397942060"/>
      <w:r>
        <w:rPr>
          <w:sz w:val="28"/>
        </w:rPr>
        <w:t>Defined Terms</w:t>
      </w:r>
      <w:bookmarkEnd w:id="15"/>
      <w:bookmarkEnd w:id="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 w:name="DefinedTerms"/>
      <w:bookmarkEnd w:id="17"/>
      <w:r>
        <w:t>novice driver (type 1A)</w:t>
      </w:r>
      <w:r>
        <w:tab/>
        <w:t>2</w:t>
      </w:r>
    </w:p>
    <w:p/>
    <w:p/>
    <w:p>
      <w:pPr>
        <w:pStyle w:val="DefinedTerms"/>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(Infringements)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(Infringements)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A853DBE"/>
    <w:multiLevelType w:val="hybridMultilevel"/>
    <w:tmpl w:val="EB06C75A"/>
    <w:lvl w:ilvl="0" w:tplc="5A82BD2A">
      <w:start w:val="1"/>
      <w:numFmt w:val="decimal"/>
      <w:lvlText w:val="%1."/>
      <w:lvlJc w:val="left"/>
      <w:pPr>
        <w:tabs>
          <w:tab w:val="num" w:pos="360"/>
        </w:tabs>
        <w:ind w:left="360" w:hanging="360"/>
      </w:pPr>
    </w:lvl>
    <w:lvl w:ilvl="1" w:tplc="6A74466C" w:tentative="1">
      <w:start w:val="1"/>
      <w:numFmt w:val="lowerLetter"/>
      <w:lvlText w:val="%2."/>
      <w:lvlJc w:val="left"/>
      <w:pPr>
        <w:tabs>
          <w:tab w:val="num" w:pos="1440"/>
        </w:tabs>
        <w:ind w:left="1440" w:hanging="360"/>
      </w:pPr>
    </w:lvl>
    <w:lvl w:ilvl="2" w:tplc="EA9CE278" w:tentative="1">
      <w:start w:val="1"/>
      <w:numFmt w:val="lowerRoman"/>
      <w:lvlText w:val="%3."/>
      <w:lvlJc w:val="right"/>
      <w:pPr>
        <w:tabs>
          <w:tab w:val="num" w:pos="2160"/>
        </w:tabs>
        <w:ind w:left="2160" w:hanging="180"/>
      </w:pPr>
    </w:lvl>
    <w:lvl w:ilvl="3" w:tplc="CF4070B4" w:tentative="1">
      <w:start w:val="1"/>
      <w:numFmt w:val="decimal"/>
      <w:lvlText w:val="%4."/>
      <w:lvlJc w:val="left"/>
      <w:pPr>
        <w:tabs>
          <w:tab w:val="num" w:pos="2880"/>
        </w:tabs>
        <w:ind w:left="2880" w:hanging="360"/>
      </w:pPr>
    </w:lvl>
    <w:lvl w:ilvl="4" w:tplc="4344EA46" w:tentative="1">
      <w:start w:val="1"/>
      <w:numFmt w:val="lowerLetter"/>
      <w:lvlText w:val="%5."/>
      <w:lvlJc w:val="left"/>
      <w:pPr>
        <w:tabs>
          <w:tab w:val="num" w:pos="3600"/>
        </w:tabs>
        <w:ind w:left="3600" w:hanging="360"/>
      </w:pPr>
    </w:lvl>
    <w:lvl w:ilvl="5" w:tplc="195C3B04" w:tentative="1">
      <w:start w:val="1"/>
      <w:numFmt w:val="lowerRoman"/>
      <w:lvlText w:val="%6."/>
      <w:lvlJc w:val="right"/>
      <w:pPr>
        <w:tabs>
          <w:tab w:val="num" w:pos="4320"/>
        </w:tabs>
        <w:ind w:left="4320" w:hanging="180"/>
      </w:pPr>
    </w:lvl>
    <w:lvl w:ilvl="6" w:tplc="933A9948" w:tentative="1">
      <w:start w:val="1"/>
      <w:numFmt w:val="decimal"/>
      <w:lvlText w:val="%7."/>
      <w:lvlJc w:val="left"/>
      <w:pPr>
        <w:tabs>
          <w:tab w:val="num" w:pos="5040"/>
        </w:tabs>
        <w:ind w:left="5040" w:hanging="360"/>
      </w:pPr>
    </w:lvl>
    <w:lvl w:ilvl="7" w:tplc="055606EE" w:tentative="1">
      <w:start w:val="1"/>
      <w:numFmt w:val="lowerLetter"/>
      <w:lvlText w:val="%8."/>
      <w:lvlJc w:val="left"/>
      <w:pPr>
        <w:tabs>
          <w:tab w:val="num" w:pos="5760"/>
        </w:tabs>
        <w:ind w:left="5760" w:hanging="360"/>
      </w:pPr>
    </w:lvl>
    <w:lvl w:ilvl="8" w:tplc="324E680A" w:tentative="1">
      <w:start w:val="1"/>
      <w:numFmt w:val="lowerRoman"/>
      <w:lvlText w:val="%9."/>
      <w:lvlJc w:val="right"/>
      <w:pPr>
        <w:tabs>
          <w:tab w:val="num" w:pos="6480"/>
        </w:tabs>
        <w:ind w:left="6480" w:hanging="180"/>
      </w:pPr>
    </w:lvl>
  </w:abstractNum>
  <w:abstractNum w:abstractNumId="6">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123"/>
    <w:docVar w:name="WAFER_20140130122116" w:val="RemoveTocBookmarks,RemoveUnusedBookmarks,RemoveLanguageTags,UsedStyles,ResetPageSize,UpdateArrangement"/>
    <w:docVar w:name="WAFER_20140130122116_GUID" w:val="6c6a52ee-dc13-41df-8351-61d8e490a144"/>
    <w:docVar w:name="WAFER_20140130143437" w:val="RemoveTocBookmarks,RunningHeaders"/>
    <w:docVar w:name="WAFER_20140130143437_GUID" w:val="03a210a7-7b0d-415a-96b7-90149a7e5e66"/>
    <w:docVar w:name="WAFER_20151209112123" w:val="RemoveTrackChanges"/>
    <w:docVar w:name="WAFER_20151209112123_GUID" w:val="7cc03446-be77-4802-b723-31affcdc80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6230</Words>
  <Characters>30096</Characters>
  <Application>Microsoft Office Word</Application>
  <DocSecurity>0</DocSecurity>
  <Lines>1504</Lines>
  <Paragraphs>908</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1975 - 07-c0-02</dc:title>
  <dc:subject/>
  <dc:creator/>
  <cp:keywords/>
  <dc:description/>
  <cp:lastModifiedBy>svcMRProcess</cp:lastModifiedBy>
  <cp:revision>4</cp:revision>
  <cp:lastPrinted>2012-03-13T02:04:00Z</cp:lastPrinted>
  <dcterms:created xsi:type="dcterms:W3CDTF">2015-12-17T17:58:00Z</dcterms:created>
  <dcterms:modified xsi:type="dcterms:W3CDTF">2015-12-17T17:58:00Z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20140909</vt:lpwstr>
  </property>
  <property fmtid="{D5CDD505-2E9C-101B-9397-08002B2CF9AE}" pid="4" name="DocumentType">
    <vt:lpwstr>Reg</vt:lpwstr>
  </property>
  <property fmtid="{D5CDD505-2E9C-101B-9397-08002B2CF9AE}" pid="5" name="OwlsUID">
    <vt:i4>4754</vt:i4>
  </property>
  <property fmtid="{D5CDD505-2E9C-101B-9397-08002B2CF9AE}" pid="6" name="AsAtDate">
    <vt:lpwstr>09 Sep 2014</vt:lpwstr>
  </property>
  <property fmtid="{D5CDD505-2E9C-101B-9397-08002B2CF9AE}" pid="7" name="Suffix">
    <vt:lpwstr>07-c0-02</vt:lpwstr>
  </property>
  <property fmtid="{D5CDD505-2E9C-101B-9397-08002B2CF9AE}" pid="8" name="ReprintNo">
    <vt:lpwstr>7</vt:lpwstr>
  </property>
  <property fmtid="{D5CDD505-2E9C-101B-9397-08002B2CF9AE}" pid="9" name="ReprintedAsAt">
    <vt:filetime>2012-03-08T16:00:00Z</vt:filetime>
  </property>
</Properties>
</file>