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Real Estate and Business Agents Act 1978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Real Estate and Business Agents (General) Regulations 1979</w:t>
      </w:r>
      <w:r>
        <w:rPr>
          <w:sz w:val="48"/>
        </w:rPr>
        <w:fldChar w:fldCharType="end"/>
      </w:r>
    </w:p>
    <w:p>
      <w:pPr>
        <w:pStyle w:val="ReprintNo"/>
        <w:outlineLvl w:val="9"/>
      </w:pPr>
      <w:r>
        <w:t>Reprint 8:  The regulations as at 19 September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8.5pt" o:ole="" fillcolor="window">
            <v:imagedata r:id="rId10" o:title=""/>
          </v:shape>
          <o:OLEObject Type="Embed" ProgID="Word.Picture.8" ShapeID="_x0000_i1025" DrawAspect="Content" ObjectID="_164914737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September 2014</w:t>
            </w:r>
          </w:p>
        </w:tc>
      </w:tr>
    </w:tbl>
    <w:p>
      <w:pPr>
        <w:pStyle w:val="WA"/>
        <w:spacing w:before="120" w:after="480"/>
      </w:pPr>
      <w:r>
        <w:t>Western Australia</w:t>
      </w:r>
    </w:p>
    <w:p>
      <w:pPr>
        <w:pStyle w:val="NameofActRegPage1"/>
        <w:spacing w:after="480"/>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_Toc400356630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_Toc400356631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_Toc400356632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_Toc400356633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_Toc400356634 \h </w:instrText>
      </w:r>
      <w:r>
        <w:fldChar w:fldCharType="separate"/>
      </w:r>
      <w:r>
        <w:t>4</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_Toc400356635 \h </w:instrText>
      </w:r>
      <w:r>
        <w:fldChar w:fldCharType="separate"/>
      </w:r>
      <w:r>
        <w:t>5</w:t>
      </w:r>
      <w:r>
        <w:fldChar w:fldCharType="end"/>
      </w:r>
    </w:p>
    <w:p>
      <w:pPr>
        <w:pStyle w:val="TOC8"/>
        <w:rPr>
          <w:rFonts w:asciiTheme="minorHAnsi" w:eastAsiaTheme="minorEastAsia" w:hAnsiTheme="minorHAnsi" w:cstheme="minorBidi"/>
          <w:szCs w:val="22"/>
        </w:rPr>
      </w:pPr>
      <w:r>
        <w:t>4AB.</w:t>
      </w:r>
      <w:r>
        <w:tab/>
        <w:t>Prescribed educational requirement (Act s. 31(3)(b))</w:t>
      </w:r>
      <w:r>
        <w:tab/>
      </w:r>
      <w:r>
        <w:fldChar w:fldCharType="begin"/>
      </w:r>
      <w:r>
        <w:instrText xml:space="preserve"> PAGEREF _Toc400356636 \h </w:instrText>
      </w:r>
      <w:r>
        <w:fldChar w:fldCharType="separate"/>
      </w:r>
      <w:r>
        <w:t>6</w:t>
      </w:r>
      <w:r>
        <w:fldChar w:fldCharType="end"/>
      </w:r>
    </w:p>
    <w:p>
      <w:pPr>
        <w:pStyle w:val="TOC8"/>
        <w:rPr>
          <w:rFonts w:asciiTheme="minorHAnsi" w:eastAsiaTheme="minorEastAsia" w:hAnsiTheme="minorHAnsi" w:cstheme="minorBidi"/>
          <w:szCs w:val="22"/>
        </w:rPr>
      </w:pPr>
      <w:r>
        <w:t>4AC.</w:t>
      </w:r>
      <w:r>
        <w:tab/>
        <w:t>Prescribed educational requirement (Act s. 48(5)(b))</w:t>
      </w:r>
      <w:r>
        <w:tab/>
      </w:r>
      <w:r>
        <w:fldChar w:fldCharType="begin"/>
      </w:r>
      <w:r>
        <w:instrText xml:space="preserve"> PAGEREF _Toc400356637 \h </w:instrText>
      </w:r>
      <w:r>
        <w:fldChar w:fldCharType="separate"/>
      </w:r>
      <w:r>
        <w:t>7</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_Toc400356638 \h </w:instrText>
      </w:r>
      <w:r>
        <w:fldChar w:fldCharType="separate"/>
      </w:r>
      <w:r>
        <w:t>7</w:t>
      </w:r>
      <w:r>
        <w:fldChar w:fldCharType="end"/>
      </w:r>
    </w:p>
    <w:p>
      <w:pPr>
        <w:pStyle w:val="TOC8"/>
        <w:rPr>
          <w:rFonts w:asciiTheme="minorHAnsi" w:eastAsiaTheme="minorEastAsia" w:hAnsiTheme="minorHAnsi" w:cstheme="minorBidi"/>
          <w:szCs w:val="22"/>
        </w:rPr>
      </w:pPr>
      <w:r>
        <w:t>5.</w:t>
      </w:r>
      <w:r>
        <w:tab/>
        <w:t>Notice of application for licence, advertisement of (Act s. 24(2))</w:t>
      </w:r>
      <w:r>
        <w:tab/>
      </w:r>
      <w:r>
        <w:fldChar w:fldCharType="begin"/>
      </w:r>
      <w:r>
        <w:instrText xml:space="preserve"> PAGEREF _Toc400356639 \h </w:instrText>
      </w:r>
      <w:r>
        <w:fldChar w:fldCharType="separate"/>
      </w:r>
      <w:r>
        <w:t>8</w:t>
      </w:r>
      <w:r>
        <w:fldChar w:fldCharType="end"/>
      </w:r>
    </w:p>
    <w:p>
      <w:pPr>
        <w:pStyle w:val="TOC8"/>
        <w:rPr>
          <w:rFonts w:asciiTheme="minorHAnsi" w:eastAsiaTheme="minorEastAsia" w:hAnsiTheme="minorHAnsi" w:cstheme="minorBidi"/>
          <w:szCs w:val="22"/>
        </w:rPr>
      </w:pPr>
      <w:r>
        <w:t>6.</w:t>
      </w:r>
      <w:r>
        <w:tab/>
        <w:t>Prescribed examinations (Act Sch. cl. 1(a))</w:t>
      </w:r>
      <w:r>
        <w:tab/>
      </w:r>
      <w:r>
        <w:fldChar w:fldCharType="begin"/>
      </w:r>
      <w:r>
        <w:instrText xml:space="preserve"> PAGEREF _Toc400356640 \h </w:instrText>
      </w:r>
      <w:r>
        <w:fldChar w:fldCharType="separate"/>
      </w:r>
      <w:r>
        <w:t>8</w:t>
      </w:r>
      <w:r>
        <w:fldChar w:fldCharType="end"/>
      </w:r>
    </w:p>
    <w:p>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_Toc400356641 \h </w:instrText>
      </w:r>
      <w:r>
        <w:fldChar w:fldCharType="separate"/>
      </w:r>
      <w:r>
        <w:t>9</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_Toc400356642 \h </w:instrText>
      </w:r>
      <w:r>
        <w:fldChar w:fldCharType="separate"/>
      </w:r>
      <w:r>
        <w:t>11</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_Toc400356643 \h </w:instrText>
      </w:r>
      <w:r>
        <w:fldChar w:fldCharType="separate"/>
      </w:r>
      <w:r>
        <w:t>11</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_Toc400356644 \h </w:instrText>
      </w:r>
      <w:r>
        <w:fldChar w:fldCharType="separate"/>
      </w:r>
      <w:r>
        <w:t>12</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_Toc400356645 \h </w:instrText>
      </w:r>
      <w:r>
        <w:fldChar w:fldCharType="separate"/>
      </w:r>
      <w:r>
        <w:t>13</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_Toc400356646 \h </w:instrText>
      </w:r>
      <w:r>
        <w:fldChar w:fldCharType="separate"/>
      </w:r>
      <w:r>
        <w:t>13</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_Toc400356647 \h </w:instrText>
      </w:r>
      <w:r>
        <w:fldChar w:fldCharType="separate"/>
      </w:r>
      <w:r>
        <w:t>14</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_Toc400356648 \h </w:instrText>
      </w:r>
      <w:r>
        <w:fldChar w:fldCharType="separate"/>
      </w:r>
      <w:r>
        <w:t>14</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_Toc400356649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_Toc400356650 \h </w:instrText>
      </w:r>
      <w:r>
        <w:fldChar w:fldCharType="separate"/>
      </w:r>
      <w:r>
        <w:t>16</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_Toc400356651 \h </w:instrText>
      </w:r>
      <w:r>
        <w:fldChar w:fldCharType="separate"/>
      </w:r>
      <w:r>
        <w:t>18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Application for assistance from Home Buyers Assistance Account, form of (Act s. 131L(1))</w:t>
      </w:r>
      <w:r>
        <w:tab/>
      </w:r>
      <w:r>
        <w:fldChar w:fldCharType="begin"/>
      </w:r>
      <w:r>
        <w:instrText xml:space="preserve"> PAGEREF _Toc400356652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_Toc400356653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_Toc400356654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_Toc400356655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_Toc400356656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_Toc400356657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_Toc400356658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_Toc400356659 \h </w:instrText>
      </w:r>
      <w:r>
        <w:fldChar w:fldCharType="separate"/>
      </w:r>
      <w:r>
        <w:t>20</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_Toc400356660 \h </w:instrText>
      </w:r>
      <w:r>
        <w:fldChar w:fldCharType="separate"/>
      </w:r>
      <w:r>
        <w:t>21</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_Toc400356661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1A — Professional development subjects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_Toc400356667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September 2014</w:t>
            </w:r>
          </w:p>
        </w:tc>
      </w:tr>
    </w:tbl>
    <w:p>
      <w:pPr>
        <w:pStyle w:val="WA"/>
        <w:spacing w:before="120"/>
      </w:pPr>
      <w:r>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400356630"/>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2" w:name="_Toc400356631"/>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3" w:name="_Toc400356632"/>
      <w:r>
        <w:rPr>
          <w:rStyle w:val="CharSectno"/>
        </w:rPr>
        <w:t>3A</w:t>
      </w:r>
      <w:r>
        <w:t>.</w:t>
      </w:r>
      <w:r>
        <w:tab/>
        <w:t>Prescribed duty (Act s. 4(4)(d))</w:t>
      </w:r>
      <w:bookmarkEnd w:id="3"/>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4" w:name="_Toc400356633"/>
      <w:r>
        <w:rPr>
          <w:rStyle w:val="CharSectno"/>
        </w:rPr>
        <w:t>4</w:t>
      </w:r>
      <w:r>
        <w:t>.</w:t>
      </w:r>
      <w:r>
        <w:tab/>
        <w:t>Fees (Sch. 1)</w:t>
      </w:r>
      <w:bookmarkEnd w:id="4"/>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5" w:name="_Toc400356634"/>
      <w:r>
        <w:rPr>
          <w:rStyle w:val="CharSectno"/>
        </w:rPr>
        <w:t>4A</w:t>
      </w:r>
      <w:r>
        <w:rPr>
          <w:snapToGrid w:val="0"/>
        </w:rPr>
        <w:t>.</w:t>
      </w:r>
      <w:r>
        <w:rPr>
          <w:snapToGrid w:val="0"/>
        </w:rPr>
        <w:tab/>
        <w:t xml:space="preserve">Holding </w:t>
      </w:r>
      <w:r>
        <w:t>fee</w:t>
      </w:r>
      <w:bookmarkEnd w:id="5"/>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6" w:name="_Toc400356635"/>
      <w:r>
        <w:rPr>
          <w:rStyle w:val="CharSectno"/>
        </w:rPr>
        <w:t>4AA</w:t>
      </w:r>
      <w:r>
        <w:t>.</w:t>
      </w:r>
      <w:r>
        <w:tab/>
        <w:t>CPD activities</w:t>
      </w:r>
      <w:bookmarkEnd w:id="6"/>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7" w:name="_Toc400356636"/>
      <w:r>
        <w:rPr>
          <w:rStyle w:val="CharSectno"/>
        </w:rPr>
        <w:t>4AB</w:t>
      </w:r>
      <w:r>
        <w:t>.</w:t>
      </w:r>
      <w:r>
        <w:tab/>
        <w:t>Prescribed educational requirement (Act s. 31(3)(b))</w:t>
      </w:r>
      <w:bookmarkEnd w:id="7"/>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8" w:name="_Toc400356637"/>
      <w:r>
        <w:rPr>
          <w:rStyle w:val="CharSectno"/>
        </w:rPr>
        <w:t>4AC</w:t>
      </w:r>
      <w:r>
        <w:t>.</w:t>
      </w:r>
      <w:r>
        <w:tab/>
        <w:t>Prescribed educational requirement (Act s. 48(5)(b))</w:t>
      </w:r>
      <w:bookmarkEnd w:id="8"/>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9" w:name="_Toc400356638"/>
      <w:r>
        <w:rPr>
          <w:rStyle w:val="CharSectno"/>
        </w:rPr>
        <w:t>4B</w:t>
      </w:r>
      <w:r>
        <w:t>.</w:t>
      </w:r>
      <w:r>
        <w:tab/>
        <w:t>Prescribed periods (Act s. 48(1), (2) and 49(2))</w:t>
      </w:r>
      <w:bookmarkEnd w:id="9"/>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Heading5"/>
      </w:pPr>
      <w:bookmarkStart w:id="10" w:name="_Toc400356639"/>
      <w:r>
        <w:rPr>
          <w:rStyle w:val="CharSectno"/>
        </w:rPr>
        <w:t>5</w:t>
      </w:r>
      <w:r>
        <w:t>.</w:t>
      </w:r>
      <w:r>
        <w:tab/>
        <w:t>Notice of application for licence, advertisement of (Act s. 24(2))</w:t>
      </w:r>
      <w:bookmarkEnd w:id="10"/>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Commissioner in a newspaper with State</w:t>
      </w:r>
      <w:r>
        <w:noBreakHyphen/>
        <w:t>wide circulation as soon as practicable after the application is made.</w:t>
      </w:r>
    </w:p>
    <w:p>
      <w:pPr>
        <w:pStyle w:val="Ednotesubsection"/>
      </w:pPr>
      <w:r>
        <w:tab/>
        <w:t>[(2)</w:t>
      </w:r>
      <w:r>
        <w:tab/>
        <w:t>deleted]</w:t>
      </w:r>
    </w:p>
    <w:p>
      <w:pPr>
        <w:pStyle w:val="Footnotesection"/>
      </w:pPr>
      <w:r>
        <w:tab/>
        <w:t>[Regulation 5 amended in Gazette 26 Oct 1990 p. 5370; 30 Jun 2011 p. 2670.]</w:t>
      </w:r>
    </w:p>
    <w:p>
      <w:pPr>
        <w:pStyle w:val="Heading5"/>
      </w:pPr>
      <w:bookmarkStart w:id="11" w:name="_Toc400356640"/>
      <w:r>
        <w:rPr>
          <w:rStyle w:val="CharSectno"/>
        </w:rPr>
        <w:t>6</w:t>
      </w:r>
      <w:r>
        <w:t>.</w:t>
      </w:r>
      <w:r>
        <w:tab/>
        <w:t>Prescribed examinations (Act Sch. cl. 1(a))</w:t>
      </w:r>
      <w:bookmarkEnd w:id="11"/>
    </w:p>
    <w:p>
      <w:pPr>
        <w:pStyle w:val="Subsection"/>
      </w:pPr>
      <w:r>
        <w:tab/>
        <w:t>(1)</w:t>
      </w:r>
      <w:r>
        <w:tab/>
        <w:t>The prescribed examinations for the purposes of clause 1(a) of the Schedule to the Act are —</w:t>
      </w:r>
    </w:p>
    <w:p>
      <w:pPr>
        <w:pStyle w:val="Indenta"/>
      </w:pPr>
      <w:r>
        <w:tab/>
        <w:t>(a)</w:t>
      </w:r>
      <w:r>
        <w:tab/>
        <w:t>the examinations which are required by a registered training provider to be passed for the conferral of a Diploma of Property (Real Estate), together with the examinations conducted by a registered training provider in the following courses —</w:t>
      </w:r>
    </w:p>
    <w:p>
      <w:pPr>
        <w:pStyle w:val="Indenti"/>
      </w:pPr>
      <w:r>
        <w:tab/>
        <w:t>(i)</w:t>
      </w:r>
      <w:r>
        <w:tab/>
        <w:t>Unit 15826 — Rural Sales; and</w:t>
      </w:r>
    </w:p>
    <w:p>
      <w:pPr>
        <w:pStyle w:val="Indenti"/>
      </w:pPr>
      <w:r>
        <w:tab/>
        <w:t>(ii)</w:t>
      </w:r>
      <w:r>
        <w:tab/>
        <w:t>Unit 15825 — Selling Businesses; and</w:t>
      </w:r>
    </w:p>
    <w:p>
      <w:pPr>
        <w:pStyle w:val="Indenti"/>
      </w:pPr>
      <w:r>
        <w:tab/>
        <w:t>(iii)</w:t>
      </w:r>
      <w:r>
        <w:tab/>
        <w:t>Unit 15892 — Real Estate Law;</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Footnotesection"/>
      </w:pPr>
      <w:r>
        <w:tab/>
        <w:t>[Regulation 6 inserted in Gazette 7 Feb 2003 p. 385; amended in Gazette 13 Jan 2004 p. 145; 8 May 2009 p. 1491</w:t>
      </w:r>
      <w:r>
        <w:noBreakHyphen/>
        <w:t>2.]</w:t>
      </w:r>
    </w:p>
    <w:p>
      <w:pPr>
        <w:pStyle w:val="Heading5"/>
      </w:pPr>
      <w:bookmarkStart w:id="12" w:name="_Toc400356641"/>
      <w:r>
        <w:rPr>
          <w:rStyle w:val="CharSectno"/>
        </w:rPr>
        <w:t>6A</w:t>
      </w:r>
      <w:r>
        <w:t>.</w:t>
      </w:r>
      <w:r>
        <w:tab/>
        <w:t>Prescribed qualifications for sales representatives (Act s. 47(2))</w:t>
      </w:r>
      <w:bookmarkEnd w:id="12"/>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13" w:name="_Toc400356642"/>
      <w:r>
        <w:rPr>
          <w:rStyle w:val="CharSectno"/>
        </w:rPr>
        <w:t>6B</w:t>
      </w:r>
      <w:r>
        <w:t>.</w:t>
      </w:r>
      <w:r>
        <w:tab/>
        <w:t>Certificate of registration, grant of (Act s. 47)</w:t>
      </w:r>
      <w:bookmarkEnd w:id="13"/>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14" w:name="_Toc400356643"/>
      <w:r>
        <w:rPr>
          <w:rStyle w:val="CharSectno"/>
        </w:rPr>
        <w:t>6BA</w:t>
      </w:r>
      <w:r>
        <w:rPr>
          <w:snapToGrid w:val="0"/>
        </w:rPr>
        <w:t>.</w:t>
      </w:r>
      <w:r>
        <w:rPr>
          <w:snapToGrid w:val="0"/>
        </w:rPr>
        <w:tab/>
        <w:t>Appointment to act as agent, content of</w:t>
      </w:r>
      <w:bookmarkEnd w:id="14"/>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15" w:name="_Toc400356644"/>
      <w:r>
        <w:rPr>
          <w:rStyle w:val="CharSectno"/>
        </w:rPr>
        <w:t>6C</w:t>
      </w:r>
      <w:r>
        <w:t>.</w:t>
      </w:r>
      <w:r>
        <w:tab/>
        <w:t>Authorised financial institution (Act s. 67), classes of body prescribed</w:t>
      </w:r>
      <w:bookmarkEnd w:id="15"/>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16" w:name="_Toc400356645"/>
      <w:r>
        <w:rPr>
          <w:rStyle w:val="CharSectno"/>
        </w:rPr>
        <w:t>6D</w:t>
      </w:r>
      <w:r>
        <w:t>.</w:t>
      </w:r>
      <w:r>
        <w:tab/>
        <w:t>Trust accounts, designation of (Act s. 68(1))</w:t>
      </w:r>
      <w:bookmarkEnd w:id="16"/>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17" w:name="_Toc400356646"/>
      <w:r>
        <w:rPr>
          <w:rStyle w:val="CharSectno"/>
        </w:rPr>
        <w:t>6E</w:t>
      </w:r>
      <w:r>
        <w:t>.</w:t>
      </w:r>
      <w:r>
        <w:tab/>
        <w:t>Separate trust accounts, requests for, requirements prescribed (Act s. 68A(4))</w:t>
      </w:r>
      <w:bookmarkEnd w:id="17"/>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18" w:name="_Toc400356647"/>
      <w:r>
        <w:rPr>
          <w:rStyle w:val="CharSectno"/>
        </w:rPr>
        <w:t>6F</w:t>
      </w:r>
      <w:r>
        <w:t>.</w:t>
      </w:r>
      <w:r>
        <w:tab/>
        <w:t>Trust accounts, interest on (Act s. 68B(1))</w:t>
      </w:r>
      <w:bookmarkEnd w:id="18"/>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19" w:name="_Toc400356648"/>
      <w:r>
        <w:rPr>
          <w:rStyle w:val="CharSectno"/>
        </w:rPr>
        <w:t>6G</w:t>
      </w:r>
      <w:r>
        <w:t>.</w:t>
      </w:r>
      <w:r>
        <w:tab/>
        <w:t>Receipts by agents, information in (Act s. 69(1)(a))</w:t>
      </w:r>
      <w:bookmarkEnd w:id="19"/>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20" w:name="_Toc400356649"/>
      <w:r>
        <w:rPr>
          <w:rStyle w:val="CharSectno"/>
        </w:rPr>
        <w:t>6H</w:t>
      </w:r>
      <w:r>
        <w:rPr>
          <w:snapToGrid w:val="0"/>
        </w:rPr>
        <w:t>.</w:t>
      </w:r>
      <w:r>
        <w:rPr>
          <w:snapToGrid w:val="0"/>
        </w:rPr>
        <w:tab/>
        <w:t>Record keeping requirements</w:t>
      </w:r>
      <w:bookmarkEnd w:id="20"/>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21" w:name="_Toc400356650"/>
      <w:r>
        <w:rPr>
          <w:rStyle w:val="CharSectno"/>
        </w:rPr>
        <w:t>7</w:t>
      </w:r>
      <w:r>
        <w:rPr>
          <w:snapToGrid w:val="0"/>
        </w:rPr>
        <w:t>.</w:t>
      </w:r>
      <w:r>
        <w:rPr>
          <w:snapToGrid w:val="0"/>
        </w:rPr>
        <w:tab/>
        <w:t>Registers (Act s. 133(2))</w:t>
      </w:r>
      <w:bookmarkEnd w:id="21"/>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22" w:name="_Toc400356651"/>
      <w:r>
        <w:rPr>
          <w:rStyle w:val="CharSectno"/>
        </w:rPr>
        <w:t>7AA</w:t>
      </w:r>
      <w:r>
        <w:t>.</w:t>
      </w:r>
      <w:r>
        <w:tab/>
        <w:t>Lending institution (Act s. 131A), classes of body prescribed</w:t>
      </w:r>
      <w:bookmarkEnd w:id="22"/>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[Regulation 7AA inserted in Gazette 25 Jun 1996 p. 2920.]</w:t>
      </w:r>
    </w:p>
    <w:p>
      <w:pPr>
        <w:pStyle w:val="Heading5"/>
        <w:rPr>
          <w:snapToGrid w:val="0"/>
        </w:rPr>
      </w:pPr>
      <w:bookmarkStart w:id="23" w:name="_Toc400356652"/>
      <w:r>
        <w:rPr>
          <w:rStyle w:val="CharSectno"/>
        </w:rPr>
        <w:t>7A</w:t>
      </w:r>
      <w:r>
        <w:rPr>
          <w:snapToGrid w:val="0"/>
        </w:rPr>
        <w:t>.</w:t>
      </w:r>
      <w:r>
        <w:rPr>
          <w:snapToGrid w:val="0"/>
        </w:rPr>
        <w:tab/>
        <w:t>Application for assistance from Home Buyers Assistance Account, form of (Act s. 131L(1))</w:t>
      </w:r>
      <w:bookmarkEnd w:id="23"/>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24" w:name="_Toc400356653"/>
      <w:r>
        <w:rPr>
          <w:rStyle w:val="CharSectno"/>
        </w:rPr>
        <w:t>7B</w:t>
      </w:r>
      <w:r>
        <w:rPr>
          <w:snapToGrid w:val="0"/>
        </w:rPr>
        <w:t>.</w:t>
      </w:r>
      <w:r>
        <w:rPr>
          <w:snapToGrid w:val="0"/>
        </w:rPr>
        <w:tab/>
        <w:t>Maximum amount prescribed (Act s. 131M(3))</w:t>
      </w:r>
      <w:bookmarkEnd w:id="24"/>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25" w:name="_Toc400356654"/>
      <w:r>
        <w:rPr>
          <w:rStyle w:val="CharSectno"/>
        </w:rPr>
        <w:t>8</w:t>
      </w:r>
      <w:r>
        <w:rPr>
          <w:snapToGrid w:val="0"/>
        </w:rPr>
        <w:t>.</w:t>
      </w:r>
      <w:r>
        <w:rPr>
          <w:snapToGrid w:val="0"/>
        </w:rPr>
        <w:tab/>
        <w:t>Changes in particulars, licensees to notify Commissioner of</w:t>
      </w:r>
      <w:bookmarkEnd w:id="25"/>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26" w:name="_Toc400356655"/>
      <w:r>
        <w:rPr>
          <w:rStyle w:val="CharSectno"/>
        </w:rPr>
        <w:t>9</w:t>
      </w:r>
      <w:r>
        <w:rPr>
          <w:snapToGrid w:val="0"/>
        </w:rPr>
        <w:t>.</w:t>
      </w:r>
      <w:r>
        <w:rPr>
          <w:snapToGrid w:val="0"/>
        </w:rPr>
        <w:tab/>
        <w:t xml:space="preserve">Fees and costs, </w:t>
      </w:r>
      <w:r>
        <w:t>recovery</w:t>
      </w:r>
      <w:r>
        <w:rPr>
          <w:snapToGrid w:val="0"/>
        </w:rPr>
        <w:t xml:space="preserve"> of</w:t>
      </w:r>
      <w:bookmarkEnd w:id="26"/>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27" w:name="_Toc400356656"/>
      <w:r>
        <w:rPr>
          <w:rStyle w:val="CharSectno"/>
        </w:rPr>
        <w:t>10</w:t>
      </w:r>
      <w:r>
        <w:rPr>
          <w:snapToGrid w:val="0"/>
        </w:rPr>
        <w:t>.</w:t>
      </w:r>
      <w:r>
        <w:rPr>
          <w:snapToGrid w:val="0"/>
        </w:rPr>
        <w:tab/>
      </w:r>
      <w:r>
        <w:t>Unsuccessful</w:t>
      </w:r>
      <w:r>
        <w:rPr>
          <w:snapToGrid w:val="0"/>
        </w:rPr>
        <w:t xml:space="preserve"> applicant for licence etc., refund to (Act s. 113)</w:t>
      </w:r>
      <w:bookmarkEnd w:id="27"/>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28" w:name="_Toc400356657"/>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28"/>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29" w:name="_Toc400356658"/>
      <w:r>
        <w:rPr>
          <w:rStyle w:val="CharSectno"/>
        </w:rPr>
        <w:t>12</w:t>
      </w:r>
      <w:r>
        <w:rPr>
          <w:snapToGrid w:val="0"/>
        </w:rPr>
        <w:t>.</w:t>
      </w:r>
      <w:r>
        <w:rPr>
          <w:snapToGrid w:val="0"/>
        </w:rPr>
        <w:tab/>
        <w:t>Fidelity Guarantee Account, claims against</w:t>
      </w:r>
      <w:bookmarkEnd w:id="29"/>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30" w:name="_Toc400356659"/>
      <w:r>
        <w:rPr>
          <w:rStyle w:val="CharSectno"/>
        </w:rPr>
        <w:t>13</w:t>
      </w:r>
      <w:r>
        <w:rPr>
          <w:snapToGrid w:val="0"/>
        </w:rPr>
        <w:t>.</w:t>
      </w:r>
      <w:r>
        <w:rPr>
          <w:snapToGrid w:val="0"/>
        </w:rPr>
        <w:tab/>
        <w:t>Codes of conduct prescribed to be published (Act s. 101)</w:t>
      </w:r>
      <w:bookmarkEnd w:id="30"/>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31" w:name="_Toc400356660"/>
      <w:r>
        <w:rPr>
          <w:rStyle w:val="CharSectno"/>
        </w:rPr>
        <w:t>14</w:t>
      </w:r>
      <w:r>
        <w:t>.</w:t>
      </w:r>
      <w:r>
        <w:tab/>
        <w:t>Infringement notices</w:t>
      </w:r>
      <w:bookmarkEnd w:id="31"/>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32" w:name="_Toc400356661"/>
      <w:r>
        <w:rPr>
          <w:rStyle w:val="CharSectno"/>
        </w:rPr>
        <w:t>15</w:t>
      </w:r>
      <w:r>
        <w:t>.</w:t>
      </w:r>
      <w:r>
        <w:tab/>
        <w:t>Forms (Sch. 2)</w:t>
      </w:r>
      <w:bookmarkEnd w:id="32"/>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33" w:name="_Toc400356620"/>
      <w:bookmarkStart w:id="34" w:name="_Toc400356662"/>
      <w:r>
        <w:rPr>
          <w:rStyle w:val="CharSchNo"/>
        </w:rPr>
        <w:t>Schedule 1</w:t>
      </w:r>
      <w:r>
        <w:t> — </w:t>
      </w:r>
      <w:r>
        <w:rPr>
          <w:rStyle w:val="CharSchText"/>
        </w:rPr>
        <w:t>Fees</w:t>
      </w:r>
      <w:bookmarkEnd w:id="33"/>
      <w:bookmarkEnd w:id="34"/>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$70.00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$739.00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$967.00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$967.00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$475.00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$188.00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$154.50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$10.90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$22.00</w:t>
            </w:r>
          </w:p>
          <w:p>
            <w:pPr>
              <w:pStyle w:val="yTableNAm"/>
              <w:tabs>
                <w:tab w:val="left" w:pos="1103"/>
              </w:tabs>
            </w:pPr>
            <w:r>
              <w:rPr>
                <w:szCs w:val="22"/>
              </w:rPr>
              <w:t>$2.20</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$326.00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$222.00</w:t>
            </w:r>
          </w:p>
        </w:tc>
      </w:tr>
    </w:tbl>
    <w:p>
      <w:pPr>
        <w:pStyle w:val="yFootnotesection"/>
      </w:pPr>
      <w:r>
        <w:tab/>
        <w:t>[Schedule 1 inserted in Gazette 23 Jun 2009 p. 2454; amended in Gazette 25 Jun 2010 p. 2851</w:t>
      </w:r>
      <w:r>
        <w:noBreakHyphen/>
        <w:t>2; 22 Jun 2011 p. 2368; 15 Jun 2012 p. 2600; 27 Jun 2013 p. 2691-2; 17 Jun 2014 p. 1978.]</w:t>
      </w:r>
    </w:p>
    <w:p>
      <w:pPr>
        <w:pStyle w:val="yScheduleHeading"/>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35" w:name="_Toc400356621"/>
      <w:bookmarkStart w:id="36" w:name="_Toc400356663"/>
      <w:r>
        <w:rPr>
          <w:rStyle w:val="CharSchNo"/>
        </w:rPr>
        <w:t>Schedule 1A</w:t>
      </w:r>
      <w:r>
        <w:rPr>
          <w:rStyle w:val="CharSDivNo"/>
        </w:rPr>
        <w:t> </w:t>
      </w:r>
      <w:r>
        <w:t>—</w:t>
      </w:r>
      <w:r>
        <w:rPr>
          <w:rStyle w:val="CharSDivText"/>
        </w:rPr>
        <w:t> </w:t>
      </w:r>
      <w:r>
        <w:rPr>
          <w:rStyle w:val="CharSchText"/>
        </w:rPr>
        <w:t>Professional development subjects</w:t>
      </w:r>
      <w:bookmarkEnd w:id="35"/>
      <w:bookmarkEnd w:id="36"/>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yScheduleHeading"/>
      </w:pPr>
      <w:bookmarkStart w:id="37" w:name="_Toc400356622"/>
      <w:bookmarkStart w:id="38" w:name="_Toc400356664"/>
      <w:r>
        <w:rPr>
          <w:rStyle w:val="CharSchNo"/>
        </w:rPr>
        <w:t>Schedule 2</w:t>
      </w:r>
      <w:r>
        <w:rPr>
          <w:rStyle w:val="CharSDivNo"/>
        </w:rPr>
        <w:t> </w:t>
      </w:r>
      <w:r>
        <w:t>—</w:t>
      </w:r>
      <w:r>
        <w:rPr>
          <w:rStyle w:val="CharSDivText"/>
        </w:rPr>
        <w:t> </w:t>
      </w:r>
      <w:r>
        <w:rPr>
          <w:rStyle w:val="CharSchText"/>
        </w:rPr>
        <w:t>Forms</w:t>
      </w:r>
      <w:bookmarkEnd w:id="37"/>
      <w:bookmarkEnd w:id="38"/>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Ind w:w="820" w:type="dxa"/>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yScheduleHeading"/>
      </w:pPr>
      <w:bookmarkStart w:id="39" w:name="_Toc400356623"/>
      <w:bookmarkStart w:id="40" w:name="_Toc400356665"/>
      <w:r>
        <w:rPr>
          <w:rStyle w:val="CharSchNo"/>
        </w:rPr>
        <w:t>Schedule 3</w:t>
      </w:r>
      <w:r>
        <w:rPr>
          <w:rStyle w:val="CharSDivNo"/>
        </w:rPr>
        <w:t> </w:t>
      </w:r>
      <w:r>
        <w:t>—</w:t>
      </w:r>
      <w:r>
        <w:rPr>
          <w:rStyle w:val="CharSDivText"/>
        </w:rPr>
        <w:t> </w:t>
      </w:r>
      <w:r>
        <w:rPr>
          <w:rStyle w:val="CharSchText"/>
        </w:rPr>
        <w:t>Prescribed offences and modified penalties</w:t>
      </w:r>
      <w:bookmarkEnd w:id="39"/>
      <w:bookmarkEnd w:id="40"/>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8"/>
          <w:headerReference w:type="default" r:id="rId39"/>
          <w:pgSz w:w="11906" w:h="16838" w:code="9"/>
          <w:pgMar w:top="2381" w:right="2409" w:bottom="3543" w:left="2409" w:header="720" w:footer="3380" w:gutter="0"/>
          <w:cols w:space="720"/>
          <w:noEndnote/>
          <w:docGrid w:linePitch="326"/>
        </w:sectPr>
      </w:pPr>
    </w:p>
    <w:p>
      <w:pPr>
        <w:pStyle w:val="nHeading2"/>
      </w:pPr>
      <w:bookmarkStart w:id="41" w:name="_Toc400356624"/>
      <w:bookmarkStart w:id="42" w:name="_Toc400356666"/>
      <w:r>
        <w:t>Notes</w:t>
      </w:r>
      <w:bookmarkEnd w:id="41"/>
      <w:bookmarkEnd w:id="42"/>
    </w:p>
    <w:p>
      <w:pPr>
        <w:pStyle w:val="nSubsection"/>
        <w:rPr>
          <w:snapToGrid w:val="0"/>
        </w:rPr>
      </w:pPr>
      <w:r>
        <w:rPr>
          <w:snapToGrid w:val="0"/>
          <w:vertAlign w:val="superscript"/>
        </w:rPr>
        <w:t>1</w:t>
      </w:r>
      <w:r>
        <w:rPr>
          <w:snapToGrid w:val="0"/>
        </w:rPr>
        <w:tab/>
        <w:t xml:space="preserve">This reprint is a compilation as at 19 September 2014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400356667"/>
      <w: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4" w:type="dxa"/>
            <w:tcBorders>
              <w:top w:val="single" w:sz="8" w:space="0" w:color="auto"/>
            </w:tcBorders>
          </w:tcPr>
          <w:p>
            <w:pPr>
              <w:pStyle w:val="nTable"/>
              <w:spacing w:after="40"/>
              <w:rPr>
                <w:sz w:val="19"/>
              </w:rPr>
            </w:pPr>
            <w:r>
              <w:rPr>
                <w:sz w:val="19"/>
              </w:rPr>
              <w:t>1 Sep 1979</w:t>
            </w:r>
          </w:p>
        </w:tc>
      </w:tr>
      <w:tr>
        <w:trPr>
          <w:cantSplit/>
        </w:trPr>
        <w:tc>
          <w:tcPr>
            <w:tcW w:w="3118"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4" w:type="dxa"/>
          </w:tcPr>
          <w:p>
            <w:pPr>
              <w:pStyle w:val="nTable"/>
              <w:spacing w:after="40"/>
              <w:rPr>
                <w:sz w:val="19"/>
              </w:rPr>
            </w:pPr>
            <w:r>
              <w:rPr>
                <w:sz w:val="19"/>
              </w:rPr>
              <w:t>26 Sep 1980</w:t>
            </w:r>
          </w:p>
        </w:tc>
      </w:tr>
      <w:tr>
        <w:trPr>
          <w:cantSplit/>
        </w:trPr>
        <w:tc>
          <w:tcPr>
            <w:tcW w:w="3118"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4" w:type="dxa"/>
          </w:tcPr>
          <w:p>
            <w:pPr>
              <w:pStyle w:val="nTable"/>
              <w:spacing w:after="40"/>
              <w:rPr>
                <w:sz w:val="19"/>
              </w:rPr>
            </w:pPr>
            <w:r>
              <w:rPr>
                <w:sz w:val="19"/>
              </w:rPr>
              <w:t>26 Jun 1981</w:t>
            </w:r>
          </w:p>
        </w:tc>
      </w:tr>
      <w:tr>
        <w:trPr>
          <w:cantSplit/>
        </w:trPr>
        <w:tc>
          <w:tcPr>
            <w:tcW w:w="3118"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4" w:type="dxa"/>
          </w:tcPr>
          <w:p>
            <w:pPr>
              <w:pStyle w:val="nTable"/>
              <w:spacing w:after="40"/>
              <w:rPr>
                <w:sz w:val="19"/>
              </w:rPr>
            </w:pPr>
            <w:r>
              <w:rPr>
                <w:sz w:val="19"/>
              </w:rPr>
              <w:t>1 Dec 1981 (see r. 2)</w:t>
            </w:r>
          </w:p>
        </w:tc>
      </w:tr>
      <w:tr>
        <w:trPr>
          <w:cantSplit/>
        </w:trPr>
        <w:tc>
          <w:tcPr>
            <w:tcW w:w="3118"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4" w:type="dxa"/>
          </w:tcPr>
          <w:p>
            <w:pPr>
              <w:pStyle w:val="nTable"/>
              <w:spacing w:after="40"/>
              <w:rPr>
                <w:sz w:val="19"/>
              </w:rPr>
            </w:pPr>
            <w:r>
              <w:rPr>
                <w:sz w:val="19"/>
              </w:rPr>
              <w:t>2 Jul 1982 </w:t>
            </w:r>
            <w:r>
              <w:rPr>
                <w:sz w:val="19"/>
                <w:vertAlign w:val="superscript"/>
              </w:rPr>
              <w:t>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8"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4"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4"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vertAlign w:val="superscript"/>
              </w:rPr>
            </w:pPr>
            <w:r>
              <w:rPr>
                <w:i/>
                <w:sz w:val="19"/>
              </w:rPr>
              <w:t>Real Estate and Business Agents (General) Amendment Regulations 1984</w:t>
            </w:r>
            <w:r>
              <w:rPr>
                <w:sz w:val="19"/>
              </w:rPr>
              <w:t> </w:t>
            </w:r>
            <w:r>
              <w:rPr>
                <w:iCs/>
                <w:sz w:val="19"/>
                <w:vertAlign w:val="superscript"/>
              </w:rPr>
              <w:t>3</w:t>
            </w:r>
          </w:p>
        </w:tc>
        <w:tc>
          <w:tcPr>
            <w:tcW w:w="1276" w:type="dxa"/>
          </w:tcPr>
          <w:p>
            <w:pPr>
              <w:pStyle w:val="nTable"/>
              <w:spacing w:after="40"/>
              <w:rPr>
                <w:sz w:val="19"/>
              </w:rPr>
            </w:pPr>
            <w:r>
              <w:rPr>
                <w:sz w:val="19"/>
              </w:rPr>
              <w:t>21 Dec 1984 p. 4191</w:t>
            </w:r>
          </w:p>
        </w:tc>
        <w:tc>
          <w:tcPr>
            <w:tcW w:w="2694" w:type="dxa"/>
          </w:tcPr>
          <w:p>
            <w:pPr>
              <w:pStyle w:val="nTable"/>
              <w:spacing w:after="40"/>
              <w:rPr>
                <w:sz w:val="19"/>
              </w:rPr>
            </w:pPr>
            <w:r>
              <w:rPr>
                <w:sz w:val="19"/>
              </w:rPr>
              <w:t>21 Dec 1984</w:t>
            </w:r>
          </w:p>
        </w:tc>
      </w:tr>
      <w:tr>
        <w:trPr>
          <w:cantSplit/>
        </w:trPr>
        <w:tc>
          <w:tcPr>
            <w:tcW w:w="3118"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4"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4"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4"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4" w:type="dxa"/>
          </w:tcPr>
          <w:p>
            <w:pPr>
              <w:pStyle w:val="nTable"/>
              <w:spacing w:after="40"/>
              <w:rPr>
                <w:sz w:val="19"/>
              </w:rPr>
            </w:pPr>
            <w:r>
              <w:rPr>
                <w:sz w:val="19"/>
              </w:rPr>
              <w:t>1 Feb 1987 (see r. 2)</w:t>
            </w:r>
          </w:p>
        </w:tc>
      </w:tr>
      <w:tr>
        <w:trPr>
          <w:cantSplit/>
        </w:trPr>
        <w:tc>
          <w:tcPr>
            <w:tcW w:w="3118"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4" w:type="dxa"/>
          </w:tcPr>
          <w:p>
            <w:pPr>
              <w:pStyle w:val="nTable"/>
              <w:spacing w:after="40"/>
              <w:rPr>
                <w:sz w:val="19"/>
              </w:rPr>
            </w:pPr>
            <w:r>
              <w:rPr>
                <w:sz w:val="19"/>
              </w:rPr>
              <w:t>24 Dec 1986</w:t>
            </w:r>
          </w:p>
        </w:tc>
      </w:tr>
      <w:tr>
        <w:trPr>
          <w:cantSplit/>
        </w:trPr>
        <w:tc>
          <w:tcPr>
            <w:tcW w:w="3118"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4" w:type="dxa"/>
          </w:tcPr>
          <w:p>
            <w:pPr>
              <w:pStyle w:val="nTable"/>
              <w:spacing w:after="40"/>
              <w:rPr>
                <w:sz w:val="19"/>
              </w:rPr>
            </w:pPr>
            <w:r>
              <w:rPr>
                <w:sz w:val="19"/>
              </w:rPr>
              <w:t>8 May 1987</w:t>
            </w:r>
          </w:p>
        </w:tc>
      </w:tr>
      <w:tr>
        <w:trPr>
          <w:cantSplit/>
        </w:trPr>
        <w:tc>
          <w:tcPr>
            <w:tcW w:w="3118"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4"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4" w:type="dxa"/>
          </w:tcPr>
          <w:p>
            <w:pPr>
              <w:pStyle w:val="nTable"/>
              <w:spacing w:after="40"/>
              <w:rPr>
                <w:sz w:val="19"/>
              </w:rPr>
            </w:pPr>
            <w:r>
              <w:rPr>
                <w:sz w:val="19"/>
              </w:rPr>
              <w:t>30 Oct 1987</w:t>
            </w:r>
          </w:p>
        </w:tc>
      </w:tr>
      <w:tr>
        <w:trPr>
          <w:cantSplit/>
        </w:trPr>
        <w:tc>
          <w:tcPr>
            <w:tcW w:w="3118"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4" w:type="dxa"/>
          </w:tcPr>
          <w:p>
            <w:pPr>
              <w:pStyle w:val="nTable"/>
              <w:spacing w:after="40"/>
              <w:rPr>
                <w:sz w:val="19"/>
              </w:rPr>
            </w:pPr>
            <w:r>
              <w:rPr>
                <w:sz w:val="19"/>
              </w:rPr>
              <w:t>18 Dec 1987</w:t>
            </w:r>
          </w:p>
        </w:tc>
      </w:tr>
      <w:tr>
        <w:trPr>
          <w:cantSplit/>
        </w:trPr>
        <w:tc>
          <w:tcPr>
            <w:tcW w:w="3118"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4"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4"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4"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4" w:type="dxa"/>
          </w:tcPr>
          <w:p>
            <w:pPr>
              <w:pStyle w:val="nTable"/>
              <w:spacing w:after="40"/>
              <w:rPr>
                <w:sz w:val="19"/>
              </w:rPr>
            </w:pPr>
            <w:r>
              <w:rPr>
                <w:sz w:val="19"/>
              </w:rPr>
              <w:t>3 Feb 1989</w:t>
            </w:r>
          </w:p>
        </w:tc>
      </w:tr>
      <w:tr>
        <w:trPr>
          <w:cantSplit/>
        </w:trPr>
        <w:tc>
          <w:tcPr>
            <w:tcW w:w="3118"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4"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4" w:type="dxa"/>
          </w:tcPr>
          <w:p>
            <w:pPr>
              <w:pStyle w:val="nTable"/>
              <w:spacing w:after="40"/>
              <w:rPr>
                <w:sz w:val="19"/>
              </w:rPr>
            </w:pPr>
            <w:r>
              <w:rPr>
                <w:sz w:val="19"/>
              </w:rPr>
              <w:t>15 Jun 1990</w:t>
            </w:r>
          </w:p>
        </w:tc>
      </w:tr>
      <w:tr>
        <w:trPr>
          <w:cantSplit/>
        </w:trPr>
        <w:tc>
          <w:tcPr>
            <w:tcW w:w="3118"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4" w:type="dxa"/>
          </w:tcPr>
          <w:p>
            <w:pPr>
              <w:pStyle w:val="nTable"/>
              <w:spacing w:after="40"/>
              <w:rPr>
                <w:sz w:val="19"/>
              </w:rPr>
            </w:pPr>
            <w:r>
              <w:rPr>
                <w:sz w:val="19"/>
              </w:rPr>
              <w:t>20 Jul 1990</w:t>
            </w:r>
          </w:p>
        </w:tc>
      </w:tr>
      <w:tr>
        <w:trPr>
          <w:cantSplit/>
        </w:trPr>
        <w:tc>
          <w:tcPr>
            <w:tcW w:w="3118"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4"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4" w:type="dxa"/>
          </w:tcPr>
          <w:p>
            <w:pPr>
              <w:pStyle w:val="nTable"/>
              <w:spacing w:after="40"/>
              <w:rPr>
                <w:sz w:val="19"/>
              </w:rPr>
            </w:pPr>
            <w:r>
              <w:rPr>
                <w:sz w:val="19"/>
              </w:rPr>
              <w:t>26 Oct 1990</w:t>
            </w:r>
          </w:p>
        </w:tc>
      </w:tr>
      <w:tr>
        <w:trPr>
          <w:cantSplit/>
        </w:trPr>
        <w:tc>
          <w:tcPr>
            <w:tcW w:w="3118"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4"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4"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4"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8"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4"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4" w:type="dxa"/>
          </w:tcPr>
          <w:p>
            <w:pPr>
              <w:pStyle w:val="nTable"/>
              <w:spacing w:after="40"/>
              <w:rPr>
                <w:sz w:val="19"/>
              </w:rPr>
            </w:pPr>
            <w:r>
              <w:rPr>
                <w:sz w:val="19"/>
              </w:rPr>
              <w:t>6 Oct 1994 (see r. 2)</w:t>
            </w:r>
          </w:p>
        </w:tc>
      </w:tr>
      <w:tr>
        <w:trPr>
          <w:cantSplit/>
        </w:trPr>
        <w:tc>
          <w:tcPr>
            <w:tcW w:w="3118"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4" w:type="dxa"/>
          </w:tcPr>
          <w:p>
            <w:pPr>
              <w:pStyle w:val="nTable"/>
              <w:spacing w:after="40"/>
              <w:rPr>
                <w:sz w:val="19"/>
              </w:rPr>
            </w:pPr>
            <w:r>
              <w:rPr>
                <w:sz w:val="19"/>
              </w:rPr>
              <w:t>9 Dec 1994</w:t>
            </w:r>
          </w:p>
        </w:tc>
      </w:tr>
      <w:tr>
        <w:trPr>
          <w:cantSplit/>
        </w:trPr>
        <w:tc>
          <w:tcPr>
            <w:tcW w:w="3118"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4" w:type="dxa"/>
          </w:tcPr>
          <w:p>
            <w:pPr>
              <w:pStyle w:val="nTable"/>
              <w:spacing w:after="40"/>
              <w:rPr>
                <w:sz w:val="19"/>
              </w:rPr>
            </w:pPr>
            <w:r>
              <w:rPr>
                <w:sz w:val="19"/>
              </w:rPr>
              <w:t>7 Jun 1996</w:t>
            </w:r>
          </w:p>
        </w:tc>
      </w:tr>
      <w:tr>
        <w:trPr>
          <w:cantSplit/>
        </w:trPr>
        <w:tc>
          <w:tcPr>
            <w:tcW w:w="3118"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4"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4"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8"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4"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8"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4"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8"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4" w:type="dxa"/>
          </w:tcPr>
          <w:p>
            <w:pPr>
              <w:pStyle w:val="nTable"/>
              <w:spacing w:after="40"/>
              <w:rPr>
                <w:sz w:val="19"/>
              </w:rPr>
            </w:pPr>
            <w:r>
              <w:rPr>
                <w:sz w:val="19"/>
              </w:rPr>
              <w:t>8 Oct 1999</w:t>
            </w:r>
          </w:p>
        </w:tc>
      </w:tr>
      <w:tr>
        <w:trPr>
          <w:cantSplit/>
        </w:trPr>
        <w:tc>
          <w:tcPr>
            <w:tcW w:w="3118"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4" w:type="dxa"/>
          </w:tcPr>
          <w:p>
            <w:pPr>
              <w:pStyle w:val="nTable"/>
              <w:spacing w:after="40"/>
              <w:rPr>
                <w:sz w:val="19"/>
              </w:rPr>
            </w:pPr>
            <w:r>
              <w:rPr>
                <w:sz w:val="19"/>
              </w:rPr>
              <w:t>18 Feb 2000</w:t>
            </w:r>
          </w:p>
        </w:tc>
      </w:tr>
      <w:tr>
        <w:trPr>
          <w:cantSplit/>
        </w:trPr>
        <w:tc>
          <w:tcPr>
            <w:tcW w:w="3118"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4" w:type="dxa"/>
          </w:tcPr>
          <w:p>
            <w:pPr>
              <w:pStyle w:val="nTable"/>
              <w:spacing w:after="40"/>
              <w:rPr>
                <w:sz w:val="19"/>
              </w:rPr>
            </w:pPr>
            <w:r>
              <w:rPr>
                <w:sz w:val="19"/>
              </w:rPr>
              <w:t>6 Nov 2001</w:t>
            </w:r>
          </w:p>
        </w:tc>
      </w:tr>
      <w:tr>
        <w:trPr>
          <w:cantSplit/>
        </w:trPr>
        <w:tc>
          <w:tcPr>
            <w:tcW w:w="3118"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4"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8" w:type="dxa"/>
          </w:tcPr>
          <w:p>
            <w:pPr>
              <w:pStyle w:val="nTable"/>
              <w:spacing w:after="40"/>
              <w:ind w:right="113"/>
              <w:rPr>
                <w:i/>
                <w:sz w:val="19"/>
                <w:vertAlign w:val="superscript"/>
              </w:rPr>
            </w:pPr>
            <w:r>
              <w:rPr>
                <w:i/>
                <w:sz w:val="19"/>
              </w:rPr>
              <w:t>Real Estate and Business Agents (General) Amendment Regulations 2003</w:t>
            </w:r>
            <w:r>
              <w:rPr>
                <w:sz w:val="19"/>
              </w:rPr>
              <w:t> </w:t>
            </w:r>
            <w:r>
              <w:rPr>
                <w:sz w:val="19"/>
                <w:vertAlign w:val="superscript"/>
              </w:rPr>
              <w:t>4</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4" w:type="dxa"/>
          </w:tcPr>
          <w:p>
            <w:pPr>
              <w:pStyle w:val="nTable"/>
              <w:spacing w:after="40"/>
              <w:rPr>
                <w:sz w:val="19"/>
              </w:rPr>
            </w:pPr>
            <w:r>
              <w:rPr>
                <w:sz w:val="19"/>
              </w:rPr>
              <w:t>7 Feb 2003</w:t>
            </w:r>
          </w:p>
        </w:tc>
      </w:tr>
      <w:tr>
        <w:trPr>
          <w:cantSplit/>
        </w:trPr>
        <w:tc>
          <w:tcPr>
            <w:tcW w:w="3118"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4" w:type="dxa"/>
          </w:tcPr>
          <w:p>
            <w:pPr>
              <w:pStyle w:val="nTable"/>
              <w:spacing w:after="40"/>
              <w:rPr>
                <w:sz w:val="19"/>
              </w:rPr>
            </w:pPr>
            <w:r>
              <w:rPr>
                <w:sz w:val="19"/>
              </w:rPr>
              <w:t>13 Jan 2004</w:t>
            </w:r>
          </w:p>
        </w:tc>
      </w:tr>
      <w:tr>
        <w:trPr>
          <w:cantSplit/>
        </w:trPr>
        <w:tc>
          <w:tcPr>
            <w:tcW w:w="3118"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4"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4"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4" w:type="dxa"/>
          </w:tcPr>
          <w:p>
            <w:pPr>
              <w:pStyle w:val="nTable"/>
              <w:spacing w:after="40"/>
              <w:rPr>
                <w:sz w:val="19"/>
              </w:rPr>
            </w:pPr>
            <w:r>
              <w:rPr>
                <w:sz w:val="19"/>
              </w:rPr>
              <w:t>17 Nov 2006</w:t>
            </w:r>
          </w:p>
        </w:tc>
      </w:tr>
      <w:tr>
        <w:trPr>
          <w:cantSplit/>
        </w:trPr>
        <w:tc>
          <w:tcPr>
            <w:tcW w:w="3118"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4" w:type="dxa"/>
          </w:tcPr>
          <w:p>
            <w:pPr>
              <w:pStyle w:val="nTable"/>
              <w:spacing w:after="40"/>
              <w:rPr>
                <w:sz w:val="19"/>
              </w:rPr>
            </w:pPr>
            <w:r>
              <w:rPr>
                <w:sz w:val="19"/>
              </w:rPr>
              <w:t>6 Feb 2007</w:t>
            </w:r>
          </w:p>
        </w:tc>
      </w:tr>
      <w:tr>
        <w:trPr>
          <w:cantSplit/>
        </w:trPr>
        <w:tc>
          <w:tcPr>
            <w:tcW w:w="3118"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4"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4" w:type="dxa"/>
          </w:tcPr>
          <w:p>
            <w:pPr>
              <w:pStyle w:val="nTable"/>
              <w:spacing w:after="40"/>
              <w:rPr>
                <w:sz w:val="19"/>
              </w:rPr>
            </w:pPr>
            <w:r>
              <w:rPr>
                <w:snapToGrid w:val="0"/>
                <w:sz w:val="19"/>
              </w:rPr>
              <w:t>r. 1 and 2: 24 Jul 2007 (see r. 2(a));</w:t>
            </w:r>
            <w:r>
              <w:rPr>
                <w:snapToGrid w:val="0"/>
                <w:sz w:val="19"/>
              </w:rPr>
              <w:br/>
              <w:t xml:space="preserve">Regulations other than r. 1 and 2: 25 Jul 2007 (see r. 2(b) and </w:t>
            </w:r>
            <w:r>
              <w:rPr>
                <w:i/>
                <w:iCs/>
                <w:snapToGrid w:val="0"/>
                <w:sz w:val="19"/>
              </w:rPr>
              <w:t>Gazette</w:t>
            </w:r>
            <w:r>
              <w:rPr>
                <w:snapToGrid w:val="0"/>
                <w:sz w:val="19"/>
              </w:rPr>
              <w:t xml:space="preserve"> 24 Jul 2007 p. 3657)</w:t>
            </w:r>
            <w:r>
              <w:rPr>
                <w:sz w:val="19"/>
              </w:rPr>
              <w:t xml:space="preserve"> </w:t>
            </w:r>
          </w:p>
        </w:tc>
      </w:tr>
      <w:tr>
        <w:trPr>
          <w:cantSplit/>
        </w:trPr>
        <w:tc>
          <w:tcPr>
            <w:tcW w:w="3118"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4" w:type="dxa"/>
          </w:tcPr>
          <w:p>
            <w:pPr>
              <w:pStyle w:val="nTable"/>
              <w:spacing w:after="40"/>
              <w:rPr>
                <w:sz w:val="19"/>
              </w:rPr>
            </w:pPr>
            <w:r>
              <w:rPr>
                <w:sz w:val="19"/>
              </w:rPr>
              <w:t>r. 1 and 2: 28 Dec 2007 (see r. 2(a));</w:t>
            </w:r>
          </w:p>
          <w:p>
            <w:pPr>
              <w:pStyle w:val="nTable"/>
              <w:spacing w:after="40"/>
              <w:rPr>
                <w:snapToGrid w:val="0"/>
                <w:sz w:val="19"/>
              </w:rPr>
            </w:pPr>
            <w:r>
              <w:rPr>
                <w:sz w:val="19"/>
              </w:rPr>
              <w:t>Regulations other than r. 1 and 2: 29 Dec 2007 (see r. 2(b))</w:t>
            </w:r>
          </w:p>
        </w:tc>
      </w:tr>
      <w:tr>
        <w:trPr>
          <w:cantSplit/>
        </w:trPr>
        <w:tc>
          <w:tcPr>
            <w:tcW w:w="3118"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4"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8"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4"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8"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4"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8"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4"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8"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4" w:type="dxa"/>
          </w:tcPr>
          <w:p>
            <w:pPr>
              <w:pStyle w:val="nTable"/>
              <w:spacing w:after="40"/>
              <w:rPr>
                <w:rFonts w:ascii="Times" w:hAnsi="Times"/>
                <w:sz w:val="19"/>
              </w:rPr>
            </w:pPr>
            <w:r>
              <w:rPr>
                <w:rFonts w:ascii="Times" w:hAnsi="Times"/>
                <w:sz w:val="19"/>
              </w:rPr>
              <w:t>r. 1 and 2: 8 May 2009 (see r. 2(a));</w:t>
            </w:r>
            <w:r>
              <w:rPr>
                <w:rFonts w:ascii="Times" w:hAnsi="Times"/>
                <w:sz w:val="19"/>
              </w:rPr>
              <w:br/>
              <w:t>Regulations other than r. 1 and 2: 1 Jul 2009 (see r. 2(b))</w:t>
            </w:r>
          </w:p>
        </w:tc>
      </w:tr>
      <w:tr>
        <w:trPr>
          <w:cantSplit/>
        </w:trPr>
        <w:tc>
          <w:tcPr>
            <w:tcW w:w="3118"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4"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4" w:type="dxa"/>
          </w:tcPr>
          <w:p>
            <w:pPr>
              <w:pStyle w:val="nTable"/>
              <w:spacing w:after="40"/>
              <w:rPr>
                <w:rFonts w:ascii="Times" w:hAnsi="Times"/>
                <w:snapToGrid w:val="0"/>
                <w:sz w:val="19"/>
              </w:rPr>
            </w:pPr>
            <w:r>
              <w:rPr>
                <w:rFonts w:ascii="Times" w:hAnsi="Times"/>
                <w:snapToGrid w:val="0"/>
                <w:sz w:val="19"/>
              </w:rPr>
              <w:t>r. 1 and 2: 28 Aug 2009 (see r. 2(a));</w:t>
            </w:r>
            <w:r>
              <w:rPr>
                <w:rFonts w:ascii="Times" w:hAnsi="Times"/>
                <w:snapToGrid w:val="0"/>
                <w:sz w:val="19"/>
              </w:rPr>
              <w:br/>
              <w:t>Regulations other than r. 1 and 2: 29 Aug 2009 (see r. 2(b))</w:t>
            </w:r>
          </w:p>
        </w:tc>
      </w:tr>
      <w:tr>
        <w:trPr>
          <w:cantSplit/>
        </w:trPr>
        <w:tc>
          <w:tcPr>
            <w:tcW w:w="3118"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4" w:type="dxa"/>
          </w:tcPr>
          <w:p>
            <w:pPr>
              <w:pStyle w:val="nTable"/>
              <w:spacing w:after="40"/>
              <w:rPr>
                <w:rFonts w:ascii="Times" w:hAnsi="Times"/>
                <w:snapToGrid w:val="0"/>
                <w:sz w:val="19"/>
              </w:rPr>
            </w:pPr>
            <w:r>
              <w:rPr>
                <w:rFonts w:ascii="Times" w:hAnsi="Times"/>
                <w:snapToGrid w:val="0"/>
                <w:sz w:val="19"/>
              </w:rPr>
              <w:t>r. 1 and 2: 10 Nov 2009 (see r. 2(a));</w:t>
            </w:r>
            <w:r>
              <w:rPr>
                <w:rFonts w:ascii="Times" w:hAnsi="Times"/>
                <w:snapToGrid w:val="0"/>
                <w:sz w:val="19"/>
              </w:rPr>
              <w:br/>
              <w:t>Regulations other than r. 1 and 2: 11 Nov 2009 (see r. 2(b))</w:t>
            </w:r>
          </w:p>
        </w:tc>
      </w:tr>
      <w:tr>
        <w:trPr>
          <w:cantSplit/>
        </w:trPr>
        <w:tc>
          <w:tcPr>
            <w:tcW w:w="7088" w:type="dxa"/>
            <w:gridSpan w:val="3"/>
          </w:tcPr>
          <w:p>
            <w:pPr>
              <w:pStyle w:val="nTable"/>
              <w:spacing w:after="40"/>
              <w:rPr>
                <w:snapToGrid w:val="0"/>
                <w:spacing w:val="-2"/>
                <w:sz w:val="19"/>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4"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8" w:type="dxa"/>
          </w:tcPr>
          <w:p>
            <w:pPr>
              <w:pStyle w:val="nTable"/>
              <w:spacing w:after="40"/>
              <w:ind w:right="113"/>
              <w:rPr>
                <w:i/>
                <w:sz w:val="19"/>
              </w:rPr>
            </w:pPr>
            <w:r>
              <w:rPr>
                <w:i/>
                <w:sz w:val="19"/>
              </w:rPr>
              <w:t>Real Estate and Business Agents (General) Amendment Regulations (No. 2) 2010</w:t>
            </w:r>
          </w:p>
        </w:tc>
        <w:tc>
          <w:tcPr>
            <w:tcW w:w="1276" w:type="dxa"/>
          </w:tcPr>
          <w:p>
            <w:pPr>
              <w:pStyle w:val="nTable"/>
              <w:spacing w:after="40"/>
              <w:rPr>
                <w:sz w:val="19"/>
              </w:rPr>
            </w:pPr>
            <w:r>
              <w:rPr>
                <w:sz w:val="19"/>
              </w:rPr>
              <w:t>25 Jun 2010 p. 2851</w:t>
            </w:r>
            <w:r>
              <w:rPr>
                <w:sz w:val="19"/>
              </w:rPr>
              <w:noBreakHyphen/>
              <w:t>2</w:t>
            </w:r>
          </w:p>
        </w:tc>
        <w:tc>
          <w:tcPr>
            <w:tcW w:w="2694"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rPr>
          <w:cantSplit/>
        </w:trPr>
        <w:tc>
          <w:tcPr>
            <w:tcW w:w="3118" w:type="dxa"/>
          </w:tcPr>
          <w:p>
            <w:pPr>
              <w:pStyle w:val="nTable"/>
              <w:spacing w:after="40"/>
              <w:ind w:right="113"/>
              <w:rPr>
                <w:i/>
                <w:sz w:val="19"/>
              </w:rPr>
            </w:pPr>
            <w:r>
              <w:rPr>
                <w:i/>
                <w:sz w:val="19"/>
              </w:rPr>
              <w:t>Real Estate and Business Agents (General) Amendment Regulations 2011</w:t>
            </w:r>
          </w:p>
        </w:tc>
        <w:tc>
          <w:tcPr>
            <w:tcW w:w="1276" w:type="dxa"/>
          </w:tcPr>
          <w:p>
            <w:pPr>
              <w:pStyle w:val="nTable"/>
              <w:spacing w:after="40"/>
              <w:rPr>
                <w:sz w:val="19"/>
              </w:rPr>
            </w:pPr>
            <w:r>
              <w:rPr>
                <w:sz w:val="19"/>
              </w:rPr>
              <w:t>22 Jun 2011 p. 2367-8</w:t>
            </w:r>
          </w:p>
        </w:tc>
        <w:tc>
          <w:tcPr>
            <w:tcW w:w="2694"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rPr>
          <w:cantSplit/>
        </w:trPr>
        <w:tc>
          <w:tcPr>
            <w:tcW w:w="3118" w:type="dxa"/>
            <w:shd w:val="clear" w:color="auto" w:fill="auto"/>
          </w:tcPr>
          <w:p>
            <w:pPr>
              <w:pStyle w:val="nTable"/>
              <w:spacing w:after="40"/>
              <w:ind w:right="113"/>
              <w:rPr>
                <w:i/>
                <w:sz w:val="19"/>
              </w:rPr>
            </w:pPr>
            <w:r>
              <w:rPr>
                <w:i/>
                <w:sz w:val="19"/>
              </w:rPr>
              <w:t>Real Estate and Business Agents (General) Amendment Regulations (No. 2) 2011</w:t>
            </w:r>
          </w:p>
        </w:tc>
        <w:tc>
          <w:tcPr>
            <w:tcW w:w="1276" w:type="dxa"/>
            <w:shd w:val="clear" w:color="auto" w:fill="auto"/>
          </w:tcPr>
          <w:p>
            <w:pPr>
              <w:pStyle w:val="nTable"/>
              <w:spacing w:after="40"/>
              <w:rPr>
                <w:sz w:val="19"/>
              </w:rPr>
            </w:pPr>
            <w:r>
              <w:rPr>
                <w:sz w:val="19"/>
              </w:rPr>
              <w:t>30 Jun 2011 p. 2669-72</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sz w:val="19"/>
              </w:rPr>
            </w:pPr>
            <w:r>
              <w:rPr>
                <w:b/>
                <w:bCs/>
                <w:sz w:val="19"/>
              </w:rPr>
              <w:t xml:space="preserve">Reprint 7: The </w:t>
            </w:r>
            <w:r>
              <w:rPr>
                <w:b/>
                <w:bCs/>
                <w:i/>
                <w:sz w:val="19"/>
              </w:rPr>
              <w:t>Real Estate and Business Agents (General) Regulations 1979</w:t>
            </w:r>
            <w:r>
              <w:rPr>
                <w:b/>
                <w:bCs/>
                <w:sz w:val="19"/>
              </w:rPr>
              <w:t xml:space="preserve"> as at 3 Feb 2012</w:t>
            </w:r>
            <w:r>
              <w:rPr>
                <w:sz w:val="19"/>
              </w:rPr>
              <w:t xml:space="preserve"> (includes amendments listed above)</w:t>
            </w:r>
          </w:p>
        </w:tc>
      </w:tr>
      <w:tr>
        <w:trPr>
          <w:cantSplit/>
        </w:trPr>
        <w:tc>
          <w:tcPr>
            <w:tcW w:w="3118" w:type="dxa"/>
            <w:shd w:val="clear" w:color="auto" w:fill="auto"/>
          </w:tcPr>
          <w:p>
            <w:pPr>
              <w:pStyle w:val="nTable"/>
              <w:spacing w:after="40"/>
              <w:ind w:right="113"/>
              <w:rPr>
                <w:i/>
                <w:sz w:val="19"/>
              </w:rPr>
            </w:pPr>
            <w:r>
              <w:rPr>
                <w:i/>
                <w:sz w:val="19"/>
              </w:rPr>
              <w:t>Real Estate and Business Agents (General) Amendment Regulations 2012</w:t>
            </w:r>
          </w:p>
        </w:tc>
        <w:tc>
          <w:tcPr>
            <w:tcW w:w="1276" w:type="dxa"/>
            <w:shd w:val="clear" w:color="auto" w:fill="auto"/>
          </w:tcPr>
          <w:p>
            <w:pPr>
              <w:pStyle w:val="nTable"/>
              <w:spacing w:after="40"/>
              <w:rPr>
                <w:sz w:val="19"/>
              </w:rPr>
            </w:pPr>
            <w:r>
              <w:rPr>
                <w:sz w:val="19"/>
              </w:rPr>
              <w:t>15 Jun 2012 p. 2599-600</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rPr>
          <w:cantSplit/>
        </w:trPr>
        <w:tc>
          <w:tcPr>
            <w:tcW w:w="3118" w:type="dxa"/>
            <w:shd w:val="clear" w:color="auto" w:fill="auto"/>
          </w:tcPr>
          <w:p>
            <w:pPr>
              <w:pStyle w:val="nTable"/>
              <w:spacing w:after="40"/>
              <w:ind w:right="113"/>
              <w:rPr>
                <w:i/>
                <w:sz w:val="19"/>
              </w:rPr>
            </w:pPr>
            <w:r>
              <w:rPr>
                <w:i/>
                <w:sz w:val="19"/>
              </w:rPr>
              <w:t>Real Estate and Business Agents (General) Amendment Regulations (No. 2) 2012</w:t>
            </w:r>
          </w:p>
        </w:tc>
        <w:tc>
          <w:tcPr>
            <w:tcW w:w="1276" w:type="dxa"/>
            <w:shd w:val="clear" w:color="auto" w:fill="auto"/>
          </w:tcPr>
          <w:p>
            <w:pPr>
              <w:pStyle w:val="nTable"/>
              <w:spacing w:after="40"/>
              <w:rPr>
                <w:sz w:val="19"/>
              </w:rPr>
            </w:pPr>
            <w:r>
              <w:rPr>
                <w:sz w:val="19"/>
              </w:rPr>
              <w:t>23 Oct 2012 p. 5049</w:t>
            </w:r>
            <w:r>
              <w:rPr>
                <w:sz w:val="19"/>
              </w:rPr>
              <w:noBreakHyphen/>
              <w:t>55</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23 Oct 2012 (see r. 2(a));</w:t>
            </w:r>
            <w:r>
              <w:rPr>
                <w:rFonts w:ascii="Times" w:hAnsi="Times"/>
                <w:snapToGrid w:val="0"/>
                <w:sz w:val="19"/>
              </w:rPr>
              <w:br/>
              <w:t>Regulations other than r. 1 and 2: 24 Oct 2012 (see r. 2(b))</w:t>
            </w:r>
          </w:p>
        </w:tc>
      </w:tr>
      <w:tr>
        <w:trPr>
          <w:cantSplit/>
        </w:trPr>
        <w:tc>
          <w:tcPr>
            <w:tcW w:w="3118" w:type="dxa"/>
            <w:shd w:val="clear" w:color="auto" w:fill="auto"/>
          </w:tcPr>
          <w:p>
            <w:pPr>
              <w:pStyle w:val="nTable"/>
              <w:spacing w:after="40"/>
              <w:ind w:right="113"/>
              <w:rPr>
                <w:i/>
                <w:sz w:val="19"/>
              </w:rPr>
            </w:pPr>
            <w:r>
              <w:rPr>
                <w:i/>
                <w:sz w:val="19"/>
              </w:rPr>
              <w:t>Real Estate and Business Agents (General) Amendment Regulations (No. 2) 2013</w:t>
            </w:r>
          </w:p>
        </w:tc>
        <w:tc>
          <w:tcPr>
            <w:tcW w:w="1276" w:type="dxa"/>
            <w:shd w:val="clear" w:color="auto" w:fill="auto"/>
          </w:tcPr>
          <w:p>
            <w:pPr>
              <w:pStyle w:val="nTable"/>
              <w:spacing w:after="40"/>
              <w:rPr>
                <w:sz w:val="19"/>
              </w:rPr>
            </w:pPr>
            <w:r>
              <w:rPr>
                <w:sz w:val="19"/>
              </w:rPr>
              <w:t>27 Jun 2013 p. 2691-2</w:t>
            </w:r>
          </w:p>
        </w:tc>
        <w:tc>
          <w:tcPr>
            <w:tcW w:w="2694" w:type="dxa"/>
            <w:shd w:val="clear" w:color="auto" w:fill="auto"/>
          </w:tcPr>
          <w:p>
            <w:pPr>
              <w:pStyle w:val="nTable"/>
              <w:spacing w:after="40"/>
              <w:rPr>
                <w:rFonts w:ascii="Times" w:hAnsi="Times"/>
                <w:b/>
                <w:snapToGrid w:val="0"/>
                <w:sz w:val="19"/>
              </w:rPr>
            </w:pPr>
            <w:r>
              <w:rPr>
                <w:rFonts w:ascii="Times" w:hAnsi="Times"/>
                <w:snapToGrid w:val="0"/>
                <w:sz w:val="19"/>
              </w:rPr>
              <w:t>r. 1 and 2: 27 Jun 2013 (see r. 2(a));</w:t>
            </w:r>
            <w:r>
              <w:rPr>
                <w:rFonts w:ascii="Times" w:hAnsi="Times"/>
                <w:snapToGrid w:val="0"/>
                <w:sz w:val="19"/>
              </w:rPr>
              <w:br/>
              <w:t>Regulations other than r. 1 and 2: 1 Jul 2013 (see r. 2(b))</w:t>
            </w:r>
          </w:p>
        </w:tc>
      </w:tr>
      <w:tr>
        <w:trPr>
          <w:cantSplit/>
        </w:trPr>
        <w:tc>
          <w:tcPr>
            <w:tcW w:w="3118" w:type="dxa"/>
            <w:shd w:val="clear" w:color="auto" w:fill="auto"/>
          </w:tcPr>
          <w:p>
            <w:pPr>
              <w:pStyle w:val="nTable"/>
              <w:spacing w:after="40"/>
              <w:ind w:right="113"/>
              <w:rPr>
                <w:i/>
                <w:sz w:val="19"/>
              </w:rPr>
            </w:pPr>
            <w:r>
              <w:rPr>
                <w:i/>
                <w:sz w:val="19"/>
              </w:rPr>
              <w:t>Real Estate and Business Agents (General) Amendment Regulations 2013</w:t>
            </w:r>
          </w:p>
        </w:tc>
        <w:tc>
          <w:tcPr>
            <w:tcW w:w="1276" w:type="dxa"/>
            <w:shd w:val="clear" w:color="auto" w:fill="auto"/>
          </w:tcPr>
          <w:p>
            <w:pPr>
              <w:pStyle w:val="nTable"/>
              <w:spacing w:after="40"/>
              <w:rPr>
                <w:sz w:val="19"/>
              </w:rPr>
            </w:pPr>
            <w:r>
              <w:rPr>
                <w:sz w:val="19"/>
              </w:rPr>
              <w:t>20 Aug 2013 p. 3839</w:t>
            </w:r>
          </w:p>
        </w:tc>
        <w:tc>
          <w:tcPr>
            <w:tcW w:w="2694" w:type="dxa"/>
            <w:shd w:val="clear" w:color="auto" w:fill="auto"/>
          </w:tcPr>
          <w:p>
            <w:pPr>
              <w:pStyle w:val="nTable"/>
              <w:spacing w:after="40"/>
              <w:rPr>
                <w:rFonts w:ascii="Times" w:hAnsi="Times"/>
                <w:b/>
                <w:snapToGrid w:val="0"/>
                <w:spacing w:val="-2"/>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rPr>
          <w:cantSplit/>
        </w:trPr>
        <w:tc>
          <w:tcPr>
            <w:tcW w:w="3118" w:type="dxa"/>
            <w:shd w:val="clear" w:color="auto" w:fill="auto"/>
          </w:tcPr>
          <w:p>
            <w:pPr>
              <w:pStyle w:val="nTable"/>
              <w:spacing w:after="40"/>
              <w:ind w:right="113"/>
              <w:rPr>
                <w:i/>
                <w:sz w:val="19"/>
                <w:szCs w:val="19"/>
              </w:rPr>
            </w:pPr>
            <w:r>
              <w:rPr>
                <w:i/>
                <w:sz w:val="19"/>
                <w:szCs w:val="19"/>
              </w:rPr>
              <w:t>Real Estate and Business Agents (General) Amendment Regulations 2014</w:t>
            </w:r>
          </w:p>
        </w:tc>
        <w:tc>
          <w:tcPr>
            <w:tcW w:w="1276" w:type="dxa"/>
            <w:shd w:val="clear" w:color="auto" w:fill="auto"/>
          </w:tcPr>
          <w:p>
            <w:pPr>
              <w:pStyle w:val="nTable"/>
              <w:spacing w:after="40"/>
              <w:rPr>
                <w:sz w:val="19"/>
                <w:szCs w:val="19"/>
              </w:rPr>
            </w:pPr>
            <w:r>
              <w:rPr>
                <w:sz w:val="19"/>
                <w:szCs w:val="19"/>
              </w:rPr>
              <w:t>17 Jun 2014 p. 1977</w:t>
            </w:r>
            <w:r>
              <w:rPr>
                <w:sz w:val="19"/>
                <w:szCs w:val="19"/>
              </w:rPr>
              <w:noBreakHyphen/>
              <w:t>8</w:t>
            </w:r>
          </w:p>
        </w:tc>
        <w:tc>
          <w:tcPr>
            <w:tcW w:w="2694" w:type="dxa"/>
            <w:shd w:val="clear" w:color="auto" w:fill="auto"/>
          </w:tcPr>
          <w:p>
            <w:pPr>
              <w:pStyle w:val="nTable"/>
              <w:spacing w:after="40"/>
              <w:rPr>
                <w:snapToGrid w:val="0"/>
                <w:sz w:val="19"/>
                <w:szCs w:val="19"/>
              </w:rPr>
            </w:pPr>
            <w:r>
              <w:rPr>
                <w:bCs/>
                <w:snapToGrid w:val="0"/>
                <w:sz w:val="19"/>
                <w:szCs w:val="19"/>
              </w:rPr>
              <w:t>r. 1 and 2: 17 Jun 2014 (see r. 2(a));</w:t>
            </w:r>
            <w:r>
              <w:rPr>
                <w:bCs/>
                <w:snapToGrid w:val="0"/>
                <w:sz w:val="19"/>
                <w:szCs w:val="19"/>
              </w:rPr>
              <w:br/>
              <w:t>Regulations other than r. 1 and 2: 1 Jul 2014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sz w:val="19"/>
              </w:rPr>
            </w:pPr>
            <w:r>
              <w:rPr>
                <w:b/>
                <w:bCs/>
                <w:sz w:val="19"/>
              </w:rPr>
              <w:t xml:space="preserve">Reprint 8: The </w:t>
            </w:r>
            <w:r>
              <w:rPr>
                <w:b/>
                <w:bCs/>
                <w:i/>
                <w:sz w:val="19"/>
              </w:rPr>
              <w:t>Real Estate and Business Agents (General) Regulations 1979</w:t>
            </w:r>
            <w:r>
              <w:rPr>
                <w:b/>
                <w:bCs/>
                <w:sz w:val="19"/>
              </w:rPr>
              <w:t xml:space="preserve"> as at 19 Sep 2014</w:t>
            </w:r>
            <w:r>
              <w:rPr>
                <w:sz w:val="19"/>
              </w:rPr>
              <w:t xml:space="preserve"> (includes amendments listed above)</w:t>
            </w:r>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rPr>
          <w:snapToGrid w:val="0"/>
        </w:rPr>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
      <w:pPr>
        <w:pStyle w:val="nHeading2"/>
        <w:rPr>
          <w:sz w:val="28"/>
        </w:rPr>
      </w:pPr>
      <w:bookmarkStart w:id="44" w:name="_Toc400356626"/>
      <w:bookmarkStart w:id="45" w:name="_Toc400356668"/>
      <w:r>
        <w:rPr>
          <w:sz w:val="28"/>
        </w:rPr>
        <w:t>Defined terms</w:t>
      </w:r>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 w:name="DefinedTerms"/>
      <w:bookmarkEnd w:id="46"/>
      <w:r>
        <w:t>authorised financial institution</w:t>
      </w:r>
      <w:r>
        <w:tab/>
        <w:t>6C</w:t>
      </w:r>
    </w:p>
    <w:p>
      <w:pPr>
        <w:pStyle w:val="DefinedTerms"/>
      </w:pPr>
      <w:r>
        <w:t>business</w:t>
      </w:r>
      <w:r>
        <w:tab/>
        <w:t>6E(2)</w:t>
      </w:r>
    </w:p>
    <w:p>
      <w:pPr>
        <w:pStyle w:val="DefinedTerms"/>
      </w:pPr>
      <w:r>
        <w:t>calendar year</w:t>
      </w:r>
      <w:r>
        <w:tab/>
        <w:t>2</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dwelling</w:t>
      </w:r>
      <w:r>
        <w:tab/>
        <w:t>2</w:t>
      </w:r>
    </w:p>
    <w:p>
      <w:pPr>
        <w:pStyle w:val="DefinedTerms"/>
      </w:pPr>
      <w:r>
        <w:t>educational activity</w:t>
      </w:r>
      <w:r>
        <w:tab/>
        <w:t>2</w:t>
      </w:r>
    </w:p>
    <w:p>
      <w:pPr>
        <w:pStyle w:val="DefinedTerms"/>
      </w:pPr>
      <w:r>
        <w:t>holding fee</w:t>
      </w:r>
      <w:r>
        <w:tab/>
        <w:t>4A(1)</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Pr>
        <w:pStyle w:val="DefinedTerms"/>
      </w:pPr>
    </w:p>
    <w:p/>
    <w:p/>
    <w:p/>
    <w:p/>
    <w:p/>
    <w:p/>
    <w:p/>
    <w:p>
      <w:pPr>
        <w:spacing w:before="120"/>
      </w:pPr>
    </w:p>
    <w:p/>
    <w:p/>
    <w:p/>
    <w:p/>
    <w:p/>
    <w:p/>
    <w:p/>
    <w:p/>
    <w:p>
      <w:p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42</w:t>
    </w:r>
    <w:r>
      <w:rPr>
        <w:rStyle w:val="CharPageNo"/>
      </w:rPr>
      <w:fldChar w:fldCharType="end"/>
    </w:r>
    <w:r>
      <w:rPr>
        <w:rStyle w:val="CharPageNo"/>
      </w:rPr>
      <w:tab/>
    </w:r>
    <w:r>
      <w:t xml:space="preserve">Reprint </w:t>
    </w:r>
    <w:fldSimple w:instr=" DOCPROPERTY &quot;ReprintNo&quot; ">
      <w:r>
        <w:t>8</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8</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Forms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06105949"/>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5949" w:val="RemoveTocBookmarks,RemoveLanguageTags,RemoveTrackChanges,RunningHeaders"/>
    <w:docVar w:name="WAFER_20141006105949_GUID" w:val="bb68cba1-2b86-4ad0-9137-23f4bf837a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image" Target="media/image4.png"/><Relationship Id="rId40" Type="http://schemas.openxmlformats.org/officeDocument/2006/relationships/header" Target="header18.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5.xml"/><Relationship Id="rId49" Type="http://schemas.openxmlformats.org/officeDocument/2006/relationships/header" Target="header2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13D3-B576-4809-B3C0-8F05BEF9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10424</Words>
  <Characters>53478</Characters>
  <Application>Microsoft Office Word</Application>
  <DocSecurity>0</DocSecurity>
  <Lines>1909</Lines>
  <Paragraphs>1161</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1979 - 08-00-01</dc:title>
  <dc:subject/>
  <dc:creator/>
  <cp:keywords/>
  <dc:description/>
  <cp:lastModifiedBy>svcMRProcess</cp:lastModifiedBy>
  <cp:revision>4</cp:revision>
  <cp:lastPrinted>2014-10-02T03:16:00Z</cp:lastPrinted>
  <dcterms:created xsi:type="dcterms:W3CDTF">2020-04-23T03:43:00Z</dcterms:created>
  <dcterms:modified xsi:type="dcterms:W3CDTF">2020-04-23T03:43:00Z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20140919</vt:lpwstr>
  </property>
  <property fmtid="{D5CDD505-2E9C-101B-9397-08002B2CF9AE}" pid="4" name="DocumentType">
    <vt:lpwstr>Reg</vt:lpwstr>
  </property>
  <property fmtid="{D5CDD505-2E9C-101B-9397-08002B2CF9AE}" pid="5" name="OwlsUID">
    <vt:i4>4732</vt:i4>
  </property>
  <property fmtid="{D5CDD505-2E9C-101B-9397-08002B2CF9AE}" pid="6" name="AsAtDate">
    <vt:lpwstr>19 Sep 2014</vt:lpwstr>
  </property>
  <property fmtid="{D5CDD505-2E9C-101B-9397-08002B2CF9AE}" pid="7" name="Suffix">
    <vt:lpwstr>08-00-01</vt:lpwstr>
  </property>
  <property fmtid="{D5CDD505-2E9C-101B-9397-08002B2CF9AE}" pid="8" name="ReprintNo">
    <vt:lpwstr>8</vt:lpwstr>
  </property>
  <property fmtid="{D5CDD505-2E9C-101B-9397-08002B2CF9AE}" pid="9" name="ReprintedAsAt">
    <vt:filetime>2014-09-18T16:00:00Z</vt:filetime>
  </property>
</Properties>
</file>