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Fiona Stanley Hospital By-laws 2014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_Toc400637863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_Toc400637864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_Toc400637865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_Toc400637867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_Toc400637868 \h </w:instrText>
      </w:r>
      <w:r>
        <w:fldChar w:fldCharType="separate"/>
      </w:r>
      <w:r>
        <w:t>4</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_Toc400637869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_Toc400637870 \h </w:instrText>
      </w:r>
      <w:r>
        <w:fldChar w:fldCharType="separate"/>
      </w:r>
      <w:r>
        <w:t>4</w:t>
      </w:r>
      <w:r>
        <w:fldChar w:fldCharType="end"/>
      </w:r>
    </w:p>
    <w:p>
      <w:pPr>
        <w:pStyle w:val="TOC8"/>
        <w:rPr>
          <w:rFonts w:asciiTheme="minorHAnsi" w:eastAsiaTheme="minorEastAsia" w:hAnsiTheme="minorHAnsi" w:cstheme="minorBidi"/>
          <w:szCs w:val="22"/>
        </w:rPr>
      </w:pPr>
      <w:r>
        <w:t>8.</w:t>
      </w:r>
      <w:r>
        <w:tab/>
        <w:t>Disorderly persons may be expelled from site</w:t>
      </w:r>
      <w:r>
        <w:tab/>
      </w:r>
      <w:r>
        <w:fldChar w:fldCharType="begin"/>
      </w:r>
      <w:r>
        <w:instrText xml:space="preserve"> PAGEREF _Toc400637871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_Toc400637874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_Toc400637875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_Toc400637876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_Toc400637877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_Toc400637878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_Toc400637880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_Toc400637881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_Toc400637882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_Toc400637883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_Toc400637884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_Toc400637885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_Toc400637886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_Toc400637887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_Toc400637888 \h </w:instrText>
      </w:r>
      <w:r>
        <w:fldChar w:fldCharType="separate"/>
      </w:r>
      <w:r>
        <w:t>12</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_Toc400637889 \h </w:instrText>
      </w:r>
      <w:r>
        <w:fldChar w:fldCharType="separate"/>
      </w:r>
      <w:r>
        <w:t>12</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_Toc400637890 \h </w:instrText>
      </w:r>
      <w:r>
        <w:fldChar w:fldCharType="separate"/>
      </w:r>
      <w:r>
        <w:t>13</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_Toc400637891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_Toc400637893 \h </w:instrText>
      </w:r>
      <w:r>
        <w:fldChar w:fldCharType="separate"/>
      </w:r>
      <w:r>
        <w:t>15</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_Toc400637894 \h </w:instrText>
      </w:r>
      <w:r>
        <w:fldChar w:fldCharType="separate"/>
      </w:r>
      <w:r>
        <w:t>15</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_Toc400637895 \h </w:instrText>
      </w:r>
      <w:r>
        <w:fldChar w:fldCharType="separate"/>
      </w:r>
      <w:r>
        <w:t>16</w:t>
      </w:r>
      <w:r>
        <w:fldChar w:fldCharType="end"/>
      </w:r>
    </w:p>
    <w:p>
      <w:pPr>
        <w:pStyle w:val="TOC8"/>
        <w:rPr>
          <w:rFonts w:asciiTheme="minorHAnsi" w:eastAsiaTheme="minorEastAsia" w:hAnsiTheme="minorHAnsi" w:cstheme="minorBidi"/>
          <w:szCs w:val="22"/>
        </w:rPr>
      </w:pPr>
      <w:r>
        <w:t>29.</w:t>
      </w:r>
      <w:r>
        <w:tab/>
        <w:t>Authorised persons to have certificate</w:t>
      </w:r>
      <w:r>
        <w:tab/>
      </w:r>
      <w:r>
        <w:fldChar w:fldCharType="begin"/>
      </w:r>
      <w:r>
        <w:instrText xml:space="preserve"> PAGEREF _Toc400637896 \h </w:instrText>
      </w:r>
      <w:r>
        <w:fldChar w:fldCharType="separate"/>
      </w:r>
      <w:r>
        <w:t>16</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_Toc400637897 \h </w:instrText>
      </w:r>
      <w:r>
        <w:fldChar w:fldCharType="separate"/>
      </w:r>
      <w:r>
        <w:t>17</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_Toc400637898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_Toc400637900 \h </w:instrText>
      </w:r>
      <w:r>
        <w:fldChar w:fldCharType="separate"/>
      </w:r>
      <w:r>
        <w:t>18</w:t>
      </w:r>
      <w:r>
        <w:fldChar w:fldCharType="end"/>
      </w:r>
    </w:p>
    <w:p>
      <w:pPr>
        <w:pStyle w:val="TOC8"/>
        <w:rPr>
          <w:rFonts w:asciiTheme="minorHAnsi" w:eastAsiaTheme="minorEastAsia" w:hAnsiTheme="minorHAnsi" w:cstheme="minorBidi"/>
          <w:szCs w:val="22"/>
        </w:rPr>
      </w:pPr>
      <w:r>
        <w:t>33.</w:t>
      </w:r>
      <w:r>
        <w:tab/>
        <w:t>Registered owner may be treated as being driver or person in charge of vehicle at time of offence</w:t>
      </w:r>
      <w:r>
        <w:tab/>
      </w:r>
      <w:r>
        <w:fldChar w:fldCharType="begin"/>
      </w:r>
      <w:r>
        <w:instrText xml:space="preserve"> PAGEREF _Toc400637901 \h </w:instrText>
      </w:r>
      <w:r>
        <w:fldChar w:fldCharType="separate"/>
      </w:r>
      <w:r>
        <w:t>18</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_Toc400637902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_Toc400637907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Hospitals and Health Services Act 1927</w:t>
      </w:r>
    </w:p>
    <w:p>
      <w:pPr>
        <w:pStyle w:val="NameofActReg"/>
      </w:pPr>
      <w:r>
        <w:t>Fiona Stanley Hospital By</w:t>
      </w:r>
      <w:r>
        <w:noBreakHyphen/>
        <w:t>laws 2014</w:t>
      </w:r>
    </w:p>
    <w:p>
      <w:pPr>
        <w:pStyle w:val="Heading2"/>
        <w:pageBreakBefore w:val="0"/>
        <w:spacing w:before="240"/>
      </w:pPr>
      <w:bookmarkStart w:id="1" w:name="_Toc400637815"/>
      <w:bookmarkStart w:id="2" w:name="_Toc400637862"/>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40063786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5" w:name="_Toc40063786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6" w:name="_Toc400637865"/>
      <w:r>
        <w:rPr>
          <w:rStyle w:val="CharSectno"/>
        </w:rPr>
        <w:t>3</w:t>
      </w:r>
      <w:r>
        <w:rPr>
          <w:snapToGrid w:val="0"/>
        </w:rPr>
        <w:t>.</w:t>
      </w:r>
      <w:r>
        <w:rPr>
          <w:snapToGrid w:val="0"/>
        </w:rPr>
        <w:tab/>
        <w:t>Terms used</w:t>
      </w:r>
      <w:bookmarkEnd w:id="6"/>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Act 1974</w:t>
      </w:r>
      <w:r>
        <w:rPr>
          <w:iCs/>
        </w:rPr>
        <w:t xml:space="preserve"> section 5.</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Heading2"/>
      </w:pPr>
      <w:bookmarkStart w:id="7" w:name="_Toc400637819"/>
      <w:bookmarkStart w:id="8" w:name="_Toc400637866"/>
      <w:r>
        <w:rPr>
          <w:rStyle w:val="CharPartNo"/>
        </w:rPr>
        <w:t>Part 2</w:t>
      </w:r>
      <w:r>
        <w:rPr>
          <w:rStyle w:val="CharDivNo"/>
        </w:rPr>
        <w:t> </w:t>
      </w:r>
      <w:r>
        <w:t>—</w:t>
      </w:r>
      <w:r>
        <w:rPr>
          <w:rStyle w:val="CharDivText"/>
        </w:rPr>
        <w:t> </w:t>
      </w:r>
      <w:r>
        <w:rPr>
          <w:rStyle w:val="CharPartText"/>
        </w:rPr>
        <w:t>Trespass and order</w:t>
      </w:r>
      <w:bookmarkEnd w:id="7"/>
      <w:bookmarkEnd w:id="8"/>
    </w:p>
    <w:p>
      <w:pPr>
        <w:pStyle w:val="Heading5"/>
      </w:pPr>
      <w:bookmarkStart w:id="9" w:name="_Toc400637867"/>
      <w:r>
        <w:rPr>
          <w:rStyle w:val="CharSectno"/>
        </w:rPr>
        <w:t>4</w:t>
      </w:r>
      <w:r>
        <w:t>.</w:t>
      </w:r>
      <w:r>
        <w:tab/>
        <w:t>No entry without cause</w:t>
      </w:r>
      <w:bookmarkEnd w:id="9"/>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0" w:name="_Toc400637868"/>
      <w:r>
        <w:rPr>
          <w:rStyle w:val="CharSectno"/>
        </w:rPr>
        <w:t>5</w:t>
      </w:r>
      <w:r>
        <w:t>.</w:t>
      </w:r>
      <w:r>
        <w:tab/>
      </w:r>
      <w:r>
        <w:rPr>
          <w:snapToGrid w:val="0"/>
        </w:rPr>
        <w:t>Directions as to use of certain areas</w:t>
      </w:r>
      <w:bookmarkEnd w:id="10"/>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11" w:name="_Toc400637869"/>
      <w:r>
        <w:rPr>
          <w:rStyle w:val="CharSectno"/>
        </w:rPr>
        <w:t>6</w:t>
      </w:r>
      <w:r>
        <w:t>.</w:t>
      </w:r>
      <w:r>
        <w:tab/>
        <w:t>Liquor</w:t>
      </w:r>
      <w:bookmarkEnd w:id="11"/>
    </w:p>
    <w:p>
      <w:pPr>
        <w:pStyle w:val="Subsection"/>
        <w:rPr>
          <w:snapToGrid w:val="0"/>
        </w:rPr>
      </w:pPr>
      <w:r>
        <w:tab/>
      </w:r>
      <w:r>
        <w:tab/>
      </w:r>
      <w:r>
        <w:rPr>
          <w:snapToGrid w:val="0"/>
        </w:rPr>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12" w:name="_Toc400637870"/>
      <w:r>
        <w:rPr>
          <w:rStyle w:val="CharSectno"/>
        </w:rPr>
        <w:t>7</w:t>
      </w:r>
      <w:r>
        <w:t>.</w:t>
      </w:r>
      <w:r>
        <w:tab/>
        <w:t>Smoking</w:t>
      </w:r>
      <w:bookmarkEnd w:id="12"/>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13" w:name="_Toc400637871"/>
      <w:r>
        <w:rPr>
          <w:rStyle w:val="CharSectno"/>
        </w:rPr>
        <w:t>8</w:t>
      </w:r>
      <w:r>
        <w:t>.</w:t>
      </w:r>
      <w:r>
        <w:tab/>
        <w:t>Disorderly persons may be expelled from site</w:t>
      </w:r>
      <w:bookmarkEnd w:id="13"/>
    </w:p>
    <w:p>
      <w:pPr>
        <w:pStyle w:val="Subsection"/>
      </w:pPr>
      <w:r>
        <w:tab/>
      </w:r>
      <w:r>
        <w:tab/>
        <w:t xml:space="preserve">A person who does either of the following on the site may be expelled from the site — </w:t>
      </w:r>
    </w:p>
    <w:p>
      <w:pPr>
        <w:pStyle w:val="Indenta"/>
        <w:rPr>
          <w:snapToGrid w:val="0"/>
        </w:rPr>
      </w:pPr>
      <w:r>
        <w:tab/>
        <w:t>(a)</w:t>
      </w:r>
      <w:r>
        <w:tab/>
      </w:r>
      <w:r>
        <w:rPr>
          <w:snapToGrid w:val="0"/>
        </w:rPr>
        <w:t xml:space="preserve">uses abusive language; </w:t>
      </w:r>
    </w:p>
    <w:p>
      <w:pPr>
        <w:pStyle w:val="Indenta"/>
      </w:pPr>
      <w:r>
        <w:tab/>
        <w:t>(b)</w:t>
      </w:r>
      <w:r>
        <w:tab/>
      </w:r>
      <w:r>
        <w:rPr>
          <w:snapToGrid w:val="0"/>
        </w:rPr>
        <w:t xml:space="preserve">behaves in a manner that is </w:t>
      </w:r>
      <w:r>
        <w:t>indecent, disorderly or inappropriate.</w:t>
      </w:r>
    </w:p>
    <w:p>
      <w:pPr>
        <w:pStyle w:val="Heading2"/>
      </w:pPr>
      <w:bookmarkStart w:id="14" w:name="_Toc400637825"/>
      <w:bookmarkStart w:id="15" w:name="_Toc400637872"/>
      <w:r>
        <w:rPr>
          <w:rStyle w:val="CharPartNo"/>
        </w:rPr>
        <w:t>Part 3</w:t>
      </w:r>
      <w:r>
        <w:t> — </w:t>
      </w:r>
      <w:r>
        <w:rPr>
          <w:rStyle w:val="CharPartText"/>
        </w:rPr>
        <w:t>Traffic control</w:t>
      </w:r>
      <w:bookmarkEnd w:id="14"/>
      <w:bookmarkEnd w:id="15"/>
    </w:p>
    <w:p>
      <w:pPr>
        <w:pStyle w:val="Heading3"/>
      </w:pPr>
      <w:bookmarkStart w:id="16" w:name="_Toc400637826"/>
      <w:bookmarkStart w:id="17" w:name="_Toc400637873"/>
      <w:r>
        <w:rPr>
          <w:rStyle w:val="CharDivNo"/>
        </w:rPr>
        <w:t>Division 1</w:t>
      </w:r>
      <w:r>
        <w:t> — </w:t>
      </w:r>
      <w:r>
        <w:rPr>
          <w:rStyle w:val="CharDivText"/>
        </w:rPr>
        <w:t>Driving and use of vehicles</w:t>
      </w:r>
      <w:bookmarkEnd w:id="16"/>
      <w:bookmarkEnd w:id="17"/>
    </w:p>
    <w:p>
      <w:pPr>
        <w:pStyle w:val="Heading5"/>
      </w:pPr>
      <w:bookmarkStart w:id="18" w:name="_Toc400637874"/>
      <w:r>
        <w:rPr>
          <w:rStyle w:val="CharSectno"/>
        </w:rPr>
        <w:t>9</w:t>
      </w:r>
      <w:r>
        <w:t>.</w:t>
      </w:r>
      <w:r>
        <w:tab/>
        <w:t>Driving of vehicles</w:t>
      </w:r>
      <w:bookmarkEnd w:id="18"/>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19" w:name="_Toc400637875"/>
      <w:r>
        <w:rPr>
          <w:rStyle w:val="CharSectno"/>
        </w:rPr>
        <w:t>10</w:t>
      </w:r>
      <w:r>
        <w:t>.</w:t>
      </w:r>
      <w:r>
        <w:tab/>
        <w:t>Driver to obey reasonable direction</w:t>
      </w:r>
      <w:bookmarkEnd w:id="19"/>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20" w:name="_Toc400637876"/>
      <w:r>
        <w:rPr>
          <w:rStyle w:val="CharSectno"/>
        </w:rPr>
        <w:t>11</w:t>
      </w:r>
      <w:r>
        <w:t>.</w:t>
      </w:r>
      <w:r>
        <w:tab/>
        <w:t>Speed limits</w:t>
      </w:r>
      <w:bookmarkEnd w:id="20"/>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21" w:name="_Toc400637877"/>
      <w:r>
        <w:rPr>
          <w:rStyle w:val="CharSectno"/>
        </w:rPr>
        <w:t>12</w:t>
      </w:r>
      <w:r>
        <w:t>.</w:t>
      </w:r>
      <w:r>
        <w:tab/>
        <w:t>Giving way</w:t>
      </w:r>
      <w:bookmarkEnd w:id="21"/>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2" w:name="_Toc400637878"/>
      <w:r>
        <w:rPr>
          <w:rStyle w:val="CharSectno"/>
        </w:rPr>
        <w:t>13</w:t>
      </w:r>
      <w:r>
        <w:t>.</w:t>
      </w:r>
      <w:r>
        <w:tab/>
      </w:r>
      <w:r>
        <w:rPr>
          <w:snapToGrid w:val="0"/>
        </w:rPr>
        <w:t>No instruction or repairs on site</w:t>
      </w:r>
      <w:bookmarkEnd w:id="22"/>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23" w:name="_Toc400637832"/>
      <w:bookmarkStart w:id="24" w:name="_Toc400637879"/>
      <w:r>
        <w:rPr>
          <w:rStyle w:val="CharDivNo"/>
        </w:rPr>
        <w:t>Division 2</w:t>
      </w:r>
      <w:r>
        <w:t> — </w:t>
      </w:r>
      <w:r>
        <w:rPr>
          <w:rStyle w:val="CharDivText"/>
        </w:rPr>
        <w:t>Parking</w:t>
      </w:r>
      <w:bookmarkEnd w:id="23"/>
      <w:bookmarkEnd w:id="24"/>
    </w:p>
    <w:p>
      <w:pPr>
        <w:pStyle w:val="Heading5"/>
      </w:pPr>
      <w:bookmarkStart w:id="25" w:name="_Toc400637880"/>
      <w:r>
        <w:rPr>
          <w:rStyle w:val="CharSectno"/>
        </w:rPr>
        <w:t>14</w:t>
      </w:r>
      <w:r>
        <w:t>.</w:t>
      </w:r>
      <w:r>
        <w:tab/>
        <w:t>Parking to be in parking spaces only</w:t>
      </w:r>
      <w:bookmarkEnd w:id="25"/>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6" w:name="_Toc400637881"/>
      <w:r>
        <w:rPr>
          <w:rStyle w:val="CharSectno"/>
        </w:rPr>
        <w:t>15</w:t>
      </w:r>
      <w:r>
        <w:t>.</w:t>
      </w:r>
      <w:r>
        <w:tab/>
        <w:t>Signs to be obeyed</w:t>
      </w:r>
      <w:bookmarkEnd w:id="26"/>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7" w:name="_Toc400637882"/>
      <w:r>
        <w:rPr>
          <w:rStyle w:val="CharSectno"/>
        </w:rPr>
        <w:t>16</w:t>
      </w:r>
      <w:r>
        <w:t>.</w:t>
      </w:r>
      <w:r>
        <w:tab/>
        <w:t>Parking in parking spaces</w:t>
      </w:r>
      <w:bookmarkEnd w:id="27"/>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8" w:name="_Toc400637883"/>
      <w:r>
        <w:rPr>
          <w:rStyle w:val="CharSectno"/>
        </w:rPr>
        <w:t>17</w:t>
      </w:r>
      <w:r>
        <w:t>.</w:t>
      </w:r>
      <w:r>
        <w:tab/>
        <w:t>Types of parking areas</w:t>
      </w:r>
      <w:bookmarkEnd w:id="28"/>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29" w:name="_Toc400637884"/>
      <w:r>
        <w:rPr>
          <w:rStyle w:val="CharSectno"/>
        </w:rPr>
        <w:t>18</w:t>
      </w:r>
      <w:r>
        <w:t>.</w:t>
      </w:r>
      <w:r>
        <w:tab/>
        <w:t>Parking in ticket parking area or boom gate controlled ticket parking area</w:t>
      </w:r>
      <w:bookmarkEnd w:id="29"/>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30" w:name="_Toc400637885"/>
      <w:r>
        <w:rPr>
          <w:rStyle w:val="CharSectno"/>
        </w:rPr>
        <w:t>19</w:t>
      </w:r>
      <w:r>
        <w:t>.</w:t>
      </w:r>
      <w:r>
        <w:tab/>
        <w:t>Parking in paid staff parking area</w:t>
      </w:r>
      <w:bookmarkEnd w:id="30"/>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31" w:name="_Toc400637886"/>
      <w:r>
        <w:rPr>
          <w:rStyle w:val="CharSectno"/>
        </w:rPr>
        <w:t>20</w:t>
      </w:r>
      <w:r>
        <w:t>.</w:t>
      </w:r>
      <w:r>
        <w:tab/>
        <w:t>Parking in permit parking area</w:t>
      </w:r>
      <w:bookmarkEnd w:id="31"/>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32" w:name="_Toc400637887"/>
      <w:r>
        <w:rPr>
          <w:rStyle w:val="CharSectno"/>
        </w:rPr>
        <w:t>21</w:t>
      </w:r>
      <w:r>
        <w:t>.</w:t>
      </w:r>
      <w:r>
        <w:tab/>
        <w:t>Parking permits</w:t>
      </w:r>
      <w:bookmarkEnd w:id="32"/>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33" w:name="_Toc400637888"/>
      <w:r>
        <w:rPr>
          <w:rStyle w:val="CharSectno"/>
        </w:rPr>
        <w:t>22</w:t>
      </w:r>
      <w:r>
        <w:t>.</w:t>
      </w:r>
      <w:r>
        <w:tab/>
        <w:t>Application for parking permit</w:t>
      </w:r>
      <w:bookmarkEnd w:id="33"/>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t>Penalty: a fine of $50.</w:t>
      </w:r>
    </w:p>
    <w:p>
      <w:pPr>
        <w:pStyle w:val="Heading5"/>
      </w:pPr>
      <w:bookmarkStart w:id="34" w:name="_Toc400637889"/>
      <w:r>
        <w:rPr>
          <w:rStyle w:val="CharSectno"/>
        </w:rPr>
        <w:t>23</w:t>
      </w:r>
      <w:r>
        <w:t>.</w:t>
      </w:r>
      <w:r>
        <w:tab/>
        <w:t>Fees for parking permits</w:t>
      </w:r>
      <w:bookmarkEnd w:id="34"/>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5" w:name="_Toc400637890"/>
      <w:r>
        <w:rPr>
          <w:rStyle w:val="CharSectno"/>
        </w:rPr>
        <w:t>24</w:t>
      </w:r>
      <w:r>
        <w:t>.</w:t>
      </w:r>
      <w:r>
        <w:tab/>
        <w:t>Cancellation of parking permit</w:t>
      </w:r>
      <w:bookmarkEnd w:id="35"/>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36" w:name="_Toc400637891"/>
      <w:r>
        <w:rPr>
          <w:rStyle w:val="CharSectno"/>
        </w:rPr>
        <w:t>25</w:t>
      </w:r>
      <w:r>
        <w:t>.</w:t>
      </w:r>
      <w:r>
        <w:tab/>
        <w:t>Refund of parking permit fees</w:t>
      </w:r>
      <w:bookmarkEnd w:id="36"/>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37" w:name="_Toc400637845"/>
      <w:bookmarkStart w:id="38" w:name="_Toc400637892"/>
      <w:r>
        <w:rPr>
          <w:rStyle w:val="CharPartNo"/>
        </w:rPr>
        <w:t>Part 4</w:t>
      </w:r>
      <w:r>
        <w:rPr>
          <w:rStyle w:val="CharDivNo"/>
        </w:rPr>
        <w:t> </w:t>
      </w:r>
      <w:r>
        <w:t>—</w:t>
      </w:r>
      <w:r>
        <w:rPr>
          <w:rStyle w:val="CharDivText"/>
        </w:rPr>
        <w:t> </w:t>
      </w:r>
      <w:r>
        <w:rPr>
          <w:rStyle w:val="CharPartText"/>
        </w:rPr>
        <w:t>Infringement notices</w:t>
      </w:r>
      <w:bookmarkEnd w:id="37"/>
      <w:bookmarkEnd w:id="38"/>
    </w:p>
    <w:p>
      <w:pPr>
        <w:pStyle w:val="Heading5"/>
      </w:pPr>
      <w:bookmarkStart w:id="39" w:name="_Toc400637893"/>
      <w:r>
        <w:rPr>
          <w:rStyle w:val="CharSectno"/>
        </w:rPr>
        <w:t>26</w:t>
      </w:r>
      <w:r>
        <w:t>.</w:t>
      </w:r>
      <w:r>
        <w:tab/>
        <w:t>Terms used</w:t>
      </w:r>
      <w:bookmarkEnd w:id="39"/>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bookmarkStart w:id="40" w:name="endcomma"/>
      <w:bookmarkEnd w:id="40"/>
      <w:r>
        <w:t xml:space="preserve"> </w:t>
      </w:r>
      <w:bookmarkStart w:id="41" w:name="comma"/>
      <w:bookmarkEnd w:id="41"/>
      <w:r>
        <w:t>means a penalty prescribed in Schedule 2 for an offence under Part 3 or 4.</w:t>
      </w:r>
    </w:p>
    <w:p>
      <w:pPr>
        <w:pStyle w:val="Heading5"/>
      </w:pPr>
      <w:bookmarkStart w:id="42" w:name="_Toc400637894"/>
      <w:r>
        <w:rPr>
          <w:rStyle w:val="CharSectno"/>
        </w:rPr>
        <w:t>27</w:t>
      </w:r>
      <w:r>
        <w:t>.</w:t>
      </w:r>
      <w:r>
        <w:tab/>
        <w:t>Infringement notices</w:t>
      </w:r>
      <w:bookmarkEnd w:id="42"/>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43" w:name="_Toc400637895"/>
      <w:r>
        <w:rPr>
          <w:rStyle w:val="CharSectno"/>
        </w:rPr>
        <w:t>28</w:t>
      </w:r>
      <w:r>
        <w:t>.</w:t>
      </w:r>
      <w:r>
        <w:tab/>
        <w:t>Withdrawal of infringement notice</w:t>
      </w:r>
      <w:bookmarkEnd w:id="43"/>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44" w:name="_Toc400637896"/>
      <w:r>
        <w:rPr>
          <w:rStyle w:val="CharSectno"/>
        </w:rPr>
        <w:t>29</w:t>
      </w:r>
      <w:r>
        <w:t>.</w:t>
      </w:r>
      <w:r>
        <w:tab/>
        <w:t>Authorised persons to have certificate</w:t>
      </w:r>
      <w:bookmarkEnd w:id="44"/>
      <w:r>
        <w:t xml:space="preserve"> </w:t>
      </w:r>
    </w:p>
    <w:p>
      <w:pPr>
        <w:pStyle w:val="Subsection"/>
        <w:rPr>
          <w:snapToGrid w:val="0"/>
        </w:rPr>
      </w:pPr>
      <w:r>
        <w:tab/>
        <w:t>(1)</w:t>
      </w:r>
      <w:r>
        <w:tab/>
        <w:t>The chief executive officer is to issue to each person who may issue an infringement notice a certificate stating that the person is so authorised.</w:t>
      </w:r>
    </w:p>
    <w:p>
      <w:pPr>
        <w:pStyle w:val="Subsection"/>
      </w:pPr>
      <w:r>
        <w:tab/>
        <w:t>(2)</w:t>
      </w:r>
      <w:r>
        <w:tab/>
      </w:r>
      <w:r>
        <w:rPr>
          <w:snapToGrid w:val="0"/>
        </w:rPr>
        <w:t>The person to whom an authorised person has given, or is about to give, an infringement notice may require the authorised person to produce the certificate referred to in sub</w:t>
      </w:r>
      <w:r>
        <w:rPr>
          <w:snapToGrid w:val="0"/>
        </w:rPr>
        <w:noBreakHyphen/>
        <w:t>bylaw (1).</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Heading5"/>
      </w:pPr>
      <w:bookmarkStart w:id="45" w:name="_Toc400637897"/>
      <w:r>
        <w:rPr>
          <w:rStyle w:val="CharSectno"/>
        </w:rPr>
        <w:t>30</w:t>
      </w:r>
      <w:r>
        <w:t>.</w:t>
      </w:r>
      <w:r>
        <w:tab/>
        <w:t>Authorised persons only to endorse or alter infringement notices</w:t>
      </w:r>
      <w:bookmarkEnd w:id="45"/>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6" w:name="_Toc400637898"/>
      <w:r>
        <w:rPr>
          <w:rStyle w:val="CharSectno"/>
        </w:rPr>
        <w:t>31</w:t>
      </w:r>
      <w:r>
        <w:t>.</w:t>
      </w:r>
      <w:r>
        <w:tab/>
        <w:t>Restriction on removal of infringement notices</w:t>
      </w:r>
      <w:bookmarkEnd w:id="46"/>
    </w:p>
    <w:p>
      <w:pPr>
        <w:pStyle w:val="Subsection"/>
        <w:rPr>
          <w:snapToGrid w:val="0"/>
        </w:rPr>
      </w:pPr>
      <w:r>
        <w:tab/>
      </w:r>
      <w:r>
        <w:tab/>
      </w:r>
      <w:r>
        <w:rPr>
          <w:snapToGrid w:val="0"/>
        </w:rPr>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Heading2"/>
      </w:pPr>
      <w:bookmarkStart w:id="47" w:name="_Toc400637852"/>
      <w:bookmarkStart w:id="48" w:name="_Toc400637899"/>
      <w:r>
        <w:rPr>
          <w:rStyle w:val="CharPartNo"/>
        </w:rPr>
        <w:t>Part 5</w:t>
      </w:r>
      <w:r>
        <w:rPr>
          <w:rStyle w:val="CharDivNo"/>
        </w:rPr>
        <w:t> </w:t>
      </w:r>
      <w:r>
        <w:t>—</w:t>
      </w:r>
      <w:r>
        <w:rPr>
          <w:rStyle w:val="CharDivText"/>
        </w:rPr>
        <w:t> </w:t>
      </w:r>
      <w:r>
        <w:rPr>
          <w:rStyle w:val="CharPartText"/>
        </w:rPr>
        <w:t>General</w:t>
      </w:r>
      <w:bookmarkEnd w:id="47"/>
      <w:bookmarkEnd w:id="48"/>
    </w:p>
    <w:p>
      <w:pPr>
        <w:pStyle w:val="Heading5"/>
      </w:pPr>
      <w:bookmarkStart w:id="49" w:name="_Toc400637900"/>
      <w:r>
        <w:rPr>
          <w:rStyle w:val="CharSectno"/>
        </w:rPr>
        <w:t>32</w:t>
      </w:r>
      <w:r>
        <w:t>.</w:t>
      </w:r>
      <w:r>
        <w:tab/>
        <w:t>Removal of vehicles</w:t>
      </w:r>
      <w:bookmarkEnd w:id="49"/>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owner of the vehicle has paid the prescribed fee.</w:t>
      </w:r>
    </w:p>
    <w:p>
      <w:pPr>
        <w:pStyle w:val="Heading5"/>
      </w:pPr>
      <w:bookmarkStart w:id="50" w:name="_Toc400637901"/>
      <w:r>
        <w:rPr>
          <w:rStyle w:val="CharSectno"/>
        </w:rPr>
        <w:t>33</w:t>
      </w:r>
      <w:r>
        <w:t>.</w:t>
      </w:r>
      <w:r>
        <w:tab/>
        <w:t>Registered owner may be treated as being driver or person in charge of vehicle at time of offence</w:t>
      </w:r>
      <w:bookmarkEnd w:id="50"/>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51" w:name="_Toc400637902"/>
      <w:r>
        <w:rPr>
          <w:rStyle w:val="CharSectno"/>
        </w:rPr>
        <w:t>34</w:t>
      </w:r>
      <w:r>
        <w:t>.</w:t>
      </w:r>
      <w:r>
        <w:tab/>
        <w:t>Other offences</w:t>
      </w:r>
      <w:bookmarkEnd w:id="51"/>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2" w:name="_Toc400637856"/>
      <w:bookmarkStart w:id="53" w:name="_Toc400637903"/>
      <w:r>
        <w:rPr>
          <w:rStyle w:val="CharSchNo"/>
        </w:rPr>
        <w:t>Schedule 1</w:t>
      </w:r>
      <w:r>
        <w:rPr>
          <w:rStyle w:val="CharSDivNo"/>
        </w:rPr>
        <w:t> </w:t>
      </w:r>
      <w:r>
        <w:t>—</w:t>
      </w:r>
      <w:bookmarkStart w:id="54" w:name="AutoSch"/>
      <w:bookmarkEnd w:id="54"/>
      <w:r>
        <w:rPr>
          <w:rStyle w:val="CharSDivText"/>
        </w:rPr>
        <w:t> </w:t>
      </w:r>
      <w:r>
        <w:rPr>
          <w:rStyle w:val="CharSchText"/>
        </w:rPr>
        <w:t>Fees</w:t>
      </w:r>
      <w:bookmarkEnd w:id="52"/>
      <w:bookmarkEnd w:id="53"/>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outlineLvl w:val="0"/>
      </w:pPr>
      <w:bookmarkStart w:id="55" w:name="_Toc400637857"/>
      <w:bookmarkStart w:id="56" w:name="_Toc400637904"/>
      <w:r>
        <w:rPr>
          <w:rStyle w:val="CharSchNo"/>
        </w:rPr>
        <w:t>Schedule 2</w:t>
      </w:r>
      <w:r>
        <w:rPr>
          <w:rStyle w:val="CharSDivNo"/>
        </w:rPr>
        <w:t> </w:t>
      </w:r>
      <w:r>
        <w:t>—</w:t>
      </w:r>
      <w:r>
        <w:rPr>
          <w:rStyle w:val="CharSDivText"/>
        </w:rPr>
        <w:t> </w:t>
      </w:r>
      <w:r>
        <w:rPr>
          <w:rStyle w:val="CharSchText"/>
        </w:rPr>
        <w:t>Infringement notices and modified penalties</w:t>
      </w:r>
      <w:bookmarkEnd w:id="55"/>
      <w:bookmarkEnd w:id="56"/>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outlineLvl w:val="0"/>
      </w:pPr>
      <w:bookmarkStart w:id="57" w:name="_Toc400637858"/>
      <w:bookmarkStart w:id="58" w:name="_Toc400637905"/>
      <w:r>
        <w:rPr>
          <w:rStyle w:val="CharSchNo"/>
        </w:rPr>
        <w:t>Schedule 3</w:t>
      </w:r>
      <w:r>
        <w:rPr>
          <w:rStyle w:val="CharSDivNo"/>
        </w:rPr>
        <w:t> </w:t>
      </w:r>
      <w:r>
        <w:t>—</w:t>
      </w:r>
      <w:r>
        <w:rPr>
          <w:rStyle w:val="CharSDivText"/>
        </w:rPr>
        <w:t> </w:t>
      </w:r>
      <w:r>
        <w:rPr>
          <w:rStyle w:val="CharSchText"/>
        </w:rPr>
        <w:t>Forms</w:t>
      </w:r>
      <w:bookmarkEnd w:id="57"/>
      <w:bookmarkEnd w:id="58"/>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59" w:name="_Toc400637859"/>
      <w:bookmarkStart w:id="60" w:name="_Toc400637906"/>
      <w:r>
        <w:t>Notes</w:t>
      </w:r>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rPr>
          <w:snapToGrid w:val="0"/>
        </w:rPr>
        <w:t xml:space="preserve">.  The following table contains information about those by-laws. </w:t>
      </w:r>
    </w:p>
    <w:p>
      <w:pPr>
        <w:pStyle w:val="nHeading3"/>
      </w:pPr>
      <w:bookmarkStart w:id="61" w:name="_Toc400637907"/>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Fiona Stanley Hospital By-laws 2014</w:t>
            </w:r>
          </w:p>
        </w:tc>
        <w:tc>
          <w:tcPr>
            <w:tcW w:w="1276" w:type="dxa"/>
          </w:tcPr>
          <w:p>
            <w:pPr>
              <w:pStyle w:val="nTable"/>
              <w:spacing w:after="40"/>
              <w:rPr>
                <w:sz w:val="19"/>
              </w:rPr>
            </w:pPr>
            <w:r>
              <w:rPr>
                <w:sz w:val="19"/>
              </w:rPr>
              <w:t>10 Oct 2014 p. 3701</w:t>
            </w:r>
            <w:r>
              <w:rPr>
                <w:sz w:val="19"/>
              </w:rPr>
              <w:noBreakHyphen/>
              <w:t>30</w:t>
            </w:r>
          </w:p>
        </w:tc>
        <w:tc>
          <w:tcPr>
            <w:tcW w:w="2693" w:type="dxa"/>
          </w:tcPr>
          <w:p>
            <w:pPr>
              <w:pStyle w:val="nTable"/>
              <w:spacing w:after="40"/>
              <w:rPr>
                <w:sz w:val="19"/>
              </w:rPr>
            </w:pPr>
            <w:r>
              <w:rPr>
                <w:sz w:val="19"/>
              </w:rPr>
              <w:t>bl. 1 and 2: 10 Oct 2014 (see bl. 2(a));</w:t>
            </w:r>
            <w:r>
              <w:rPr>
                <w:sz w:val="19"/>
              </w:rPr>
              <w:br/>
              <w:t>By-laws other than bl. 1 and 2: 11 Oct 2014 (see bl. 2(b))</w:t>
            </w:r>
          </w:p>
        </w:tc>
      </w:tr>
    </w:tbl>
    <w:p/>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nHeading2"/>
        <w:rPr>
          <w:sz w:val="28"/>
        </w:rPr>
      </w:pPr>
      <w:bookmarkStart w:id="62" w:name="_Toc400637861"/>
      <w:bookmarkStart w:id="63" w:name="_Toc400637908"/>
      <w:r>
        <w:rPr>
          <w:sz w:val="28"/>
        </w:rPr>
        <w:t>Defined terms</w:t>
      </w:r>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851" w:right="851" w:bottom="312" w:left="2126" w:header="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Fiona Stanley Hospital By-laws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Fiona Stanley Hospital By-laws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Fiona Stanley Hospital By-laws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Fiona Stanley Hospital By-laws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Fiona Stanley Hospital By-laws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Fiona Stanley Hospital By-laws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Fiona Stanley Hospital By-laws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Fiona Stanley Hospital By-laws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Fiona Stanley Hospital By-laws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34</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Fiona Stanley Hospital By-laws 2014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Fiona Stanley Hospital By-laws 2014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9170652"/>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5613</Words>
  <Characters>27060</Characters>
  <Application>Microsoft Office Word</Application>
  <DocSecurity>0</DocSecurity>
  <Lines>902</Lines>
  <Paragraphs>653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2014 - 00-a0-00</dc:title>
  <dc:subject/>
  <dc:creator/>
  <cp:keywords/>
  <dc:description/>
  <cp:lastModifiedBy>svcMRProcess</cp:lastModifiedBy>
  <cp:revision>4</cp:revision>
  <cp:lastPrinted>2014-06-11T04:03:00Z</cp:lastPrinted>
  <dcterms:created xsi:type="dcterms:W3CDTF">2018-09-19T06:24:00Z</dcterms:created>
  <dcterms:modified xsi:type="dcterms:W3CDTF">2018-09-19T06:24:00Z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AsAtDate">
    <vt:lpwstr>11 Oct 2014</vt:lpwstr>
  </property>
  <property fmtid="{D5CDD505-2E9C-101B-9397-08002B2CF9AE}" pid="4" name="Suffix">
    <vt:lpwstr>00-a0-00</vt:lpwstr>
  </property>
  <property fmtid="{D5CDD505-2E9C-101B-9397-08002B2CF9AE}" pid="5" name="DocumentType">
    <vt:lpwstr>Reg</vt:lpwstr>
  </property>
  <property fmtid="{D5CDD505-2E9C-101B-9397-08002B2CF9AE}" pid="6" name="CommencementDate">
    <vt:lpwstr>20141011</vt:lpwstr>
  </property>
</Properties>
</file>