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Environmental Protection Act 1986</w:t>
      </w:r>
    </w:p>
    <w:p>
      <w:pPr>
        <w:pStyle w:val="NameofActRegPage1"/>
        <w:spacing w:before="120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(Controlled Waste) Regulations 2004</w:t>
      </w:r>
      <w:r>
        <w:rPr>
          <w:sz w:val="48"/>
        </w:rPr>
        <w:fldChar w:fldCharType="end"/>
      </w:r>
    </w:p>
    <w:p>
      <w:pPr>
        <w:pStyle w:val="ReprintNo"/>
        <w:outlineLvl w:val="9"/>
      </w:pPr>
      <w:r>
        <w:t>Reprint 1:  The regulations as at 3 October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16378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_Toc401060774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_Toc401060775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_Toc401060776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4.</w:t>
      </w:r>
      <w:r>
        <w:tab/>
        <w:t>Application for licence</w:t>
      </w:r>
      <w:r>
        <w:tab/>
      </w:r>
      <w:r>
        <w:fldChar w:fldCharType="begin"/>
      </w:r>
      <w:r>
        <w:instrText xml:space="preserve"> PAGEREF _Toc401060779 \h </w:instrText>
      </w:r>
      <w:r>
        <w:fldChar w:fldCharType="separate"/>
      </w:r>
      <w:r>
        <w:t>6</w:t>
      </w:r>
      <w:r>
        <w:fldChar w:fldCharType="end"/>
      </w:r>
    </w:p>
    <w:p>
      <w:pPr>
        <w:pStyle w:val="TOC8"/>
        <w:rPr>
          <w:rFonts w:asciiTheme="minorHAnsi" w:eastAsiaTheme="minorEastAsia" w:hAnsiTheme="minorHAnsi" w:cstheme="minorBidi"/>
          <w:szCs w:val="22"/>
        </w:rPr>
      </w:pPr>
      <w:r>
        <w:t>5.</w:t>
      </w:r>
      <w:r>
        <w:tab/>
        <w:t>Licensing</w:t>
      </w:r>
      <w:r>
        <w:tab/>
      </w:r>
      <w:r>
        <w:fldChar w:fldCharType="begin"/>
      </w:r>
      <w:r>
        <w:instrText xml:space="preserve"> PAGEREF _Toc401060780 \h </w:instrText>
      </w:r>
      <w:r>
        <w:fldChar w:fldCharType="separate"/>
      </w:r>
      <w:r>
        <w:t>6</w:t>
      </w:r>
      <w:r>
        <w:fldChar w:fldCharType="end"/>
      </w:r>
    </w:p>
    <w:p>
      <w:pPr>
        <w:pStyle w:val="TOC8"/>
        <w:rPr>
          <w:rFonts w:asciiTheme="minorHAnsi" w:eastAsiaTheme="minorEastAsia" w:hAnsiTheme="minorHAnsi" w:cstheme="minorBidi"/>
          <w:szCs w:val="22"/>
        </w:rPr>
      </w:pPr>
      <w:r>
        <w:t>6.</w:t>
      </w:r>
      <w:r>
        <w:tab/>
        <w:t>Conditions</w:t>
      </w:r>
      <w:r>
        <w:tab/>
      </w:r>
      <w:r>
        <w:fldChar w:fldCharType="begin"/>
      </w:r>
      <w:r>
        <w:instrText xml:space="preserve"> PAGEREF _Toc401060781 \h </w:instrText>
      </w:r>
      <w:r>
        <w:fldChar w:fldCharType="separate"/>
      </w:r>
      <w:r>
        <w:t>7</w:t>
      </w:r>
      <w:r>
        <w:fldChar w:fldCharType="end"/>
      </w:r>
    </w:p>
    <w:p>
      <w:pPr>
        <w:pStyle w:val="TOC8"/>
        <w:rPr>
          <w:rFonts w:asciiTheme="minorHAnsi" w:eastAsiaTheme="minorEastAsia" w:hAnsiTheme="minorHAnsi" w:cstheme="minorBidi"/>
          <w:szCs w:val="22"/>
        </w:rPr>
      </w:pPr>
      <w:r>
        <w:t>7.</w:t>
      </w:r>
      <w:r>
        <w:tab/>
        <w:t>Refund of fee</w:t>
      </w:r>
      <w:r>
        <w:tab/>
      </w:r>
      <w:r>
        <w:fldChar w:fldCharType="begin"/>
      </w:r>
      <w:r>
        <w:instrText xml:space="preserve"> PAGEREF _Toc401060782 \h </w:instrText>
      </w:r>
      <w:r>
        <w:fldChar w:fldCharType="separate"/>
      </w:r>
      <w:r>
        <w:t>8</w:t>
      </w:r>
      <w:r>
        <w:fldChar w:fldCharType="end"/>
      </w:r>
    </w:p>
    <w:p>
      <w:pPr>
        <w:pStyle w:val="TOC8"/>
        <w:rPr>
          <w:rFonts w:asciiTheme="minorHAnsi" w:eastAsiaTheme="minorEastAsia" w:hAnsiTheme="minorHAnsi" w:cstheme="minorBidi"/>
          <w:szCs w:val="22"/>
        </w:rPr>
      </w:pPr>
      <w:r>
        <w:t>8.</w:t>
      </w:r>
      <w:r>
        <w:tab/>
        <w:t>Validity of licence</w:t>
      </w:r>
      <w:r>
        <w:tab/>
      </w:r>
      <w:r>
        <w:fldChar w:fldCharType="begin"/>
      </w:r>
      <w:r>
        <w:instrText xml:space="preserve"> PAGEREF _Toc401060783 \h </w:instrText>
      </w:r>
      <w:r>
        <w:fldChar w:fldCharType="separate"/>
      </w:r>
      <w:r>
        <w:t>9</w:t>
      </w:r>
      <w:r>
        <w:fldChar w:fldCharType="end"/>
      </w:r>
    </w:p>
    <w:p>
      <w:pPr>
        <w:pStyle w:val="TOC8"/>
        <w:rPr>
          <w:rFonts w:asciiTheme="minorHAnsi" w:eastAsiaTheme="minorEastAsia" w:hAnsiTheme="minorHAnsi" w:cstheme="minorBidi"/>
          <w:szCs w:val="22"/>
        </w:rPr>
      </w:pPr>
      <w:r>
        <w:t>9.</w:t>
      </w:r>
      <w:r>
        <w:tab/>
        <w:t>Renewal of licence</w:t>
      </w:r>
      <w:r>
        <w:tab/>
      </w:r>
      <w:r>
        <w:fldChar w:fldCharType="begin"/>
      </w:r>
      <w:r>
        <w:instrText xml:space="preserve"> PAGEREF _Toc401060784 \h </w:instrText>
      </w:r>
      <w:r>
        <w:fldChar w:fldCharType="separate"/>
      </w:r>
      <w:r>
        <w:t>9</w:t>
      </w:r>
      <w:r>
        <w:fldChar w:fldCharType="end"/>
      </w:r>
    </w:p>
    <w:p>
      <w:pPr>
        <w:pStyle w:val="TOC8"/>
        <w:rPr>
          <w:rFonts w:asciiTheme="minorHAnsi" w:eastAsiaTheme="minorEastAsia" w:hAnsiTheme="minorHAnsi" w:cstheme="minorBidi"/>
          <w:szCs w:val="22"/>
        </w:rPr>
      </w:pPr>
      <w:r>
        <w:t>10.</w:t>
      </w:r>
      <w:r>
        <w:tab/>
        <w:t>Cancellation or suspension of, refusal to renew, licence</w:t>
      </w:r>
      <w:r>
        <w:tab/>
      </w:r>
      <w:r>
        <w:fldChar w:fldCharType="begin"/>
      </w:r>
      <w:r>
        <w:instrText xml:space="preserve"> PAGEREF _Toc401060785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Carriers</w:t>
      </w:r>
    </w:p>
    <w:p>
      <w:pPr>
        <w:pStyle w:val="TOC8"/>
        <w:rPr>
          <w:rFonts w:asciiTheme="minorHAnsi" w:eastAsiaTheme="minorEastAsia" w:hAnsiTheme="minorHAnsi" w:cstheme="minorBidi"/>
          <w:szCs w:val="22"/>
        </w:rPr>
      </w:pPr>
      <w:r>
        <w:t>11.</w:t>
      </w:r>
      <w:r>
        <w:tab/>
        <w:t>Certain carriers to be licensed</w:t>
      </w:r>
      <w:r>
        <w:tab/>
      </w:r>
      <w:r>
        <w:fldChar w:fldCharType="begin"/>
      </w:r>
      <w:r>
        <w:instrText xml:space="preserve"> PAGEREF _Toc401060787 \h </w:instrText>
      </w:r>
      <w:r>
        <w:fldChar w:fldCharType="separate"/>
      </w:r>
      <w:r>
        <w:t>11</w:t>
      </w:r>
      <w:r>
        <w:fldChar w:fldCharType="end"/>
      </w:r>
    </w:p>
    <w:p>
      <w:pPr>
        <w:pStyle w:val="TOC8"/>
        <w:rPr>
          <w:rFonts w:asciiTheme="minorHAnsi" w:eastAsiaTheme="minorEastAsia" w:hAnsiTheme="minorHAnsi" w:cstheme="minorBidi"/>
          <w:szCs w:val="22"/>
        </w:rPr>
      </w:pPr>
      <w:r>
        <w:t>12.</w:t>
      </w:r>
      <w:r>
        <w:tab/>
        <w:t>Refusal of licence</w:t>
      </w:r>
      <w:r>
        <w:tab/>
      </w:r>
      <w:r>
        <w:fldChar w:fldCharType="begin"/>
      </w:r>
      <w:r>
        <w:instrText xml:space="preserve"> PAGEREF _Toc401060788 \h </w:instrText>
      </w:r>
      <w:r>
        <w:fldChar w:fldCharType="separate"/>
      </w:r>
      <w:r>
        <w:t>11</w:t>
      </w:r>
      <w:r>
        <w:fldChar w:fldCharType="end"/>
      </w:r>
    </w:p>
    <w:p>
      <w:pPr>
        <w:pStyle w:val="TOC8"/>
        <w:rPr>
          <w:rFonts w:asciiTheme="minorHAnsi" w:eastAsiaTheme="minorEastAsia" w:hAnsiTheme="minorHAnsi" w:cstheme="minorBidi"/>
          <w:szCs w:val="22"/>
        </w:rPr>
      </w:pPr>
      <w:r>
        <w:t>13.</w:t>
      </w:r>
      <w:r>
        <w:tab/>
        <w:t>Sub</w:t>
      </w:r>
      <w:r>
        <w:noBreakHyphen/>
        <w:t>contractors</w:t>
      </w:r>
      <w:r>
        <w:tab/>
      </w:r>
      <w:r>
        <w:fldChar w:fldCharType="begin"/>
      </w:r>
      <w:r>
        <w:instrText xml:space="preserve"> PAGEREF _Toc401060789 \h </w:instrText>
      </w:r>
      <w:r>
        <w:fldChar w:fldCharType="separate"/>
      </w:r>
      <w:r>
        <w:t>11</w:t>
      </w:r>
      <w:r>
        <w:fldChar w:fldCharType="end"/>
      </w:r>
    </w:p>
    <w:p>
      <w:pPr>
        <w:pStyle w:val="TOC8"/>
        <w:rPr>
          <w:rFonts w:asciiTheme="minorHAnsi" w:eastAsiaTheme="minorEastAsia" w:hAnsiTheme="minorHAnsi" w:cstheme="minorBidi"/>
          <w:szCs w:val="22"/>
        </w:rPr>
      </w:pPr>
      <w:r>
        <w:t>14.</w:t>
      </w:r>
      <w:r>
        <w:tab/>
        <w:t>Employment of unlicensed driver to transport bulk controlled waste</w:t>
      </w:r>
      <w:r>
        <w:tab/>
      </w:r>
      <w:r>
        <w:fldChar w:fldCharType="begin"/>
      </w:r>
      <w:r>
        <w:instrText xml:space="preserve"> PAGEREF _Toc401060790 \h </w:instrText>
      </w:r>
      <w:r>
        <w:fldChar w:fldCharType="separate"/>
      </w:r>
      <w:r>
        <w:t>12</w:t>
      </w:r>
      <w:r>
        <w:fldChar w:fldCharType="end"/>
      </w:r>
    </w:p>
    <w:p>
      <w:pPr>
        <w:pStyle w:val="TOC8"/>
        <w:rPr>
          <w:rFonts w:asciiTheme="minorHAnsi" w:eastAsiaTheme="minorEastAsia" w:hAnsiTheme="minorHAnsi" w:cstheme="minorBidi"/>
          <w:szCs w:val="22"/>
        </w:rPr>
      </w:pPr>
      <w:r>
        <w:t>15.</w:t>
      </w:r>
      <w:r>
        <w:tab/>
        <w:t>Notification of employment of licensed drivers</w:t>
      </w:r>
      <w:r>
        <w:tab/>
      </w:r>
      <w:r>
        <w:fldChar w:fldCharType="begin"/>
      </w:r>
      <w:r>
        <w:instrText xml:space="preserve"> PAGEREF _Toc401060791 \h </w:instrText>
      </w:r>
      <w:r>
        <w:fldChar w:fldCharType="separate"/>
      </w:r>
      <w:r>
        <w:t>12</w:t>
      </w:r>
      <w:r>
        <w:fldChar w:fldCharType="end"/>
      </w:r>
    </w:p>
    <w:p>
      <w:pPr>
        <w:pStyle w:val="TOC8"/>
        <w:rPr>
          <w:rFonts w:asciiTheme="minorHAnsi" w:eastAsiaTheme="minorEastAsia" w:hAnsiTheme="minorHAnsi" w:cstheme="minorBidi"/>
          <w:szCs w:val="22"/>
        </w:rPr>
      </w:pPr>
      <w:r>
        <w:t>16.</w:t>
      </w:r>
      <w:r>
        <w:tab/>
        <w:t>Interstate carriers</w:t>
      </w:r>
      <w:r>
        <w:tab/>
      </w:r>
      <w:r>
        <w:fldChar w:fldCharType="begin"/>
      </w:r>
      <w:r>
        <w:instrText xml:space="preserve"> PAGEREF _Toc401060792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Drivers</w:t>
      </w:r>
    </w:p>
    <w:p>
      <w:pPr>
        <w:pStyle w:val="TOC8"/>
        <w:rPr>
          <w:rFonts w:asciiTheme="minorHAnsi" w:eastAsiaTheme="minorEastAsia" w:hAnsiTheme="minorHAnsi" w:cstheme="minorBidi"/>
          <w:szCs w:val="22"/>
        </w:rPr>
      </w:pPr>
      <w:r>
        <w:t>17.</w:t>
      </w:r>
      <w:r>
        <w:tab/>
        <w:t>Drivers to be licensed</w:t>
      </w:r>
      <w:r>
        <w:tab/>
      </w:r>
      <w:r>
        <w:fldChar w:fldCharType="begin"/>
      </w:r>
      <w:r>
        <w:instrText xml:space="preserve"> PAGEREF _Toc401060794 \h </w:instrText>
      </w:r>
      <w:r>
        <w:fldChar w:fldCharType="separate"/>
      </w:r>
      <w:r>
        <w:t>13</w:t>
      </w:r>
      <w:r>
        <w:fldChar w:fldCharType="end"/>
      </w:r>
    </w:p>
    <w:p>
      <w:pPr>
        <w:pStyle w:val="TOC8"/>
        <w:rPr>
          <w:rFonts w:asciiTheme="minorHAnsi" w:eastAsiaTheme="minorEastAsia" w:hAnsiTheme="minorHAnsi" w:cstheme="minorBidi"/>
          <w:szCs w:val="22"/>
        </w:rPr>
      </w:pPr>
      <w:r>
        <w:t>18.</w:t>
      </w:r>
      <w:r>
        <w:tab/>
        <w:t>Refusal of licence</w:t>
      </w:r>
      <w:r>
        <w:tab/>
      </w:r>
      <w:r>
        <w:fldChar w:fldCharType="begin"/>
      </w:r>
      <w:r>
        <w:instrText xml:space="preserve"> PAGEREF _Toc401060795 \h </w:instrText>
      </w:r>
      <w:r>
        <w:fldChar w:fldCharType="separate"/>
      </w:r>
      <w:r>
        <w:t>13</w:t>
      </w:r>
      <w:r>
        <w:fldChar w:fldCharType="end"/>
      </w:r>
    </w:p>
    <w:p>
      <w:pPr>
        <w:pStyle w:val="TOC8"/>
        <w:rPr>
          <w:rFonts w:asciiTheme="minorHAnsi" w:eastAsiaTheme="minorEastAsia" w:hAnsiTheme="minorHAnsi" w:cstheme="minorBidi"/>
          <w:szCs w:val="22"/>
        </w:rPr>
      </w:pPr>
      <w:r>
        <w:t>19.</w:t>
      </w:r>
      <w:r>
        <w:tab/>
        <w:t>Driver identification card</w:t>
      </w:r>
      <w:r>
        <w:tab/>
      </w:r>
      <w:r>
        <w:fldChar w:fldCharType="begin"/>
      </w:r>
      <w:r>
        <w:instrText xml:space="preserve"> PAGEREF _Toc401060796 \h </w:instrText>
      </w:r>
      <w:r>
        <w:fldChar w:fldCharType="separate"/>
      </w:r>
      <w:r>
        <w:t>14</w:t>
      </w:r>
      <w:r>
        <w:fldChar w:fldCharType="end"/>
      </w:r>
    </w:p>
    <w:p>
      <w:pPr>
        <w:pStyle w:val="TOC8"/>
        <w:rPr>
          <w:rFonts w:asciiTheme="minorHAnsi" w:eastAsiaTheme="minorEastAsia" w:hAnsiTheme="minorHAnsi" w:cstheme="minorBidi"/>
          <w:szCs w:val="22"/>
        </w:rPr>
      </w:pPr>
      <w:r>
        <w:t>20.</w:t>
      </w:r>
      <w:r>
        <w:tab/>
        <w:t>Recognition of licence issued in another State or a Territory</w:t>
      </w:r>
      <w:r>
        <w:tab/>
      </w:r>
      <w:r>
        <w:fldChar w:fldCharType="begin"/>
      </w:r>
      <w:r>
        <w:instrText xml:space="preserve"> PAGEREF _Toc401060797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Vehicle or tank</w:t>
      </w:r>
    </w:p>
    <w:p>
      <w:pPr>
        <w:pStyle w:val="TOC8"/>
        <w:rPr>
          <w:rFonts w:asciiTheme="minorHAnsi" w:eastAsiaTheme="minorEastAsia" w:hAnsiTheme="minorHAnsi" w:cstheme="minorBidi"/>
          <w:szCs w:val="22"/>
        </w:rPr>
      </w:pPr>
      <w:r>
        <w:t>21.</w:t>
      </w:r>
      <w:r>
        <w:tab/>
        <w:t>Vehicles and tanks of carriers to be licensed</w:t>
      </w:r>
      <w:r>
        <w:tab/>
      </w:r>
      <w:r>
        <w:fldChar w:fldCharType="begin"/>
      </w:r>
      <w:r>
        <w:instrText xml:space="preserve"> PAGEREF _Toc401060799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for licence and inspection of vehicle or tank</w:t>
      </w:r>
      <w:r>
        <w:tab/>
      </w:r>
      <w:r>
        <w:fldChar w:fldCharType="begin"/>
      </w:r>
      <w:r>
        <w:instrText xml:space="preserve"> PAGEREF _Toc401060800 \h </w:instrText>
      </w:r>
      <w:r>
        <w:fldChar w:fldCharType="separate"/>
      </w:r>
      <w:r>
        <w:t>15</w:t>
      </w:r>
      <w:r>
        <w:fldChar w:fldCharType="end"/>
      </w:r>
    </w:p>
    <w:p>
      <w:pPr>
        <w:pStyle w:val="TOC8"/>
        <w:rPr>
          <w:rFonts w:asciiTheme="minorHAnsi" w:eastAsiaTheme="minorEastAsia" w:hAnsiTheme="minorHAnsi" w:cstheme="minorBidi"/>
          <w:szCs w:val="22"/>
        </w:rPr>
      </w:pPr>
      <w:r>
        <w:t>23.</w:t>
      </w:r>
      <w:r>
        <w:tab/>
        <w:t>Issue of licence</w:t>
      </w:r>
      <w:r>
        <w:tab/>
      </w:r>
      <w:r>
        <w:fldChar w:fldCharType="begin"/>
      </w:r>
      <w:r>
        <w:instrText xml:space="preserve"> PAGEREF _Toc401060801 \h </w:instrText>
      </w:r>
      <w:r>
        <w:fldChar w:fldCharType="separate"/>
      </w:r>
      <w:r>
        <w:t>16</w:t>
      </w:r>
      <w:r>
        <w:fldChar w:fldCharType="end"/>
      </w:r>
    </w:p>
    <w:p>
      <w:pPr>
        <w:pStyle w:val="TOC8"/>
        <w:rPr>
          <w:rFonts w:asciiTheme="minorHAnsi" w:eastAsiaTheme="minorEastAsia" w:hAnsiTheme="minorHAnsi" w:cstheme="minorBidi"/>
          <w:szCs w:val="22"/>
        </w:rPr>
      </w:pPr>
      <w:r>
        <w:t>24.</w:t>
      </w:r>
      <w:r>
        <w:tab/>
        <w:t>Validity of licence</w:t>
      </w:r>
      <w:r>
        <w:tab/>
      </w:r>
      <w:r>
        <w:fldChar w:fldCharType="begin"/>
      </w:r>
      <w:r>
        <w:instrText xml:space="preserve"> PAGEREF _Toc401060802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 — Assignment of carrier’s business and transfer of licence</w:t>
      </w:r>
    </w:p>
    <w:p>
      <w:pPr>
        <w:pStyle w:val="TOC8"/>
        <w:rPr>
          <w:rFonts w:asciiTheme="minorHAnsi" w:eastAsiaTheme="minorEastAsia" w:hAnsiTheme="minorHAnsi" w:cstheme="minorBidi"/>
          <w:szCs w:val="22"/>
        </w:rPr>
      </w:pPr>
      <w:r>
        <w:t>25A.</w:t>
      </w:r>
      <w:r>
        <w:tab/>
        <w:t>Terms used</w:t>
      </w:r>
      <w:r>
        <w:tab/>
      </w:r>
      <w:r>
        <w:fldChar w:fldCharType="begin"/>
      </w:r>
      <w:r>
        <w:instrText xml:space="preserve"> PAGEREF _Toc401060804 \h </w:instrText>
      </w:r>
      <w:r>
        <w:fldChar w:fldCharType="separate"/>
      </w:r>
      <w:r>
        <w:t>17</w:t>
      </w:r>
      <w:r>
        <w:fldChar w:fldCharType="end"/>
      </w:r>
    </w:p>
    <w:p>
      <w:pPr>
        <w:pStyle w:val="TOC8"/>
        <w:rPr>
          <w:rFonts w:asciiTheme="minorHAnsi" w:eastAsiaTheme="minorEastAsia" w:hAnsiTheme="minorHAnsi" w:cstheme="minorBidi"/>
          <w:szCs w:val="22"/>
        </w:rPr>
      </w:pPr>
      <w:r>
        <w:t>25B.</w:t>
      </w:r>
      <w:r>
        <w:tab/>
        <w:t>Assignment of carrier’s business</w:t>
      </w:r>
      <w:r>
        <w:tab/>
      </w:r>
      <w:r>
        <w:fldChar w:fldCharType="begin"/>
      </w:r>
      <w:r>
        <w:instrText xml:space="preserve"> PAGEREF _Toc401060805 \h </w:instrText>
      </w:r>
      <w:r>
        <w:fldChar w:fldCharType="separate"/>
      </w:r>
      <w:r>
        <w:t>17</w:t>
      </w:r>
      <w:r>
        <w:fldChar w:fldCharType="end"/>
      </w:r>
    </w:p>
    <w:p>
      <w:pPr>
        <w:pStyle w:val="TOC8"/>
        <w:rPr>
          <w:rFonts w:asciiTheme="minorHAnsi" w:eastAsiaTheme="minorEastAsia" w:hAnsiTheme="minorHAnsi" w:cstheme="minorBidi"/>
          <w:szCs w:val="22"/>
        </w:rPr>
      </w:pPr>
      <w:r>
        <w:t>25C.</w:t>
      </w:r>
      <w:r>
        <w:tab/>
        <w:t>Transfer of licence</w:t>
      </w:r>
      <w:r>
        <w:tab/>
      </w:r>
      <w:r>
        <w:fldChar w:fldCharType="begin"/>
      </w:r>
      <w:r>
        <w:instrText xml:space="preserve"> PAGEREF _Toc401060806 \h </w:instrText>
      </w:r>
      <w:r>
        <w:fldChar w:fldCharType="separate"/>
      </w:r>
      <w:r>
        <w:t>17</w:t>
      </w:r>
      <w:r>
        <w:fldChar w:fldCharType="end"/>
      </w:r>
    </w:p>
    <w:p>
      <w:pPr>
        <w:pStyle w:val="TOC8"/>
        <w:rPr>
          <w:rFonts w:asciiTheme="minorHAnsi" w:eastAsiaTheme="minorEastAsia" w:hAnsiTheme="minorHAnsi" w:cstheme="minorBidi"/>
          <w:szCs w:val="22"/>
        </w:rPr>
      </w:pPr>
      <w:r>
        <w:t>25D.</w:t>
      </w:r>
      <w:r>
        <w:tab/>
        <w:t>Validity of transferred licence</w:t>
      </w:r>
      <w:r>
        <w:tab/>
      </w:r>
      <w:r>
        <w:fldChar w:fldCharType="begin"/>
      </w:r>
      <w:r>
        <w:instrText xml:space="preserve"> PAGEREF _Toc401060807 \h </w:instrText>
      </w:r>
      <w:r>
        <w:fldChar w:fldCharType="separate"/>
      </w:r>
      <w:r>
        <w:t>18</w:t>
      </w:r>
      <w:r>
        <w:fldChar w:fldCharType="end"/>
      </w:r>
    </w:p>
    <w:p>
      <w:pPr>
        <w:pStyle w:val="TOC8"/>
        <w:rPr>
          <w:rFonts w:asciiTheme="minorHAnsi" w:eastAsiaTheme="minorEastAsia" w:hAnsiTheme="minorHAnsi" w:cstheme="minorBidi"/>
          <w:szCs w:val="22"/>
        </w:rPr>
      </w:pPr>
      <w:r>
        <w:t>25E.</w:t>
      </w:r>
      <w:r>
        <w:tab/>
        <w:t>Transitional</w:t>
      </w:r>
      <w:r>
        <w:tab/>
      </w:r>
      <w:r>
        <w:fldChar w:fldCharType="begin"/>
      </w:r>
      <w:r>
        <w:instrText xml:space="preserve"> PAGEREF _Toc401060808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Transportation and unloading of a controlled waste</w:t>
      </w:r>
    </w:p>
    <w:p>
      <w:pPr>
        <w:pStyle w:val="TOC4"/>
        <w:tabs>
          <w:tab w:val="right" w:leader="dot" w:pos="7086"/>
        </w:tabs>
        <w:rPr>
          <w:rFonts w:asciiTheme="minorHAnsi" w:eastAsiaTheme="minorEastAsia" w:hAnsiTheme="minorHAnsi" w:cstheme="minorBidi"/>
          <w:b w:val="0"/>
          <w:szCs w:val="22"/>
        </w:rPr>
      </w:pPr>
      <w:r>
        <w:t>Division 1 — Waste holder’s obligations</w:t>
      </w:r>
    </w:p>
    <w:p>
      <w:pPr>
        <w:pStyle w:val="TOC8"/>
        <w:rPr>
          <w:rFonts w:asciiTheme="minorHAnsi" w:eastAsiaTheme="minorEastAsia" w:hAnsiTheme="minorHAnsi" w:cstheme="minorBidi"/>
          <w:szCs w:val="22"/>
        </w:rPr>
      </w:pPr>
      <w:r>
        <w:t>25.</w:t>
      </w:r>
      <w:r>
        <w:tab/>
        <w:t>Obligations relating to transportation</w:t>
      </w:r>
      <w:r>
        <w:tab/>
      </w:r>
      <w:r>
        <w:fldChar w:fldCharType="begin"/>
      </w:r>
      <w:r>
        <w:instrText xml:space="preserve"> PAGEREF _Toc401060811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of controlled waste</w:t>
      </w:r>
      <w:r>
        <w:tab/>
      </w:r>
      <w:r>
        <w:fldChar w:fldCharType="begin"/>
      </w:r>
      <w:r>
        <w:instrText xml:space="preserve"> PAGEREF _Toc401060812 \h </w:instrText>
      </w:r>
      <w:r>
        <w:fldChar w:fldCharType="separate"/>
      </w:r>
      <w:r>
        <w:t>21</w:t>
      </w:r>
      <w:r>
        <w:fldChar w:fldCharType="end"/>
      </w:r>
    </w:p>
    <w:p>
      <w:pPr>
        <w:pStyle w:val="TOC8"/>
        <w:rPr>
          <w:rFonts w:asciiTheme="minorHAnsi" w:eastAsiaTheme="minorEastAsia" w:hAnsiTheme="minorHAnsi" w:cstheme="minorBidi"/>
          <w:szCs w:val="22"/>
        </w:rPr>
      </w:pPr>
      <w:r>
        <w:t>27.</w:t>
      </w:r>
      <w:r>
        <w:tab/>
        <w:t>Directions to transport controlled waste to waste facility</w:t>
      </w:r>
      <w:r>
        <w:tab/>
      </w:r>
      <w:r>
        <w:fldChar w:fldCharType="begin"/>
      </w:r>
      <w:r>
        <w:instrText xml:space="preserve"> PAGEREF _Toc401060813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Carrier’s obligations</w:t>
      </w:r>
    </w:p>
    <w:p>
      <w:pPr>
        <w:pStyle w:val="TOC8"/>
        <w:rPr>
          <w:rFonts w:asciiTheme="minorHAnsi" w:eastAsiaTheme="minorEastAsia" w:hAnsiTheme="minorHAnsi" w:cstheme="minorBidi"/>
          <w:szCs w:val="22"/>
        </w:rPr>
      </w:pPr>
      <w:r>
        <w:t>28.</w:t>
      </w:r>
      <w:r>
        <w:tab/>
        <w:t>Controlled waste tracking form required to transport controlled waste</w:t>
      </w:r>
      <w:r>
        <w:tab/>
      </w:r>
      <w:r>
        <w:fldChar w:fldCharType="begin"/>
      </w:r>
      <w:r>
        <w:instrText xml:space="preserve"> PAGEREF _Toc401060815 \h </w:instrText>
      </w:r>
      <w:r>
        <w:fldChar w:fldCharType="separate"/>
      </w:r>
      <w:r>
        <w:t>22</w:t>
      </w:r>
      <w:r>
        <w:fldChar w:fldCharType="end"/>
      </w:r>
    </w:p>
    <w:p>
      <w:pPr>
        <w:pStyle w:val="TOC8"/>
        <w:rPr>
          <w:rFonts w:asciiTheme="minorHAnsi" w:eastAsiaTheme="minorEastAsia" w:hAnsiTheme="minorHAnsi" w:cstheme="minorBidi"/>
          <w:szCs w:val="22"/>
        </w:rPr>
      </w:pPr>
      <w:r>
        <w:t>29.</w:t>
      </w:r>
      <w:r>
        <w:tab/>
        <w:t>Obligations of carrier as to transportation of controlled waste</w:t>
      </w:r>
      <w:r>
        <w:tab/>
      </w:r>
      <w:r>
        <w:fldChar w:fldCharType="begin"/>
      </w:r>
      <w:r>
        <w:instrText xml:space="preserve"> PAGEREF _Toc401060816 \h </w:instrText>
      </w:r>
      <w:r>
        <w:fldChar w:fldCharType="separate"/>
      </w:r>
      <w:r>
        <w:t>22</w:t>
      </w:r>
      <w:r>
        <w:fldChar w:fldCharType="end"/>
      </w:r>
    </w:p>
    <w:p>
      <w:pPr>
        <w:pStyle w:val="TOC8"/>
        <w:rPr>
          <w:rFonts w:asciiTheme="minorHAnsi" w:eastAsiaTheme="minorEastAsia" w:hAnsiTheme="minorHAnsi" w:cstheme="minorBidi"/>
          <w:szCs w:val="22"/>
        </w:rPr>
      </w:pPr>
      <w:r>
        <w:t>30.</w:t>
      </w:r>
      <w:r>
        <w:tab/>
        <w:t>Obligations of carrier as to vehicles and tanks used to transport controlled waste</w:t>
      </w:r>
      <w:r>
        <w:tab/>
      </w:r>
      <w:r>
        <w:fldChar w:fldCharType="begin"/>
      </w:r>
      <w:r>
        <w:instrText xml:space="preserve"> PAGEREF _Toc401060817 \h </w:instrText>
      </w:r>
      <w:r>
        <w:fldChar w:fldCharType="separate"/>
      </w:r>
      <w:r>
        <w:t>23</w:t>
      </w:r>
      <w:r>
        <w:fldChar w:fldCharType="end"/>
      </w:r>
    </w:p>
    <w:p>
      <w:pPr>
        <w:pStyle w:val="TOC8"/>
        <w:rPr>
          <w:rFonts w:asciiTheme="minorHAnsi" w:eastAsiaTheme="minorEastAsia" w:hAnsiTheme="minorHAnsi" w:cstheme="minorBidi"/>
          <w:szCs w:val="22"/>
        </w:rPr>
      </w:pPr>
      <w:r>
        <w:t>31A.</w:t>
      </w:r>
      <w:r>
        <w:tab/>
        <w:t>Obligations of carrier as to transportation of anything other than controlled waste in licensed vehicle or tank</w:t>
      </w:r>
      <w:r>
        <w:tab/>
      </w:r>
      <w:r>
        <w:fldChar w:fldCharType="begin"/>
      </w:r>
      <w:r>
        <w:instrText xml:space="preserve"> PAGEREF _Toc401060818 \h </w:instrText>
      </w:r>
      <w:r>
        <w:fldChar w:fldCharType="separate"/>
      </w:r>
      <w:r>
        <w:t>23</w:t>
      </w:r>
      <w:r>
        <w:fldChar w:fldCharType="end"/>
      </w:r>
    </w:p>
    <w:p>
      <w:pPr>
        <w:pStyle w:val="TOC8"/>
        <w:rPr>
          <w:rFonts w:asciiTheme="minorHAnsi" w:eastAsiaTheme="minorEastAsia" w:hAnsiTheme="minorHAnsi" w:cstheme="minorBidi"/>
          <w:szCs w:val="22"/>
        </w:rPr>
      </w:pPr>
      <w:r>
        <w:t>31.</w:t>
      </w:r>
      <w:r>
        <w:tab/>
        <w:t>Obligations of carrier as to receipt</w:t>
      </w:r>
      <w:r>
        <w:tab/>
      </w:r>
      <w:r>
        <w:fldChar w:fldCharType="begin"/>
      </w:r>
      <w:r>
        <w:instrText xml:space="preserve"> PAGEREF _Toc401060819 \h </w:instrText>
      </w:r>
      <w:r>
        <w:fldChar w:fldCharType="separate"/>
      </w:r>
      <w:r>
        <w:t>24</w:t>
      </w:r>
      <w:r>
        <w:fldChar w:fldCharType="end"/>
      </w:r>
    </w:p>
    <w:p>
      <w:pPr>
        <w:pStyle w:val="TOC8"/>
        <w:rPr>
          <w:rFonts w:asciiTheme="minorHAnsi" w:eastAsiaTheme="minorEastAsia" w:hAnsiTheme="minorHAnsi" w:cstheme="minorBidi"/>
          <w:szCs w:val="22"/>
        </w:rPr>
      </w:pPr>
      <w:r>
        <w:t>32A.</w:t>
      </w:r>
      <w:r>
        <w:tab/>
        <w:t>Obligations of carrier as to controlled waste tracking form information</w:t>
      </w:r>
      <w:r>
        <w:tab/>
      </w:r>
      <w:r>
        <w:fldChar w:fldCharType="begin"/>
      </w:r>
      <w:r>
        <w:instrText xml:space="preserve"> PAGEREF _Toc401060820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Driver’s obligations</w:t>
      </w:r>
    </w:p>
    <w:p>
      <w:pPr>
        <w:pStyle w:val="TOC8"/>
        <w:rPr>
          <w:rFonts w:asciiTheme="minorHAnsi" w:eastAsiaTheme="minorEastAsia" w:hAnsiTheme="minorHAnsi" w:cstheme="minorBidi"/>
          <w:szCs w:val="22"/>
        </w:rPr>
      </w:pPr>
      <w:r>
        <w:t>32.</w:t>
      </w:r>
      <w:r>
        <w:tab/>
        <w:t>Obligations of drivers as to transportation of controlled waste</w:t>
      </w:r>
      <w:r>
        <w:tab/>
      </w:r>
      <w:r>
        <w:fldChar w:fldCharType="begin"/>
      </w:r>
      <w:r>
        <w:instrText xml:space="preserve"> PAGEREF _Toc401060822 \h </w:instrText>
      </w:r>
      <w:r>
        <w:fldChar w:fldCharType="separate"/>
      </w:r>
      <w:r>
        <w:t>25</w:t>
      </w:r>
      <w:r>
        <w:fldChar w:fldCharType="end"/>
      </w:r>
    </w:p>
    <w:p>
      <w:pPr>
        <w:pStyle w:val="TOC8"/>
        <w:rPr>
          <w:rFonts w:asciiTheme="minorHAnsi" w:eastAsiaTheme="minorEastAsia" w:hAnsiTheme="minorHAnsi" w:cstheme="minorBidi"/>
          <w:szCs w:val="22"/>
        </w:rPr>
      </w:pPr>
      <w:r>
        <w:t>33.</w:t>
      </w:r>
      <w:r>
        <w:tab/>
        <w:t>Obligations of drivers as to vehicles or tanks used to transport controlled waste</w:t>
      </w:r>
      <w:r>
        <w:tab/>
      </w:r>
      <w:r>
        <w:fldChar w:fldCharType="begin"/>
      </w:r>
      <w:r>
        <w:instrText xml:space="preserve"> PAGEREF _Toc401060823 \h </w:instrText>
      </w:r>
      <w:r>
        <w:fldChar w:fldCharType="separate"/>
      </w:r>
      <w:r>
        <w:t>25</w:t>
      </w:r>
      <w:r>
        <w:fldChar w:fldCharType="end"/>
      </w:r>
    </w:p>
    <w:p>
      <w:pPr>
        <w:pStyle w:val="TOC8"/>
        <w:rPr>
          <w:rFonts w:asciiTheme="minorHAnsi" w:eastAsiaTheme="minorEastAsia" w:hAnsiTheme="minorHAnsi" w:cstheme="minorBidi"/>
          <w:szCs w:val="22"/>
        </w:rPr>
      </w:pPr>
      <w:r>
        <w:t>34.</w:t>
      </w:r>
      <w:r>
        <w:tab/>
        <w:t>Obligations of drivers as to transportation of anything other than controlled waste in licensed vehicle or tank</w:t>
      </w:r>
      <w:r>
        <w:tab/>
      </w:r>
      <w:r>
        <w:fldChar w:fldCharType="begin"/>
      </w:r>
      <w:r>
        <w:instrText xml:space="preserve"> PAGEREF _Toc401060824 \h </w:instrText>
      </w:r>
      <w:r>
        <w:fldChar w:fldCharType="separate"/>
      </w:r>
      <w:r>
        <w:t>25</w:t>
      </w:r>
      <w:r>
        <w:fldChar w:fldCharType="end"/>
      </w:r>
    </w:p>
    <w:p>
      <w:pPr>
        <w:pStyle w:val="TOC8"/>
        <w:rPr>
          <w:rFonts w:asciiTheme="minorHAnsi" w:eastAsiaTheme="minorEastAsia" w:hAnsiTheme="minorHAnsi" w:cstheme="minorBidi"/>
          <w:szCs w:val="22"/>
        </w:rPr>
      </w:pPr>
      <w:r>
        <w:t>35.</w:t>
      </w:r>
      <w:r>
        <w:tab/>
        <w:t>Obligations of driver to provide receipt</w:t>
      </w:r>
      <w:r>
        <w:tab/>
      </w:r>
      <w:r>
        <w:fldChar w:fldCharType="begin"/>
      </w:r>
      <w:r>
        <w:instrText xml:space="preserve"> PAGEREF _Toc401060825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Controlled waste tracking form and controlled waste tracking number</w:t>
      </w:r>
    </w:p>
    <w:p>
      <w:pPr>
        <w:pStyle w:val="TOC8"/>
        <w:rPr>
          <w:rFonts w:asciiTheme="minorHAnsi" w:eastAsiaTheme="minorEastAsia" w:hAnsiTheme="minorHAnsi" w:cstheme="minorBidi"/>
          <w:szCs w:val="22"/>
        </w:rPr>
      </w:pPr>
      <w:r>
        <w:t>36.</w:t>
      </w:r>
      <w:r>
        <w:tab/>
        <w:t>Validity of controlled waste tracking form</w:t>
      </w:r>
      <w:r>
        <w:tab/>
      </w:r>
      <w:r>
        <w:fldChar w:fldCharType="begin"/>
      </w:r>
      <w:r>
        <w:instrText xml:space="preserve"> PAGEREF _Toc401060827 \h </w:instrText>
      </w:r>
      <w:r>
        <w:fldChar w:fldCharType="separate"/>
      </w:r>
      <w:r>
        <w:t>26</w:t>
      </w:r>
      <w:r>
        <w:fldChar w:fldCharType="end"/>
      </w:r>
    </w:p>
    <w:p>
      <w:pPr>
        <w:pStyle w:val="TOC8"/>
        <w:rPr>
          <w:rFonts w:asciiTheme="minorHAnsi" w:eastAsiaTheme="minorEastAsia" w:hAnsiTheme="minorHAnsi" w:cstheme="minorBidi"/>
          <w:szCs w:val="22"/>
        </w:rPr>
      </w:pPr>
      <w:r>
        <w:t>37.</w:t>
      </w:r>
      <w:r>
        <w:tab/>
        <w:t>Controlled waste tracking number fee</w:t>
      </w:r>
      <w:r>
        <w:tab/>
      </w:r>
      <w:r>
        <w:fldChar w:fldCharType="begin"/>
      </w:r>
      <w:r>
        <w:instrText xml:space="preserve"> PAGEREF _Toc401060828 \h </w:instrText>
      </w:r>
      <w:r>
        <w:fldChar w:fldCharType="separate"/>
      </w:r>
      <w:r>
        <w:t>28</w:t>
      </w:r>
      <w:r>
        <w:fldChar w:fldCharType="end"/>
      </w:r>
    </w:p>
    <w:p>
      <w:pPr>
        <w:pStyle w:val="TOC8"/>
        <w:rPr>
          <w:rFonts w:asciiTheme="minorHAnsi" w:eastAsiaTheme="minorEastAsia" w:hAnsiTheme="minorHAnsi" w:cstheme="minorBidi"/>
          <w:szCs w:val="22"/>
        </w:rPr>
      </w:pPr>
      <w:r>
        <w:t>38.</w:t>
      </w:r>
      <w:r>
        <w:tab/>
        <w:t>CEO to ensure each controlled waste tracking form has unique number</w:t>
      </w:r>
      <w:r>
        <w:tab/>
      </w:r>
      <w:r>
        <w:fldChar w:fldCharType="begin"/>
      </w:r>
      <w:r>
        <w:instrText xml:space="preserve"> PAGEREF _Toc401060829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5 — Unloading controlled waste</w:t>
      </w:r>
    </w:p>
    <w:p>
      <w:pPr>
        <w:pStyle w:val="TOC8"/>
        <w:rPr>
          <w:rFonts w:asciiTheme="minorHAnsi" w:eastAsiaTheme="minorEastAsia" w:hAnsiTheme="minorHAnsi" w:cstheme="minorBidi"/>
          <w:szCs w:val="22"/>
        </w:rPr>
      </w:pPr>
      <w:r>
        <w:t>39.</w:t>
      </w:r>
      <w:r>
        <w:tab/>
        <w:t>Obligations as to unloading controlled waste</w:t>
      </w:r>
      <w:r>
        <w:tab/>
      </w:r>
      <w:r>
        <w:fldChar w:fldCharType="begin"/>
      </w:r>
      <w:r>
        <w:instrText xml:space="preserve"> PAGEREF _Toc401060831 \h </w:instrText>
      </w:r>
      <w:r>
        <w:fldChar w:fldCharType="separate"/>
      </w:r>
      <w:r>
        <w:t>28</w:t>
      </w:r>
      <w:r>
        <w:fldChar w:fldCharType="end"/>
      </w:r>
    </w:p>
    <w:p>
      <w:pPr>
        <w:pStyle w:val="TOC8"/>
        <w:rPr>
          <w:rFonts w:asciiTheme="minorHAnsi" w:eastAsiaTheme="minorEastAsia" w:hAnsiTheme="minorHAnsi" w:cstheme="minorBidi"/>
          <w:szCs w:val="22"/>
        </w:rPr>
      </w:pPr>
      <w:r>
        <w:t>40.</w:t>
      </w:r>
      <w:r>
        <w:tab/>
        <w:t>Procedure on unloading controlled waste</w:t>
      </w:r>
      <w:r>
        <w:tab/>
      </w:r>
      <w:r>
        <w:fldChar w:fldCharType="begin"/>
      </w:r>
      <w:r>
        <w:instrText xml:space="preserve"> PAGEREF _Toc401060832 \h </w:instrText>
      </w:r>
      <w:r>
        <w:fldChar w:fldCharType="separate"/>
      </w:r>
      <w:r>
        <w:t>30</w:t>
      </w:r>
      <w:r>
        <w:fldChar w:fldCharType="end"/>
      </w:r>
    </w:p>
    <w:p>
      <w:pPr>
        <w:pStyle w:val="TOC8"/>
        <w:rPr>
          <w:rFonts w:asciiTheme="minorHAnsi" w:eastAsiaTheme="minorEastAsia" w:hAnsiTheme="minorHAnsi" w:cstheme="minorBidi"/>
          <w:szCs w:val="22"/>
        </w:rPr>
      </w:pPr>
      <w:r>
        <w:t>41A.</w:t>
      </w:r>
      <w:r>
        <w:tab/>
        <w:t>Carrier to provide CEO with copy of controlled waste tracking form</w:t>
      </w:r>
      <w:r>
        <w:tab/>
      </w:r>
      <w:r>
        <w:fldChar w:fldCharType="begin"/>
      </w:r>
      <w:r>
        <w:instrText xml:space="preserve"> PAGEREF _Toc401060833 \h </w:instrText>
      </w:r>
      <w:r>
        <w:fldChar w:fldCharType="separate"/>
      </w:r>
      <w:r>
        <w:t>31</w:t>
      </w:r>
      <w:r>
        <w:fldChar w:fldCharType="end"/>
      </w:r>
    </w:p>
    <w:p>
      <w:pPr>
        <w:pStyle w:val="TOC8"/>
        <w:rPr>
          <w:rFonts w:asciiTheme="minorHAnsi" w:eastAsiaTheme="minorEastAsia" w:hAnsiTheme="minorHAnsi" w:cstheme="minorBidi"/>
          <w:szCs w:val="22"/>
        </w:rPr>
      </w:pPr>
      <w:r>
        <w:t>41.</w:t>
      </w:r>
      <w:r>
        <w:tab/>
        <w:t>Obligations of occupier of waste facility</w:t>
      </w:r>
      <w:r>
        <w:tab/>
      </w:r>
      <w:r>
        <w:fldChar w:fldCharType="begin"/>
      </w:r>
      <w:r>
        <w:instrText xml:space="preserve"> PAGEREF _Toc401060834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6 — Disposal of material containing asbestos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_Toc401060836 \h </w:instrText>
      </w:r>
      <w:r>
        <w:fldChar w:fldCharType="separate"/>
      </w:r>
      <w:r>
        <w:t>32</w:t>
      </w:r>
      <w:r>
        <w:fldChar w:fldCharType="end"/>
      </w:r>
    </w:p>
    <w:p>
      <w:pPr>
        <w:pStyle w:val="TOC8"/>
        <w:rPr>
          <w:rFonts w:asciiTheme="minorHAnsi" w:eastAsiaTheme="minorEastAsia" w:hAnsiTheme="minorHAnsi" w:cstheme="minorBidi"/>
          <w:szCs w:val="22"/>
        </w:rPr>
      </w:pPr>
      <w:r>
        <w:t>43.</w:t>
      </w:r>
      <w:r>
        <w:tab/>
        <w:t>Disposal of material containing asbestos</w:t>
      </w:r>
      <w:r>
        <w:tab/>
      </w:r>
      <w:r>
        <w:fldChar w:fldCharType="begin"/>
      </w:r>
      <w:r>
        <w:instrText xml:space="preserve"> PAGEREF _Toc401060837 \h </w:instrText>
      </w:r>
      <w:r>
        <w:fldChar w:fldCharType="separate"/>
      </w:r>
      <w:r>
        <w:t>33</w:t>
      </w:r>
      <w:r>
        <w:fldChar w:fldCharType="end"/>
      </w:r>
    </w:p>
    <w:p>
      <w:pPr>
        <w:pStyle w:val="TOC8"/>
        <w:rPr>
          <w:rFonts w:asciiTheme="minorHAnsi" w:eastAsiaTheme="minorEastAsia" w:hAnsiTheme="minorHAnsi" w:cstheme="minorBidi"/>
          <w:szCs w:val="22"/>
        </w:rPr>
      </w:pPr>
      <w:r>
        <w:t>44.</w:t>
      </w:r>
      <w:r>
        <w:tab/>
        <w:t>Asbestos for disposal to be separated, wrapped and labelled</w:t>
      </w:r>
      <w:r>
        <w:tab/>
      </w:r>
      <w:r>
        <w:fldChar w:fldCharType="begin"/>
      </w:r>
      <w:r>
        <w:instrText xml:space="preserve"> PAGEREF _Toc401060838 \h </w:instrText>
      </w:r>
      <w:r>
        <w:fldChar w:fldCharType="separate"/>
      </w:r>
      <w:r>
        <w:t>33</w:t>
      </w:r>
      <w:r>
        <w:fldChar w:fldCharType="end"/>
      </w:r>
    </w:p>
    <w:p>
      <w:pPr>
        <w:pStyle w:val="TOC8"/>
        <w:rPr>
          <w:rFonts w:asciiTheme="minorHAnsi" w:eastAsiaTheme="minorEastAsia" w:hAnsiTheme="minorHAnsi" w:cstheme="minorBidi"/>
          <w:szCs w:val="22"/>
        </w:rPr>
      </w:pPr>
      <w:r>
        <w:t>45.</w:t>
      </w:r>
      <w:r>
        <w:tab/>
        <w:t>Duty to notify others of presence of asbestos</w:t>
      </w:r>
      <w:r>
        <w:tab/>
      </w:r>
      <w:r>
        <w:fldChar w:fldCharType="begin"/>
      </w:r>
      <w:r>
        <w:instrText xml:space="preserve"> PAGEREF _Toc401060839 \h </w:instrText>
      </w:r>
      <w:r>
        <w:fldChar w:fldCharType="separate"/>
      </w:r>
      <w:r>
        <w:t>34</w:t>
      </w:r>
      <w:r>
        <w:fldChar w:fldCharType="end"/>
      </w:r>
    </w:p>
    <w:p>
      <w:pPr>
        <w:pStyle w:val="TOC8"/>
        <w:rPr>
          <w:rFonts w:asciiTheme="minorHAnsi" w:eastAsiaTheme="minorEastAsia" w:hAnsiTheme="minorHAnsi" w:cstheme="minorBidi"/>
          <w:szCs w:val="22"/>
        </w:rPr>
      </w:pPr>
      <w:r>
        <w:t>46.</w:t>
      </w:r>
      <w:r>
        <w:tab/>
        <w:t>CEO may approve place and manner of disposal in special cases</w:t>
      </w:r>
      <w:r>
        <w:tab/>
      </w:r>
      <w:r>
        <w:fldChar w:fldCharType="begin"/>
      </w:r>
      <w:r>
        <w:instrText xml:space="preserve"> PAGEREF _Toc401060840 \h </w:instrText>
      </w:r>
      <w:r>
        <w:fldChar w:fldCharType="separate"/>
      </w:r>
      <w:r>
        <w:t>34</w:t>
      </w:r>
      <w:r>
        <w:fldChar w:fldCharType="end"/>
      </w:r>
    </w:p>
    <w:p>
      <w:pPr>
        <w:pStyle w:val="TOC8"/>
        <w:rPr>
          <w:rFonts w:asciiTheme="minorHAnsi" w:eastAsiaTheme="minorEastAsia" w:hAnsiTheme="minorHAnsi" w:cstheme="minorBidi"/>
          <w:szCs w:val="22"/>
        </w:rPr>
      </w:pPr>
      <w:r>
        <w:t>47.</w:t>
      </w:r>
      <w:r>
        <w:tab/>
        <w:t>Method of disposal</w:t>
      </w:r>
      <w:r>
        <w:tab/>
      </w:r>
      <w:r>
        <w:fldChar w:fldCharType="begin"/>
      </w:r>
      <w:r>
        <w:instrText xml:space="preserve"> PAGEREF _Toc401060841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48.</w:t>
      </w:r>
      <w:r>
        <w:tab/>
        <w:t>Responsibility of carrier</w:t>
      </w:r>
      <w:r>
        <w:tab/>
      </w:r>
      <w:r>
        <w:fldChar w:fldCharType="begin"/>
      </w:r>
      <w:r>
        <w:instrText xml:space="preserve"> PAGEREF _Toc401060843 \h </w:instrText>
      </w:r>
      <w:r>
        <w:fldChar w:fldCharType="separate"/>
      </w:r>
      <w:r>
        <w:t>36</w:t>
      </w:r>
      <w:r>
        <w:fldChar w:fldCharType="end"/>
      </w:r>
    </w:p>
    <w:p>
      <w:pPr>
        <w:pStyle w:val="TOC8"/>
        <w:rPr>
          <w:rFonts w:asciiTheme="minorHAnsi" w:eastAsiaTheme="minorEastAsia" w:hAnsiTheme="minorHAnsi" w:cstheme="minorBidi"/>
          <w:szCs w:val="22"/>
        </w:rPr>
      </w:pPr>
      <w:r>
        <w:t>49.</w:t>
      </w:r>
      <w:r>
        <w:tab/>
        <w:t>Exemptions</w:t>
      </w:r>
      <w:r>
        <w:tab/>
      </w:r>
      <w:r>
        <w:fldChar w:fldCharType="begin"/>
      </w:r>
      <w:r>
        <w:instrText xml:space="preserve"> PAGEREF _Toc401060844 \h </w:instrText>
      </w:r>
      <w:r>
        <w:fldChar w:fldCharType="separate"/>
      </w:r>
      <w:r>
        <w:t>36</w:t>
      </w:r>
      <w:r>
        <w:fldChar w:fldCharType="end"/>
      </w:r>
    </w:p>
    <w:p>
      <w:pPr>
        <w:pStyle w:val="TOC8"/>
        <w:rPr>
          <w:rFonts w:asciiTheme="minorHAnsi" w:eastAsiaTheme="minorEastAsia" w:hAnsiTheme="minorHAnsi" w:cstheme="minorBidi"/>
          <w:szCs w:val="22"/>
        </w:rPr>
      </w:pPr>
      <w:r>
        <w:t>50A.</w:t>
      </w:r>
      <w:r>
        <w:tab/>
        <w:t>Application for exemption</w:t>
      </w:r>
      <w:r>
        <w:tab/>
      </w:r>
      <w:r>
        <w:fldChar w:fldCharType="begin"/>
      </w:r>
      <w:r>
        <w:instrText xml:space="preserve"> PAGEREF _Toc401060845 \h </w:instrText>
      </w:r>
      <w:r>
        <w:fldChar w:fldCharType="separate"/>
      </w:r>
      <w:r>
        <w:t>38</w:t>
      </w:r>
      <w:r>
        <w:fldChar w:fldCharType="end"/>
      </w:r>
    </w:p>
    <w:p>
      <w:pPr>
        <w:pStyle w:val="TOC8"/>
        <w:rPr>
          <w:rFonts w:asciiTheme="minorHAnsi" w:eastAsiaTheme="minorEastAsia" w:hAnsiTheme="minorHAnsi" w:cstheme="minorBidi"/>
          <w:szCs w:val="22"/>
        </w:rPr>
      </w:pPr>
      <w:r>
        <w:t>50.</w:t>
      </w:r>
      <w:r>
        <w:tab/>
        <w:t>Inspection of licences, tracking forms and tracking numbers</w:t>
      </w:r>
      <w:r>
        <w:tab/>
      </w:r>
      <w:r>
        <w:fldChar w:fldCharType="begin"/>
      </w:r>
      <w:r>
        <w:instrText xml:space="preserve"> PAGEREF _Toc401060846 \h </w:instrText>
      </w:r>
      <w:r>
        <w:fldChar w:fldCharType="separate"/>
      </w:r>
      <w:r>
        <w:t>38</w:t>
      </w:r>
      <w:r>
        <w:fldChar w:fldCharType="end"/>
      </w:r>
    </w:p>
    <w:p>
      <w:pPr>
        <w:pStyle w:val="TOC8"/>
        <w:rPr>
          <w:rFonts w:asciiTheme="minorHAnsi" w:eastAsiaTheme="minorEastAsia" w:hAnsiTheme="minorHAnsi" w:cstheme="minorBidi"/>
          <w:szCs w:val="22"/>
        </w:rPr>
      </w:pPr>
      <w:r>
        <w:t>51.</w:t>
      </w:r>
      <w:r>
        <w:tab/>
        <w:t>Meeting</w:t>
      </w:r>
      <w:r>
        <w:tab/>
      </w:r>
      <w:r>
        <w:fldChar w:fldCharType="begin"/>
      </w:r>
      <w:r>
        <w:instrText xml:space="preserve"> PAGEREF _Toc401060847 \h </w:instrText>
      </w:r>
      <w:r>
        <w:fldChar w:fldCharType="separate"/>
      </w:r>
      <w:r>
        <w:t>38</w:t>
      </w:r>
      <w:r>
        <w:fldChar w:fldCharType="end"/>
      </w:r>
    </w:p>
    <w:p>
      <w:pPr>
        <w:pStyle w:val="TOC8"/>
        <w:rPr>
          <w:rFonts w:asciiTheme="minorHAnsi" w:eastAsiaTheme="minorEastAsia" w:hAnsiTheme="minorHAnsi" w:cstheme="minorBidi"/>
          <w:szCs w:val="22"/>
        </w:rPr>
      </w:pPr>
      <w:r>
        <w:t>52.</w:t>
      </w:r>
      <w:r>
        <w:tab/>
        <w:t>Appeals</w:t>
      </w:r>
      <w:r>
        <w:tab/>
      </w:r>
      <w:r>
        <w:fldChar w:fldCharType="begin"/>
      </w:r>
      <w:r>
        <w:instrText xml:space="preserve"> PAGEREF _Toc401060848 \h </w:instrText>
      </w:r>
      <w:r>
        <w:fldChar w:fldCharType="separate"/>
      </w:r>
      <w:r>
        <w:t>38</w:t>
      </w:r>
      <w:r>
        <w:fldChar w:fldCharType="end"/>
      </w:r>
    </w:p>
    <w:p>
      <w:pPr>
        <w:pStyle w:val="TOC8"/>
        <w:rPr>
          <w:rFonts w:asciiTheme="minorHAnsi" w:eastAsiaTheme="minorEastAsia" w:hAnsiTheme="minorHAnsi" w:cstheme="minorBidi"/>
          <w:szCs w:val="22"/>
        </w:rPr>
      </w:pPr>
      <w:r>
        <w:t>53.</w:t>
      </w:r>
      <w:r>
        <w:tab/>
        <w:t>Penalty</w:t>
      </w:r>
      <w:r>
        <w:tab/>
      </w:r>
      <w:r>
        <w:fldChar w:fldCharType="begin"/>
      </w:r>
      <w:r>
        <w:instrText xml:space="preserve"> PAGEREF _Toc401060849 \h </w:instrText>
      </w:r>
      <w:r>
        <w:fldChar w:fldCharType="separate"/>
      </w:r>
      <w:r>
        <w:t>39</w:t>
      </w:r>
      <w:r>
        <w:fldChar w:fldCharType="end"/>
      </w:r>
    </w:p>
    <w:p>
      <w:pPr>
        <w:pStyle w:val="TOC8"/>
        <w:rPr>
          <w:rFonts w:asciiTheme="minorHAnsi" w:eastAsiaTheme="minorEastAsia" w:hAnsiTheme="minorHAnsi" w:cstheme="minorBidi"/>
          <w:szCs w:val="22"/>
        </w:rPr>
      </w:pPr>
      <w:r>
        <w:t>54.</w:t>
      </w:r>
      <w:r>
        <w:tab/>
        <w:t>Fees</w:t>
      </w:r>
      <w:r>
        <w:tab/>
      </w:r>
      <w:r>
        <w:fldChar w:fldCharType="begin"/>
      </w:r>
      <w:r>
        <w:instrText xml:space="preserve"> PAGEREF _Toc401060850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Schedule 1 — Controlled waste</w:t>
      </w:r>
    </w:p>
    <w:p>
      <w:pPr>
        <w:pStyle w:val="TOC2"/>
        <w:tabs>
          <w:tab w:val="right" w:leader="dot" w:pos="7086"/>
        </w:tabs>
        <w:rPr>
          <w:rFonts w:asciiTheme="minorHAnsi" w:eastAsiaTheme="minorEastAsia" w:hAnsiTheme="minorHAnsi" w:cstheme="minorBidi"/>
          <w:b w:val="0"/>
          <w:sz w:val="22"/>
          <w:szCs w:val="22"/>
        </w:rPr>
      </w:pPr>
      <w:r>
        <w:t>Schedule 2 — Transport information</w:t>
      </w:r>
    </w:p>
    <w:p>
      <w:pPr>
        <w:pStyle w:val="TOC4"/>
        <w:tabs>
          <w:tab w:val="right" w:leader="dot" w:pos="7086"/>
        </w:tabs>
        <w:rPr>
          <w:rFonts w:asciiTheme="minorHAnsi" w:eastAsiaTheme="minorEastAsia" w:hAnsiTheme="minorHAnsi" w:cstheme="minorBidi"/>
          <w:b w:val="0"/>
          <w:szCs w:val="22"/>
        </w:rPr>
      </w:pPr>
      <w:r>
        <w:t>Division 1</w:t>
      </w:r>
      <w:r>
        <w:rPr>
          <w:b w:val="0"/>
        </w:rPr>
        <w:t> — </w:t>
      </w:r>
      <w:r>
        <w:t>Information to be provided by driver to waste holder</w:t>
      </w:r>
    </w:p>
    <w:p>
      <w:pPr>
        <w:pStyle w:val="TOC4"/>
        <w:tabs>
          <w:tab w:val="right" w:leader="dot" w:pos="7086"/>
        </w:tabs>
        <w:rPr>
          <w:rFonts w:asciiTheme="minorHAnsi" w:eastAsiaTheme="minorEastAsia" w:hAnsiTheme="minorHAnsi" w:cstheme="minorBidi"/>
          <w:b w:val="0"/>
          <w:szCs w:val="22"/>
        </w:rPr>
      </w:pPr>
      <w:r>
        <w:t>Division 2</w:t>
      </w:r>
      <w:r>
        <w:rPr>
          <w:b w:val="0"/>
        </w:rPr>
        <w:t> — </w:t>
      </w:r>
      <w:r>
        <w:t>Information to be provided by waste holder</w:t>
      </w:r>
    </w:p>
    <w:p>
      <w:pPr>
        <w:pStyle w:val="TOC4"/>
        <w:tabs>
          <w:tab w:val="right" w:leader="dot" w:pos="7086"/>
        </w:tabs>
        <w:rPr>
          <w:rFonts w:asciiTheme="minorHAnsi" w:eastAsiaTheme="minorEastAsia" w:hAnsiTheme="minorHAnsi" w:cstheme="minorBidi"/>
          <w:b w:val="0"/>
          <w:szCs w:val="22"/>
        </w:rPr>
      </w:pPr>
      <w:r>
        <w:t>Division 3 — Information to be recorded on controlled waste tracking form</w:t>
      </w:r>
    </w:p>
    <w:p>
      <w:pPr>
        <w:pStyle w:val="TOC4"/>
        <w:tabs>
          <w:tab w:val="right" w:leader="dot" w:pos="7086"/>
        </w:tabs>
        <w:rPr>
          <w:rFonts w:asciiTheme="minorHAnsi" w:eastAsiaTheme="minorEastAsia" w:hAnsiTheme="minorHAnsi" w:cstheme="minorBidi"/>
          <w:b w:val="0"/>
          <w:szCs w:val="22"/>
        </w:rPr>
      </w:pPr>
      <w:r>
        <w:t>Division 4</w:t>
      </w:r>
      <w:r>
        <w:rPr>
          <w:b w:val="0"/>
        </w:rPr>
        <w:t> — </w:t>
      </w:r>
      <w:r>
        <w:t>Information to be recorded by the occupier of waste facility</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_Toc401060859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October 2014</w:t>
            </w:r>
          </w:p>
        </w:tc>
      </w:tr>
    </w:tbl>
    <w:p>
      <w:pPr>
        <w:pStyle w:val="WA"/>
        <w:spacing w:before="120"/>
      </w:pPr>
      <w:r>
        <w:t>Western Australia</w:t>
      </w:r>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1" w:name="_Toc398884916"/>
      <w:bookmarkStart w:id="2" w:name="_Toc400696721"/>
      <w:bookmarkStart w:id="3" w:name="_Toc401060773"/>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401060774"/>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rPr>
          <w:vertAlign w:val="superscript"/>
        </w:rPr>
        <w:t> 1</w:t>
      </w:r>
      <w:r>
        <w:t>.</w:t>
      </w:r>
    </w:p>
    <w:p>
      <w:pPr>
        <w:pStyle w:val="Heading5"/>
      </w:pPr>
      <w:bookmarkStart w:id="5" w:name="_Toc401060775"/>
      <w:r>
        <w:rPr>
          <w:rStyle w:val="CharSectno"/>
        </w:rPr>
        <w:t>2</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 or</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 and</w:t>
      </w:r>
    </w:p>
    <w:p>
      <w:pPr>
        <w:pStyle w:val="Defpara"/>
      </w:pPr>
      <w:r>
        <w:tab/>
        <w:t>(b)</w:t>
      </w:r>
      <w:r>
        <w:tab/>
        <w:t>does not contain, or is not comprised of, any free liquids; and</w:t>
      </w:r>
    </w:p>
    <w:p>
      <w:pPr>
        <w:pStyle w:val="Defpara"/>
      </w:pPr>
      <w:r>
        <w:tab/>
        <w:t>(c)</w:t>
      </w:r>
      <w:r>
        <w:tab/>
        <w:t>does not contain, or is not comprised of, any liquids that are capable of being released when the waste is transported; and</w:t>
      </w:r>
    </w:p>
    <w:p>
      <w:pPr>
        <w:pStyle w:val="Defpara"/>
      </w:pPr>
      <w:r>
        <w:tab/>
        <w:t>(d)</w:t>
      </w:r>
      <w:r>
        <w:tab/>
        <w:t>does not become free flowing at or below 60°C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in Gazette 20 Jun 2008 p. 2684; 14 Nov 2013 p. 5039-40; 1 Aug 2014 p. 2787-90.]</w:t>
      </w:r>
    </w:p>
    <w:p>
      <w:pPr>
        <w:pStyle w:val="Heading5"/>
      </w:pPr>
      <w:bookmarkStart w:id="6" w:name="_Toc401060776"/>
      <w:r>
        <w:rPr>
          <w:rStyle w:val="CharSectno"/>
        </w:rPr>
        <w:t>3</w:t>
      </w:r>
      <w:r>
        <w:t>.</w:t>
      </w:r>
      <w:r>
        <w:tab/>
        <w:t>Application of regulations</w:t>
      </w:r>
      <w:bookmarkEnd w:id="6"/>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 or</w:t>
      </w:r>
    </w:p>
    <w:p>
      <w:pPr>
        <w:pStyle w:val="Indenta"/>
      </w:pPr>
      <w:r>
        <w:tab/>
        <w:t>(b)</w:t>
      </w:r>
      <w:r>
        <w:tab/>
        <w:t>a medical, nursing, dental, veterinary, pharmaceutical or other related activity; or</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in Gazette 13 Apr 2007 p. 1669; 1 Aug 2014 p. 2790.]</w:t>
      </w:r>
    </w:p>
    <w:p>
      <w:pPr>
        <w:pStyle w:val="Heading2"/>
      </w:pPr>
      <w:bookmarkStart w:id="7" w:name="_Toc398884920"/>
      <w:bookmarkStart w:id="8" w:name="_Toc400696725"/>
      <w:bookmarkStart w:id="9" w:name="_Toc401060777"/>
      <w:r>
        <w:rPr>
          <w:rStyle w:val="CharPartNo"/>
        </w:rPr>
        <w:t>Part 2</w:t>
      </w:r>
      <w:r>
        <w:t> — </w:t>
      </w:r>
      <w:r>
        <w:rPr>
          <w:rStyle w:val="CharPartText"/>
        </w:rPr>
        <w:t>Licensing</w:t>
      </w:r>
      <w:bookmarkEnd w:id="7"/>
      <w:bookmarkEnd w:id="8"/>
      <w:bookmarkEnd w:id="9"/>
    </w:p>
    <w:p>
      <w:pPr>
        <w:pStyle w:val="Heading3"/>
      </w:pPr>
      <w:bookmarkStart w:id="10" w:name="_Toc398884921"/>
      <w:bookmarkStart w:id="11" w:name="_Toc400696726"/>
      <w:bookmarkStart w:id="12" w:name="_Toc401060778"/>
      <w:r>
        <w:rPr>
          <w:rStyle w:val="CharDivNo"/>
        </w:rPr>
        <w:t>Division 1</w:t>
      </w:r>
      <w:r>
        <w:t> — </w:t>
      </w:r>
      <w:r>
        <w:rPr>
          <w:rStyle w:val="CharDivText"/>
        </w:rPr>
        <w:t>General matters</w:t>
      </w:r>
      <w:bookmarkEnd w:id="10"/>
      <w:bookmarkEnd w:id="11"/>
      <w:bookmarkEnd w:id="12"/>
    </w:p>
    <w:p>
      <w:pPr>
        <w:pStyle w:val="Heading5"/>
      </w:pPr>
      <w:bookmarkStart w:id="13" w:name="_Toc401060779"/>
      <w:r>
        <w:rPr>
          <w:rStyle w:val="CharSectno"/>
        </w:rPr>
        <w:t>4</w:t>
      </w:r>
      <w:r>
        <w:t>.</w:t>
      </w:r>
      <w:r>
        <w:tab/>
        <w:t>Application for licence</w:t>
      </w:r>
      <w:bookmarkEnd w:id="13"/>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14" w:name="_Toc401060780"/>
      <w:r>
        <w:rPr>
          <w:rStyle w:val="CharSectno"/>
        </w:rPr>
        <w:t>5</w:t>
      </w:r>
      <w:r>
        <w:t>.</w:t>
      </w:r>
      <w:r>
        <w:tab/>
        <w:t>Licensing</w:t>
      </w:r>
      <w:bookmarkEnd w:id="14"/>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in Gazette 1 Aug 2014 p. 2791.]</w:t>
      </w:r>
    </w:p>
    <w:p>
      <w:pPr>
        <w:pStyle w:val="Heading5"/>
      </w:pPr>
      <w:bookmarkStart w:id="15" w:name="_Toc401060781"/>
      <w:r>
        <w:rPr>
          <w:rStyle w:val="CharSectno"/>
        </w:rPr>
        <w:t>6</w:t>
      </w:r>
      <w:r>
        <w:t>.</w:t>
      </w:r>
      <w:r>
        <w:tab/>
        <w:t>Conditions</w:t>
      </w:r>
      <w:bookmarkEnd w:id="15"/>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 and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6" w:name="_Toc401060782"/>
      <w:r>
        <w:rPr>
          <w:rStyle w:val="CharSectno"/>
        </w:rPr>
        <w:t>7</w:t>
      </w:r>
      <w:r>
        <w:t>.</w:t>
      </w:r>
      <w:r>
        <w:tab/>
        <w:t>Refund of fee</w:t>
      </w:r>
      <w:bookmarkEnd w:id="16"/>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in Gazette 1 Aug 2014 p. 2791.]</w:t>
      </w:r>
    </w:p>
    <w:p>
      <w:pPr>
        <w:pStyle w:val="Heading5"/>
      </w:pPr>
      <w:bookmarkStart w:id="17" w:name="_Toc401060783"/>
      <w:r>
        <w:rPr>
          <w:rStyle w:val="CharSectno"/>
        </w:rPr>
        <w:t>8</w:t>
      </w:r>
      <w:r>
        <w:t>.</w:t>
      </w:r>
      <w:r>
        <w:tab/>
        <w:t>Validity of licence</w:t>
      </w:r>
      <w:bookmarkEnd w:id="17"/>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in Gazette 1 Aug 2014 p. 2791.]</w:t>
      </w:r>
    </w:p>
    <w:p>
      <w:pPr>
        <w:pStyle w:val="Heading5"/>
      </w:pPr>
      <w:bookmarkStart w:id="18" w:name="_Toc401060784"/>
      <w:r>
        <w:rPr>
          <w:rStyle w:val="CharSectno"/>
        </w:rPr>
        <w:t>9</w:t>
      </w:r>
      <w:r>
        <w:t>.</w:t>
      </w:r>
      <w:r>
        <w:tab/>
        <w:t>Renewal of licence</w:t>
      </w:r>
      <w:bookmarkEnd w:id="18"/>
    </w:p>
    <w:p>
      <w:pPr>
        <w:pStyle w:val="Subsection"/>
      </w:pPr>
      <w:r>
        <w:tab/>
        <w:t>(1)</w:t>
      </w:r>
      <w:r>
        <w:tab/>
        <w:t xml:space="preserve">Upon application — </w:t>
      </w:r>
    </w:p>
    <w:p>
      <w:pPr>
        <w:pStyle w:val="Indenta"/>
      </w:pPr>
      <w:r>
        <w:tab/>
        <w:t>(a)</w:t>
      </w:r>
      <w:r>
        <w:tab/>
        <w:t>made before a licence expires; and</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in Gazette 1 Aug 2014 p. 2792.]</w:t>
      </w:r>
    </w:p>
    <w:p>
      <w:pPr>
        <w:pStyle w:val="Heading5"/>
      </w:pPr>
      <w:bookmarkStart w:id="19" w:name="_Toc401060785"/>
      <w:r>
        <w:rPr>
          <w:rStyle w:val="CharSectno"/>
        </w:rPr>
        <w:t>10</w:t>
      </w:r>
      <w:r>
        <w:t>.</w:t>
      </w:r>
      <w:r>
        <w:tab/>
        <w:t>Cancellation or suspension of, refusal to renew, licence</w:t>
      </w:r>
      <w:bookmarkEnd w:id="19"/>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in Gazette 1 Aug 2014 p. 2792-3.]</w:t>
      </w:r>
    </w:p>
    <w:p>
      <w:pPr>
        <w:pStyle w:val="Heading3"/>
      </w:pPr>
      <w:bookmarkStart w:id="20" w:name="_Toc398884929"/>
      <w:bookmarkStart w:id="21" w:name="_Toc400696734"/>
      <w:bookmarkStart w:id="22" w:name="_Toc401060786"/>
      <w:r>
        <w:rPr>
          <w:rStyle w:val="CharDivNo"/>
        </w:rPr>
        <w:t>Division 2</w:t>
      </w:r>
      <w:r>
        <w:t> — </w:t>
      </w:r>
      <w:r>
        <w:rPr>
          <w:rStyle w:val="CharDivText"/>
        </w:rPr>
        <w:t>Carriers</w:t>
      </w:r>
      <w:bookmarkEnd w:id="20"/>
      <w:bookmarkEnd w:id="21"/>
      <w:bookmarkEnd w:id="22"/>
    </w:p>
    <w:p>
      <w:pPr>
        <w:pStyle w:val="Heading5"/>
      </w:pPr>
      <w:bookmarkStart w:id="23" w:name="_Toc401060787"/>
      <w:r>
        <w:rPr>
          <w:rStyle w:val="CharSectno"/>
        </w:rPr>
        <w:t>11</w:t>
      </w:r>
      <w:r>
        <w:t>.</w:t>
      </w:r>
      <w:r>
        <w:tab/>
        <w:t>Certain carriers to be licensed</w:t>
      </w:r>
      <w:bookmarkEnd w:id="23"/>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24" w:name="_Toc401060788"/>
      <w:r>
        <w:rPr>
          <w:rStyle w:val="CharSectno"/>
        </w:rPr>
        <w:t>12</w:t>
      </w:r>
      <w:r>
        <w:t>.</w:t>
      </w:r>
      <w:r>
        <w:tab/>
        <w:t>Refusal of licence</w:t>
      </w:r>
      <w:bookmarkEnd w:id="24"/>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25" w:name="_Toc401060789"/>
      <w:r>
        <w:rPr>
          <w:rStyle w:val="CharSectno"/>
        </w:rPr>
        <w:t>13</w:t>
      </w:r>
      <w:r>
        <w:t>.</w:t>
      </w:r>
      <w:r>
        <w:tab/>
        <w:t>Sub</w:t>
      </w:r>
      <w:r>
        <w:noBreakHyphen/>
        <w:t>contractors</w:t>
      </w:r>
      <w:bookmarkEnd w:id="25"/>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26" w:name="_Toc401060790"/>
      <w:r>
        <w:rPr>
          <w:rStyle w:val="CharSectno"/>
        </w:rPr>
        <w:t>14</w:t>
      </w:r>
      <w:r>
        <w:t>.</w:t>
      </w:r>
      <w:r>
        <w:tab/>
        <w:t>Employment of unlicensed driver to transport bulk controlled waste</w:t>
      </w:r>
      <w:bookmarkEnd w:id="26"/>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in Gazette 1 Aug 2014 p. 2793.]</w:t>
      </w:r>
    </w:p>
    <w:p>
      <w:pPr>
        <w:pStyle w:val="Heading5"/>
      </w:pPr>
      <w:bookmarkStart w:id="27" w:name="_Toc401060791"/>
      <w:r>
        <w:rPr>
          <w:rStyle w:val="CharSectno"/>
        </w:rPr>
        <w:t>15</w:t>
      </w:r>
      <w:r>
        <w:t>.</w:t>
      </w:r>
      <w:r>
        <w:tab/>
        <w:t>Notification of employment of licensed drivers</w:t>
      </w:r>
      <w:bookmarkEnd w:id="27"/>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28" w:name="_Toc401060792"/>
      <w:r>
        <w:rPr>
          <w:rStyle w:val="CharSectno"/>
        </w:rPr>
        <w:t>16</w:t>
      </w:r>
      <w:r>
        <w:t>.</w:t>
      </w:r>
      <w:r>
        <w:tab/>
        <w:t>Interstate carriers</w:t>
      </w:r>
      <w:bookmarkEnd w:id="28"/>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in Gazette 1 Aug 2014 p. 2793.]</w:t>
      </w:r>
    </w:p>
    <w:p>
      <w:pPr>
        <w:pStyle w:val="Heading3"/>
      </w:pPr>
      <w:bookmarkStart w:id="29" w:name="_Toc398884936"/>
      <w:bookmarkStart w:id="30" w:name="_Toc400696741"/>
      <w:bookmarkStart w:id="31" w:name="_Toc401060793"/>
      <w:r>
        <w:rPr>
          <w:rStyle w:val="CharDivNo"/>
        </w:rPr>
        <w:t>Division 3</w:t>
      </w:r>
      <w:r>
        <w:t> — </w:t>
      </w:r>
      <w:r>
        <w:rPr>
          <w:rStyle w:val="CharDivText"/>
        </w:rPr>
        <w:t>Drivers</w:t>
      </w:r>
      <w:bookmarkEnd w:id="29"/>
      <w:bookmarkEnd w:id="30"/>
      <w:bookmarkEnd w:id="31"/>
    </w:p>
    <w:p>
      <w:pPr>
        <w:pStyle w:val="Heading5"/>
      </w:pPr>
      <w:bookmarkStart w:id="32" w:name="_Toc401060794"/>
      <w:r>
        <w:rPr>
          <w:rStyle w:val="CharSectno"/>
        </w:rPr>
        <w:t>17</w:t>
      </w:r>
      <w:r>
        <w:t>.</w:t>
      </w:r>
      <w:r>
        <w:tab/>
        <w:t>Drivers to be licensed</w:t>
      </w:r>
      <w:bookmarkEnd w:id="32"/>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in Gazette 1 Aug 2014 p. 2794.]</w:t>
      </w:r>
    </w:p>
    <w:p>
      <w:pPr>
        <w:pStyle w:val="Heading5"/>
      </w:pPr>
      <w:bookmarkStart w:id="33" w:name="_Toc401060795"/>
      <w:r>
        <w:rPr>
          <w:rStyle w:val="CharSectno"/>
        </w:rPr>
        <w:t>18</w:t>
      </w:r>
      <w:r>
        <w:t>.</w:t>
      </w:r>
      <w:r>
        <w:tab/>
        <w:t>Refusal of licence</w:t>
      </w:r>
      <w:bookmarkEnd w:id="33"/>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in Gazette 1 Aug 2014 p. 2794.]</w:t>
      </w:r>
    </w:p>
    <w:p>
      <w:pPr>
        <w:pStyle w:val="Heading5"/>
      </w:pPr>
      <w:bookmarkStart w:id="34" w:name="_Toc401060796"/>
      <w:r>
        <w:rPr>
          <w:rStyle w:val="CharSectno"/>
        </w:rPr>
        <w:t>19</w:t>
      </w:r>
      <w:r>
        <w:t>.</w:t>
      </w:r>
      <w:r>
        <w:tab/>
        <w:t>Driver identification card</w:t>
      </w:r>
      <w:bookmarkEnd w:id="34"/>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35" w:name="_Toc401060797"/>
      <w:r>
        <w:rPr>
          <w:rStyle w:val="CharSectno"/>
        </w:rPr>
        <w:t>20</w:t>
      </w:r>
      <w:r>
        <w:t>.</w:t>
      </w:r>
      <w:r>
        <w:tab/>
        <w:t>Recognition of licence issued in another State or a Territory</w:t>
      </w:r>
      <w:bookmarkEnd w:id="35"/>
    </w:p>
    <w:p>
      <w:pPr>
        <w:pStyle w:val="Subsection"/>
      </w:pPr>
      <w:r>
        <w:tab/>
        <w:t>(1)</w:t>
      </w:r>
      <w:r>
        <w:tab/>
        <w:t>A person who — </w:t>
      </w:r>
    </w:p>
    <w:p>
      <w:pPr>
        <w:pStyle w:val="Indenta"/>
      </w:pPr>
      <w:r>
        <w:tab/>
        <w:t>(a)</w:t>
      </w:r>
      <w:r>
        <w:tab/>
        <w:t>has an interstate licence as a driver to transport a bulk controlled waste; and</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36" w:name="_Toc398884941"/>
      <w:bookmarkStart w:id="37" w:name="_Toc400696746"/>
      <w:bookmarkStart w:id="38" w:name="_Toc401060798"/>
      <w:r>
        <w:rPr>
          <w:rStyle w:val="CharDivNo"/>
        </w:rPr>
        <w:t>Division 4</w:t>
      </w:r>
      <w:r>
        <w:t> — </w:t>
      </w:r>
      <w:r>
        <w:rPr>
          <w:rStyle w:val="CharDivText"/>
        </w:rPr>
        <w:t>Vehicle or tank</w:t>
      </w:r>
      <w:bookmarkEnd w:id="36"/>
      <w:bookmarkEnd w:id="37"/>
      <w:bookmarkEnd w:id="38"/>
    </w:p>
    <w:p>
      <w:pPr>
        <w:pStyle w:val="Heading5"/>
      </w:pPr>
      <w:bookmarkStart w:id="39" w:name="_Toc401060799"/>
      <w:r>
        <w:rPr>
          <w:rStyle w:val="CharSectno"/>
        </w:rPr>
        <w:t>21</w:t>
      </w:r>
      <w:r>
        <w:t>.</w:t>
      </w:r>
      <w:r>
        <w:tab/>
        <w:t>Vehicles and tanks of carriers to be licensed</w:t>
      </w:r>
      <w:bookmarkEnd w:id="39"/>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in Gazette 1 Aug 2014 p. 2795.]</w:t>
      </w:r>
    </w:p>
    <w:p>
      <w:pPr>
        <w:pStyle w:val="Heading5"/>
      </w:pPr>
      <w:bookmarkStart w:id="40" w:name="_Toc401060800"/>
      <w:r>
        <w:rPr>
          <w:rStyle w:val="CharSectno"/>
        </w:rPr>
        <w:t>22</w:t>
      </w:r>
      <w:r>
        <w:t>.</w:t>
      </w:r>
      <w:r>
        <w:tab/>
        <w:t>Application for licence and inspection of vehicle or tank</w:t>
      </w:r>
      <w:bookmarkEnd w:id="40"/>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41" w:name="_Toc401060801"/>
      <w:r>
        <w:rPr>
          <w:rStyle w:val="CharSectno"/>
        </w:rPr>
        <w:t>23</w:t>
      </w:r>
      <w:r>
        <w:t>.</w:t>
      </w:r>
      <w:r>
        <w:tab/>
        <w:t>Issue of licence</w:t>
      </w:r>
      <w:bookmarkEnd w:id="41"/>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42" w:name="_Toc401060802"/>
      <w:r>
        <w:rPr>
          <w:rStyle w:val="CharSectno"/>
        </w:rPr>
        <w:t>24</w:t>
      </w:r>
      <w:r>
        <w:t>.</w:t>
      </w:r>
      <w:r>
        <w:tab/>
        <w:t>Validity of licence</w:t>
      </w:r>
      <w:bookmarkEnd w:id="42"/>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43" w:name="_Toc398884946"/>
      <w:bookmarkStart w:id="44" w:name="_Toc400696751"/>
      <w:bookmarkStart w:id="45" w:name="_Toc401060803"/>
      <w:r>
        <w:rPr>
          <w:rStyle w:val="CharDivNo"/>
        </w:rPr>
        <w:t>Division 5</w:t>
      </w:r>
      <w:r>
        <w:t> — </w:t>
      </w:r>
      <w:r>
        <w:rPr>
          <w:rStyle w:val="CharDivText"/>
        </w:rPr>
        <w:t>Assignment of carrier’s business and transfer of licence</w:t>
      </w:r>
      <w:bookmarkEnd w:id="43"/>
      <w:bookmarkEnd w:id="44"/>
      <w:bookmarkEnd w:id="45"/>
    </w:p>
    <w:p>
      <w:pPr>
        <w:pStyle w:val="Footnoteheading"/>
        <w:keepNext/>
      </w:pPr>
      <w:r>
        <w:tab/>
        <w:t>[Heading inserted in Gazette 1 Aug 2014 p. 2795.]</w:t>
      </w:r>
    </w:p>
    <w:p>
      <w:pPr>
        <w:pStyle w:val="Heading5"/>
      </w:pPr>
      <w:bookmarkStart w:id="46" w:name="_Toc401060804"/>
      <w:r>
        <w:rPr>
          <w:rStyle w:val="CharSectno"/>
        </w:rPr>
        <w:t>25A</w:t>
      </w:r>
      <w:r>
        <w:t>.</w:t>
      </w:r>
      <w:r>
        <w:tab/>
        <w:t>Terms used</w:t>
      </w:r>
      <w:bookmarkEnd w:id="46"/>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in Gazette 1 Aug 2014 p. 2795.]</w:t>
      </w:r>
    </w:p>
    <w:p>
      <w:pPr>
        <w:pStyle w:val="Heading5"/>
      </w:pPr>
      <w:bookmarkStart w:id="47" w:name="_Toc401060805"/>
      <w:r>
        <w:rPr>
          <w:rStyle w:val="CharSectno"/>
        </w:rPr>
        <w:t>25B</w:t>
      </w:r>
      <w:r>
        <w:t>.</w:t>
      </w:r>
      <w:r>
        <w:tab/>
        <w:t>Assignment of carrier’s business</w:t>
      </w:r>
      <w:bookmarkEnd w:id="47"/>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in Gazette 1 Aug 2014 p. 2796.]</w:t>
      </w:r>
    </w:p>
    <w:p>
      <w:pPr>
        <w:pStyle w:val="Heading5"/>
        <w:spacing w:before="180"/>
      </w:pPr>
      <w:bookmarkStart w:id="48" w:name="_Toc401060806"/>
      <w:r>
        <w:rPr>
          <w:rStyle w:val="CharSectno"/>
        </w:rPr>
        <w:t>25C</w:t>
      </w:r>
      <w:r>
        <w:t>.</w:t>
      </w:r>
      <w:r>
        <w:tab/>
        <w:t>Transfer of licence</w:t>
      </w:r>
      <w:bookmarkEnd w:id="48"/>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in Gazette 1 Aug 2014 p. 2796-7.]</w:t>
      </w:r>
    </w:p>
    <w:p>
      <w:pPr>
        <w:pStyle w:val="Heading5"/>
      </w:pPr>
      <w:bookmarkStart w:id="49" w:name="_Toc401060807"/>
      <w:r>
        <w:rPr>
          <w:rStyle w:val="CharSectno"/>
        </w:rPr>
        <w:t>25D</w:t>
      </w:r>
      <w:r>
        <w:t>.</w:t>
      </w:r>
      <w:r>
        <w:tab/>
        <w:t>Validity of transferred licence</w:t>
      </w:r>
      <w:bookmarkEnd w:id="49"/>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in Gazette 1 Aug 2014 p. 2797.]</w:t>
      </w:r>
    </w:p>
    <w:p>
      <w:pPr>
        <w:pStyle w:val="Heading5"/>
      </w:pPr>
      <w:bookmarkStart w:id="50" w:name="_Toc401060808"/>
      <w:r>
        <w:rPr>
          <w:rStyle w:val="CharSectno"/>
        </w:rPr>
        <w:t>25E</w:t>
      </w:r>
      <w:r>
        <w:t>.</w:t>
      </w:r>
      <w:r>
        <w:tab/>
        <w:t>Transitional</w:t>
      </w:r>
      <w:bookmarkEnd w:id="50"/>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in Gazette 1 Aug 2014 p. 2797.]</w:t>
      </w:r>
    </w:p>
    <w:p>
      <w:pPr>
        <w:pStyle w:val="Heading2"/>
      </w:pPr>
      <w:bookmarkStart w:id="51" w:name="_Toc398884952"/>
      <w:bookmarkStart w:id="52" w:name="_Toc400696757"/>
      <w:bookmarkStart w:id="53" w:name="_Toc401060809"/>
      <w:r>
        <w:rPr>
          <w:rStyle w:val="CharPartNo"/>
        </w:rPr>
        <w:t>Part 3</w:t>
      </w:r>
      <w:r>
        <w:t> — </w:t>
      </w:r>
      <w:r>
        <w:rPr>
          <w:rStyle w:val="CharPartText"/>
        </w:rPr>
        <w:t>Transportation and unloading of a controlled waste</w:t>
      </w:r>
      <w:bookmarkEnd w:id="51"/>
      <w:bookmarkEnd w:id="52"/>
      <w:bookmarkEnd w:id="53"/>
    </w:p>
    <w:p>
      <w:pPr>
        <w:pStyle w:val="Footnoteheading"/>
      </w:pPr>
      <w:r>
        <w:tab/>
        <w:t>[Heading amended in Gazette 1 Aug 2014 p. 2798.]</w:t>
      </w:r>
    </w:p>
    <w:p>
      <w:pPr>
        <w:pStyle w:val="Heading3"/>
      </w:pPr>
      <w:bookmarkStart w:id="54" w:name="_Toc398884953"/>
      <w:bookmarkStart w:id="55" w:name="_Toc400696758"/>
      <w:bookmarkStart w:id="56" w:name="_Toc401060810"/>
      <w:r>
        <w:rPr>
          <w:rStyle w:val="CharDivNo"/>
        </w:rPr>
        <w:t>Division 1</w:t>
      </w:r>
      <w:r>
        <w:t> — </w:t>
      </w:r>
      <w:r>
        <w:rPr>
          <w:rStyle w:val="CharDivText"/>
        </w:rPr>
        <w:t>Waste holder’s obligations</w:t>
      </w:r>
      <w:bookmarkEnd w:id="54"/>
      <w:bookmarkEnd w:id="55"/>
      <w:bookmarkEnd w:id="56"/>
    </w:p>
    <w:p>
      <w:pPr>
        <w:pStyle w:val="Footnoteheading"/>
      </w:pPr>
      <w:r>
        <w:tab/>
        <w:t>[Heading amended in Gazette 1 Aug 2014 p. 2798.]</w:t>
      </w:r>
    </w:p>
    <w:p>
      <w:pPr>
        <w:pStyle w:val="Heading5"/>
      </w:pPr>
      <w:bookmarkStart w:id="57" w:name="_Toc401060811"/>
      <w:r>
        <w:rPr>
          <w:rStyle w:val="CharSectno"/>
        </w:rPr>
        <w:t>25</w:t>
      </w:r>
      <w:r>
        <w:t>.</w:t>
      </w:r>
      <w:r>
        <w:tab/>
        <w:t>Obligations relating to transportation</w:t>
      </w:r>
      <w:bookmarkEnd w:id="57"/>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in Gazette 1 Aug 2014 p. 2798-9.]</w:t>
      </w:r>
    </w:p>
    <w:p>
      <w:pPr>
        <w:pStyle w:val="Heading5"/>
        <w:spacing w:before="180"/>
      </w:pPr>
      <w:bookmarkStart w:id="58" w:name="_Toc401060812"/>
      <w:r>
        <w:rPr>
          <w:rStyle w:val="CharSectno"/>
        </w:rPr>
        <w:t>26</w:t>
      </w:r>
      <w:r>
        <w:t>.</w:t>
      </w:r>
      <w:r>
        <w:tab/>
        <w:t>Notice of controlled waste</w:t>
      </w:r>
      <w:bookmarkEnd w:id="58"/>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in Gazette 1 Aug 2014 p. 2799.]</w:t>
      </w:r>
    </w:p>
    <w:p>
      <w:pPr>
        <w:pStyle w:val="Heading5"/>
        <w:spacing w:before="180"/>
      </w:pPr>
      <w:bookmarkStart w:id="59" w:name="_Toc401060813"/>
      <w:r>
        <w:rPr>
          <w:rStyle w:val="CharSectno"/>
        </w:rPr>
        <w:t>27</w:t>
      </w:r>
      <w:r>
        <w:t>.</w:t>
      </w:r>
      <w:r>
        <w:tab/>
        <w:t>Directions to transport controlled waste to waste facility</w:t>
      </w:r>
      <w:bookmarkEnd w:id="59"/>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in Gazette 1 Aug 2014 p. 2800.]</w:t>
      </w:r>
    </w:p>
    <w:p>
      <w:pPr>
        <w:pStyle w:val="Heading3"/>
        <w:keepLines/>
      </w:pPr>
      <w:bookmarkStart w:id="60" w:name="_Toc398884957"/>
      <w:bookmarkStart w:id="61" w:name="_Toc400696762"/>
      <w:bookmarkStart w:id="62" w:name="_Toc401060814"/>
      <w:r>
        <w:rPr>
          <w:rStyle w:val="CharDivNo"/>
        </w:rPr>
        <w:t>Division 2</w:t>
      </w:r>
      <w:r>
        <w:t> — </w:t>
      </w:r>
      <w:r>
        <w:rPr>
          <w:rStyle w:val="CharDivText"/>
        </w:rPr>
        <w:t>Carrier’s obligations</w:t>
      </w:r>
      <w:bookmarkEnd w:id="60"/>
      <w:bookmarkEnd w:id="61"/>
      <w:bookmarkEnd w:id="62"/>
    </w:p>
    <w:p>
      <w:pPr>
        <w:pStyle w:val="Heading5"/>
      </w:pPr>
      <w:bookmarkStart w:id="63" w:name="_Toc401060815"/>
      <w:r>
        <w:rPr>
          <w:rStyle w:val="CharSectno"/>
        </w:rPr>
        <w:t>28</w:t>
      </w:r>
      <w:r>
        <w:t>.</w:t>
      </w:r>
      <w:r>
        <w:tab/>
        <w:t>Controlled waste tracking form required to transport controlled waste</w:t>
      </w:r>
      <w:bookmarkEnd w:id="63"/>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in Gazette 1 Aug 2014 p. 2800.]</w:t>
      </w:r>
    </w:p>
    <w:p>
      <w:pPr>
        <w:pStyle w:val="Heading5"/>
      </w:pPr>
      <w:bookmarkStart w:id="64" w:name="_Toc401060816"/>
      <w:r>
        <w:rPr>
          <w:rStyle w:val="CharSectno"/>
        </w:rPr>
        <w:t>29</w:t>
      </w:r>
      <w:r>
        <w:t>.</w:t>
      </w:r>
      <w:r>
        <w:tab/>
        <w:t>Obligations of carrier as to transportation of controlled waste</w:t>
      </w:r>
      <w:bookmarkEnd w:id="64"/>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in Gazette 1 Aug 2014 p. 2800.]</w:t>
      </w:r>
    </w:p>
    <w:p>
      <w:pPr>
        <w:pStyle w:val="Heading5"/>
      </w:pPr>
      <w:bookmarkStart w:id="65" w:name="_Toc401060817"/>
      <w:r>
        <w:rPr>
          <w:rStyle w:val="CharSectno"/>
        </w:rPr>
        <w:t>30</w:t>
      </w:r>
      <w:r>
        <w:t>.</w:t>
      </w:r>
      <w:r>
        <w:tab/>
        <w:t>Obligations of carrier as to vehicles and tanks used to transport controlled waste</w:t>
      </w:r>
      <w:bookmarkEnd w:id="65"/>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in Gazette 1 Aug 2014 p. 2801.]</w:t>
      </w:r>
    </w:p>
    <w:p>
      <w:pPr>
        <w:pStyle w:val="Heading5"/>
      </w:pPr>
      <w:bookmarkStart w:id="66" w:name="_Toc401060818"/>
      <w:r>
        <w:rPr>
          <w:rStyle w:val="CharSectno"/>
        </w:rPr>
        <w:t>31A</w:t>
      </w:r>
      <w:r>
        <w:t>.</w:t>
      </w:r>
      <w:r>
        <w:tab/>
        <w:t>Obligations of carrier as to transportation of anything other than controlled waste in licensed vehicle or tank</w:t>
      </w:r>
      <w:bookmarkEnd w:id="66"/>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in Gazette 1 Aug 2014 p. 2801-2.]</w:t>
      </w:r>
    </w:p>
    <w:p>
      <w:pPr>
        <w:pStyle w:val="Heading5"/>
      </w:pPr>
      <w:bookmarkStart w:id="67" w:name="_Toc401060819"/>
      <w:r>
        <w:rPr>
          <w:rStyle w:val="CharSectno"/>
        </w:rPr>
        <w:t>31</w:t>
      </w:r>
      <w:r>
        <w:t>.</w:t>
      </w:r>
      <w:r>
        <w:tab/>
        <w:t>Obligations of carrier as to receipt</w:t>
      </w:r>
      <w:bookmarkEnd w:id="67"/>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in Gazette 1 Aug 2014 p. 2802.]</w:t>
      </w:r>
    </w:p>
    <w:p>
      <w:pPr>
        <w:pStyle w:val="Heading5"/>
      </w:pPr>
      <w:bookmarkStart w:id="68" w:name="_Toc401060820"/>
      <w:r>
        <w:rPr>
          <w:rStyle w:val="CharSectno"/>
        </w:rPr>
        <w:t>32A</w:t>
      </w:r>
      <w:r>
        <w:t>.</w:t>
      </w:r>
      <w:r>
        <w:tab/>
        <w:t>Obligations of carrier as to controlled waste tracking form information</w:t>
      </w:r>
      <w:bookmarkEnd w:id="68"/>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in Gazette 1 Aug 2014 p. 2803.]</w:t>
      </w:r>
    </w:p>
    <w:p>
      <w:pPr>
        <w:pStyle w:val="Heading3"/>
      </w:pPr>
      <w:bookmarkStart w:id="69" w:name="_Toc398884964"/>
      <w:bookmarkStart w:id="70" w:name="_Toc400696769"/>
      <w:bookmarkStart w:id="71" w:name="_Toc401060821"/>
      <w:r>
        <w:rPr>
          <w:rStyle w:val="CharDivNo"/>
        </w:rPr>
        <w:t>Division 3</w:t>
      </w:r>
      <w:r>
        <w:t> — </w:t>
      </w:r>
      <w:r>
        <w:rPr>
          <w:rStyle w:val="CharDivText"/>
        </w:rPr>
        <w:t>Driver’s obligations</w:t>
      </w:r>
      <w:bookmarkEnd w:id="69"/>
      <w:bookmarkEnd w:id="70"/>
      <w:bookmarkEnd w:id="71"/>
    </w:p>
    <w:p>
      <w:pPr>
        <w:pStyle w:val="Heading5"/>
      </w:pPr>
      <w:bookmarkStart w:id="72" w:name="_Toc401060822"/>
      <w:r>
        <w:rPr>
          <w:rStyle w:val="CharSectno"/>
        </w:rPr>
        <w:t>32</w:t>
      </w:r>
      <w:r>
        <w:t>.</w:t>
      </w:r>
      <w:r>
        <w:tab/>
        <w:t>Obligations of drivers as to transportation of controlled waste</w:t>
      </w:r>
      <w:bookmarkEnd w:id="72"/>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in Gazette 1 Aug 2014 p. 2803.]</w:t>
      </w:r>
    </w:p>
    <w:p>
      <w:pPr>
        <w:pStyle w:val="Heading5"/>
      </w:pPr>
      <w:bookmarkStart w:id="73" w:name="_Toc401060823"/>
      <w:r>
        <w:rPr>
          <w:rStyle w:val="CharSectno"/>
        </w:rPr>
        <w:t>33</w:t>
      </w:r>
      <w:r>
        <w:t>.</w:t>
      </w:r>
      <w:r>
        <w:tab/>
        <w:t>Obligations of drivers as to vehicles or tanks used to transport controlled waste</w:t>
      </w:r>
      <w:bookmarkEnd w:id="73"/>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in Gazette 1 Aug 2014 p. 2803.]</w:t>
      </w:r>
    </w:p>
    <w:p>
      <w:pPr>
        <w:pStyle w:val="Heading5"/>
      </w:pPr>
      <w:bookmarkStart w:id="74" w:name="_Toc401060824"/>
      <w:r>
        <w:rPr>
          <w:rStyle w:val="CharSectno"/>
        </w:rPr>
        <w:t>34</w:t>
      </w:r>
      <w:r>
        <w:t>.</w:t>
      </w:r>
      <w:r>
        <w:tab/>
        <w:t>Obligations of drivers as to transportation of anything other than controlled waste in licensed vehicle or tank</w:t>
      </w:r>
      <w:bookmarkEnd w:id="74"/>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in Gazette 1 Aug 2014 p. 2804.]</w:t>
      </w:r>
    </w:p>
    <w:p>
      <w:pPr>
        <w:pStyle w:val="Heading5"/>
      </w:pPr>
      <w:bookmarkStart w:id="75" w:name="_Toc401060825"/>
      <w:r>
        <w:rPr>
          <w:rStyle w:val="CharSectno"/>
        </w:rPr>
        <w:t>35</w:t>
      </w:r>
      <w:r>
        <w:t>.</w:t>
      </w:r>
      <w:r>
        <w:tab/>
        <w:t>Obligations of driver to provide receipt</w:t>
      </w:r>
      <w:bookmarkEnd w:id="75"/>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in Gazette 1 Aug 2014 p. 2804.]</w:t>
      </w:r>
    </w:p>
    <w:p>
      <w:pPr>
        <w:pStyle w:val="Heading3"/>
      </w:pPr>
      <w:bookmarkStart w:id="76" w:name="_Toc398884969"/>
      <w:bookmarkStart w:id="77" w:name="_Toc400696774"/>
      <w:bookmarkStart w:id="78" w:name="_Toc401060826"/>
      <w:r>
        <w:rPr>
          <w:rStyle w:val="CharDivNo"/>
        </w:rPr>
        <w:t>Division 4</w:t>
      </w:r>
      <w:r>
        <w:t> — </w:t>
      </w:r>
      <w:r>
        <w:rPr>
          <w:rStyle w:val="CharDivText"/>
        </w:rPr>
        <w:t>Controlled waste tracking form and controlled waste tracking number</w:t>
      </w:r>
      <w:bookmarkEnd w:id="76"/>
      <w:bookmarkEnd w:id="77"/>
      <w:bookmarkEnd w:id="78"/>
    </w:p>
    <w:p>
      <w:pPr>
        <w:pStyle w:val="Heading5"/>
      </w:pPr>
      <w:bookmarkStart w:id="79" w:name="_Toc401060827"/>
      <w:r>
        <w:rPr>
          <w:rStyle w:val="CharSectno"/>
        </w:rPr>
        <w:t>36</w:t>
      </w:r>
      <w:r>
        <w:t>.</w:t>
      </w:r>
      <w:r>
        <w:tab/>
        <w:t>Validity of controlled waste tracking form</w:t>
      </w:r>
      <w:bookmarkEnd w:id="79"/>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in Gazette 1 Aug 2014 p. 2804-6.]</w:t>
      </w:r>
    </w:p>
    <w:p>
      <w:pPr>
        <w:pStyle w:val="Heading5"/>
      </w:pPr>
      <w:bookmarkStart w:id="80" w:name="_Toc401060828"/>
      <w:r>
        <w:rPr>
          <w:rStyle w:val="CharSectno"/>
        </w:rPr>
        <w:t>37</w:t>
      </w:r>
      <w:r>
        <w:t>.</w:t>
      </w:r>
      <w:r>
        <w:tab/>
        <w:t>Controlled waste tracking number fee</w:t>
      </w:r>
      <w:bookmarkEnd w:id="80"/>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81" w:name="_Toc401060829"/>
      <w:r>
        <w:rPr>
          <w:rStyle w:val="CharSectno"/>
        </w:rPr>
        <w:t>38</w:t>
      </w:r>
      <w:r>
        <w:t>.</w:t>
      </w:r>
      <w:r>
        <w:tab/>
        <w:t>CEO to ensure each controlled waste tracking form has unique number</w:t>
      </w:r>
      <w:bookmarkEnd w:id="81"/>
    </w:p>
    <w:p>
      <w:pPr>
        <w:pStyle w:val="Subsection"/>
      </w:pPr>
      <w:r>
        <w:tab/>
      </w:r>
      <w:r>
        <w:tab/>
        <w:t>The CEO is to cause each controlled waste tracking form issued by the Department to have a unique number recorded on the form.</w:t>
      </w:r>
    </w:p>
    <w:p>
      <w:pPr>
        <w:pStyle w:val="Footnotesection"/>
      </w:pPr>
      <w:r>
        <w:tab/>
        <w:t>[Regulation 38 inserted in Gazette 1 Aug 2014 p. 2807.]</w:t>
      </w:r>
    </w:p>
    <w:p>
      <w:pPr>
        <w:pStyle w:val="Heading3"/>
      </w:pPr>
      <w:bookmarkStart w:id="82" w:name="_Toc398884973"/>
      <w:bookmarkStart w:id="83" w:name="_Toc400696778"/>
      <w:bookmarkStart w:id="84" w:name="_Toc401060830"/>
      <w:r>
        <w:rPr>
          <w:rStyle w:val="CharDivNo"/>
        </w:rPr>
        <w:t>Division 5</w:t>
      </w:r>
      <w:r>
        <w:t> — </w:t>
      </w:r>
      <w:r>
        <w:rPr>
          <w:rStyle w:val="CharDivText"/>
        </w:rPr>
        <w:t>Unloading controlled waste</w:t>
      </w:r>
      <w:bookmarkEnd w:id="82"/>
      <w:bookmarkEnd w:id="83"/>
      <w:bookmarkEnd w:id="84"/>
    </w:p>
    <w:p>
      <w:pPr>
        <w:pStyle w:val="Footnoteheading"/>
      </w:pPr>
      <w:r>
        <w:tab/>
        <w:t>[Heading inserted in Gazette 1 Aug 2014 p. 2807.]</w:t>
      </w:r>
    </w:p>
    <w:p>
      <w:pPr>
        <w:pStyle w:val="Heading5"/>
      </w:pPr>
      <w:bookmarkStart w:id="85" w:name="_Toc401060831"/>
      <w:r>
        <w:rPr>
          <w:rStyle w:val="CharSectno"/>
        </w:rPr>
        <w:t>39</w:t>
      </w:r>
      <w:r>
        <w:t>.</w:t>
      </w:r>
      <w:r>
        <w:tab/>
        <w:t>Obligations as to unloading controlled waste</w:t>
      </w:r>
      <w:bookmarkEnd w:id="85"/>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in Gazette 1 Aug 2014 p. 2807-9.]</w:t>
      </w:r>
    </w:p>
    <w:p>
      <w:pPr>
        <w:pStyle w:val="Heading5"/>
      </w:pPr>
      <w:bookmarkStart w:id="86" w:name="_Toc401060832"/>
      <w:r>
        <w:rPr>
          <w:rStyle w:val="CharSectno"/>
        </w:rPr>
        <w:t>40</w:t>
      </w:r>
      <w:r>
        <w:t>.</w:t>
      </w:r>
      <w:r>
        <w:tab/>
        <w:t>Procedure on unloading controlled waste</w:t>
      </w:r>
      <w:bookmarkEnd w:id="86"/>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in Gazette 1 Aug 2014 p. 2809-10.]</w:t>
      </w:r>
    </w:p>
    <w:p>
      <w:pPr>
        <w:pStyle w:val="Heading5"/>
      </w:pPr>
      <w:bookmarkStart w:id="87" w:name="_Toc401060833"/>
      <w:r>
        <w:rPr>
          <w:rStyle w:val="CharSectno"/>
        </w:rPr>
        <w:t>41A</w:t>
      </w:r>
      <w:r>
        <w:t>.</w:t>
      </w:r>
      <w:r>
        <w:tab/>
        <w:t>Carrier to provide CEO with copy of controlled waste tracking form</w:t>
      </w:r>
      <w:bookmarkEnd w:id="87"/>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in Gazette 1 Aug 2014 p. 2810.]</w:t>
      </w:r>
    </w:p>
    <w:p>
      <w:pPr>
        <w:pStyle w:val="Heading5"/>
      </w:pPr>
      <w:bookmarkStart w:id="88" w:name="_Toc401060834"/>
      <w:r>
        <w:rPr>
          <w:rStyle w:val="CharSectno"/>
        </w:rPr>
        <w:t>41</w:t>
      </w:r>
      <w:r>
        <w:t>.</w:t>
      </w:r>
      <w:r>
        <w:tab/>
        <w:t>Obligations of occupier of waste facility</w:t>
      </w:r>
      <w:bookmarkEnd w:id="88"/>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in Gazette 1 Aug 2014 p. 2811-13.]</w:t>
      </w:r>
    </w:p>
    <w:p>
      <w:pPr>
        <w:pStyle w:val="Heading3"/>
      </w:pPr>
      <w:bookmarkStart w:id="89" w:name="_Toc398884978"/>
      <w:bookmarkStart w:id="90" w:name="_Toc400696783"/>
      <w:bookmarkStart w:id="91" w:name="_Toc401060835"/>
      <w:r>
        <w:rPr>
          <w:rStyle w:val="CharDivNo"/>
        </w:rPr>
        <w:t>Division 6</w:t>
      </w:r>
      <w:r>
        <w:t> — </w:t>
      </w:r>
      <w:r>
        <w:rPr>
          <w:rStyle w:val="CharDivText"/>
        </w:rPr>
        <w:t>Disposal of material containing asbestos</w:t>
      </w:r>
      <w:bookmarkEnd w:id="89"/>
      <w:bookmarkEnd w:id="90"/>
      <w:bookmarkEnd w:id="91"/>
    </w:p>
    <w:p>
      <w:pPr>
        <w:pStyle w:val="Heading5"/>
      </w:pPr>
      <w:bookmarkStart w:id="92" w:name="_Toc401060836"/>
      <w:r>
        <w:rPr>
          <w:rStyle w:val="CharSectno"/>
        </w:rPr>
        <w:t>42</w:t>
      </w:r>
      <w:r>
        <w:t>.</w:t>
      </w:r>
      <w:r>
        <w:tab/>
        <w:t>Terms used</w:t>
      </w:r>
      <w:bookmarkEnd w:id="92"/>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 and</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in Gazette 1 Aug 2014 p. 2813.]</w:t>
      </w:r>
    </w:p>
    <w:p>
      <w:pPr>
        <w:pStyle w:val="Heading5"/>
      </w:pPr>
      <w:bookmarkStart w:id="93" w:name="_Toc401060837"/>
      <w:r>
        <w:rPr>
          <w:rStyle w:val="CharSectno"/>
        </w:rPr>
        <w:t>43</w:t>
      </w:r>
      <w:r>
        <w:t>.</w:t>
      </w:r>
      <w:r>
        <w:tab/>
        <w:t>Disposal of material containing asbestos</w:t>
      </w:r>
      <w:bookmarkEnd w:id="93"/>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in Gazette 1 Aug 2014 p. 2813.]</w:t>
      </w:r>
    </w:p>
    <w:p>
      <w:pPr>
        <w:pStyle w:val="Heading5"/>
      </w:pPr>
      <w:bookmarkStart w:id="94" w:name="_Toc401060838"/>
      <w:r>
        <w:rPr>
          <w:rStyle w:val="CharSectno"/>
        </w:rPr>
        <w:t>44</w:t>
      </w:r>
      <w:r>
        <w:t>.</w:t>
      </w:r>
      <w:r>
        <w:tab/>
        <w:t>Asbestos for disposal to be separated, wrapped and labelled</w:t>
      </w:r>
      <w:bookmarkEnd w:id="94"/>
    </w:p>
    <w:p>
      <w:pPr>
        <w:pStyle w:val="Subsection"/>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 and</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in Gazette 1 Aug 2014 p. 2814.]</w:t>
      </w:r>
    </w:p>
    <w:p>
      <w:pPr>
        <w:pStyle w:val="Heading5"/>
      </w:pPr>
      <w:bookmarkStart w:id="95" w:name="_Toc401060839"/>
      <w:r>
        <w:rPr>
          <w:rStyle w:val="CharSectno"/>
        </w:rPr>
        <w:t>45</w:t>
      </w:r>
      <w:r>
        <w:t>.</w:t>
      </w:r>
      <w:r>
        <w:tab/>
        <w:t>Duty to notify others of presence of asbestos</w:t>
      </w:r>
      <w:bookmarkEnd w:id="95"/>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in Gazette 1 Aug 2014 p. 2814.]</w:t>
      </w:r>
    </w:p>
    <w:p>
      <w:pPr>
        <w:pStyle w:val="Heading5"/>
      </w:pPr>
      <w:bookmarkStart w:id="96" w:name="_Toc401060840"/>
      <w:r>
        <w:rPr>
          <w:rStyle w:val="CharSectno"/>
        </w:rPr>
        <w:t>46</w:t>
      </w:r>
      <w:r>
        <w:t>.</w:t>
      </w:r>
      <w:r>
        <w:tab/>
        <w:t>CEO may approve place and manner of disposal in special cases</w:t>
      </w:r>
      <w:bookmarkEnd w:id="96"/>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in Gazette 1 Aug 2014 p. 2814.]</w:t>
      </w:r>
    </w:p>
    <w:p>
      <w:pPr>
        <w:pStyle w:val="Heading5"/>
      </w:pPr>
      <w:bookmarkStart w:id="97" w:name="_Toc401060841"/>
      <w:r>
        <w:rPr>
          <w:rStyle w:val="CharSectno"/>
        </w:rPr>
        <w:t>47</w:t>
      </w:r>
      <w:r>
        <w:t>.</w:t>
      </w:r>
      <w:r>
        <w:tab/>
        <w:t>Method of disposal</w:t>
      </w:r>
      <w:bookmarkEnd w:id="97"/>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98" w:name="_Toc398884985"/>
      <w:bookmarkStart w:id="99" w:name="_Toc400696790"/>
      <w:bookmarkStart w:id="100" w:name="_Toc401060842"/>
      <w:r>
        <w:rPr>
          <w:rStyle w:val="CharPartNo"/>
        </w:rPr>
        <w:t>Part 4</w:t>
      </w:r>
      <w:r>
        <w:rPr>
          <w:rStyle w:val="CharDivNo"/>
        </w:rPr>
        <w:t> </w:t>
      </w:r>
      <w:r>
        <w:t>—</w:t>
      </w:r>
      <w:r>
        <w:rPr>
          <w:rStyle w:val="CharDivText"/>
        </w:rPr>
        <w:t> </w:t>
      </w:r>
      <w:r>
        <w:rPr>
          <w:rStyle w:val="CharPartText"/>
        </w:rPr>
        <w:t>Miscellaneous</w:t>
      </w:r>
      <w:bookmarkEnd w:id="98"/>
      <w:bookmarkEnd w:id="99"/>
      <w:bookmarkEnd w:id="100"/>
    </w:p>
    <w:p>
      <w:pPr>
        <w:pStyle w:val="Heading5"/>
      </w:pPr>
      <w:bookmarkStart w:id="101" w:name="_Toc401060843"/>
      <w:r>
        <w:rPr>
          <w:rStyle w:val="CharSectno"/>
        </w:rPr>
        <w:t>48</w:t>
      </w:r>
      <w:r>
        <w:t>.</w:t>
      </w:r>
      <w:r>
        <w:tab/>
        <w:t>Responsibility of carrier</w:t>
      </w:r>
      <w:bookmarkEnd w:id="101"/>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 and</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102" w:name="_Toc401060844"/>
      <w:r>
        <w:rPr>
          <w:rStyle w:val="CharSectno"/>
        </w:rPr>
        <w:t>49</w:t>
      </w:r>
      <w:r>
        <w:t>.</w:t>
      </w:r>
      <w:r>
        <w:tab/>
        <w:t>Exemptions</w:t>
      </w:r>
      <w:bookmarkEnd w:id="102"/>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 in Gazette 1 Aug 2014 p. 2815-16.]</w:t>
      </w:r>
    </w:p>
    <w:p>
      <w:pPr>
        <w:pStyle w:val="Heading5"/>
        <w:keepNext w:val="0"/>
        <w:keepLines w:val="0"/>
        <w:pageBreakBefore/>
        <w:spacing w:before="0"/>
      </w:pPr>
      <w:bookmarkStart w:id="103" w:name="_Toc401060845"/>
      <w:r>
        <w:rPr>
          <w:rStyle w:val="CharSectno"/>
        </w:rPr>
        <w:t>50A</w:t>
      </w:r>
      <w:r>
        <w:t>.</w:t>
      </w:r>
      <w:r>
        <w:tab/>
        <w:t>Application for exemption</w:t>
      </w:r>
      <w:bookmarkEnd w:id="103"/>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in Gazette 1 Aug 2014 p. 2816.]</w:t>
      </w:r>
    </w:p>
    <w:p>
      <w:pPr>
        <w:pStyle w:val="Heading5"/>
      </w:pPr>
      <w:bookmarkStart w:id="104" w:name="_Toc401060846"/>
      <w:r>
        <w:rPr>
          <w:rStyle w:val="CharSectno"/>
        </w:rPr>
        <w:t>50</w:t>
      </w:r>
      <w:r>
        <w:t>.</w:t>
      </w:r>
      <w:r>
        <w:tab/>
        <w:t>Inspection of licences, tracking forms and tracking numbers</w:t>
      </w:r>
      <w:bookmarkEnd w:id="104"/>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105" w:name="_Toc401060847"/>
      <w:r>
        <w:rPr>
          <w:rStyle w:val="CharSectno"/>
        </w:rPr>
        <w:t>51</w:t>
      </w:r>
      <w:r>
        <w:t>.</w:t>
      </w:r>
      <w:r>
        <w:tab/>
        <w:t>Meeting</w:t>
      </w:r>
      <w:bookmarkEnd w:id="105"/>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106" w:name="_Toc401060848"/>
      <w:r>
        <w:rPr>
          <w:rStyle w:val="CharSectno"/>
        </w:rPr>
        <w:t>52</w:t>
      </w:r>
      <w:r>
        <w:t>.</w:t>
      </w:r>
      <w:r>
        <w:tab/>
        <w:t>Appeals</w:t>
      </w:r>
      <w:bookmarkEnd w:id="106"/>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in Gazette 1 Aug 2014 p. 2816.]</w:t>
      </w:r>
    </w:p>
    <w:p>
      <w:pPr>
        <w:pStyle w:val="Heading5"/>
      </w:pPr>
      <w:bookmarkStart w:id="107" w:name="_Toc401060849"/>
      <w:r>
        <w:rPr>
          <w:rStyle w:val="CharSectno"/>
        </w:rPr>
        <w:t>53</w:t>
      </w:r>
      <w:r>
        <w:t>.</w:t>
      </w:r>
      <w:r>
        <w:tab/>
        <w:t>Penalty</w:t>
      </w:r>
      <w:bookmarkEnd w:id="107"/>
    </w:p>
    <w:p>
      <w:pPr>
        <w:pStyle w:val="Subsection"/>
      </w:pPr>
      <w:r>
        <w:tab/>
      </w:r>
      <w:r>
        <w:tab/>
        <w:t>A person who commits an offence against these regulations is liable to a penalty of $5 000.</w:t>
      </w:r>
    </w:p>
    <w:p>
      <w:pPr>
        <w:pStyle w:val="Heading5"/>
      </w:pPr>
      <w:bookmarkStart w:id="108" w:name="_Toc401060850"/>
      <w:r>
        <w:rPr>
          <w:rStyle w:val="CharSectno"/>
        </w:rPr>
        <w:t>54</w:t>
      </w:r>
      <w:r>
        <w:t>.</w:t>
      </w:r>
      <w:r>
        <w:tab/>
        <w:t>Fees</w:t>
      </w:r>
      <w:bookmarkEnd w:id="108"/>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Ednotesection"/>
      </w:pPr>
      <w:r>
        <w:t>[</w:t>
      </w:r>
      <w:r>
        <w:rPr>
          <w:b/>
        </w:rPr>
        <w:t>55-57.</w:t>
      </w:r>
      <w:r>
        <w:tab/>
        <w:t>Deleted in Gazette 1 Aug 2014 p. 2816.]</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 w:name="_Toc398884994"/>
      <w:bookmarkStart w:id="110" w:name="_Toc400696799"/>
      <w:bookmarkStart w:id="111" w:name="_Toc401060851"/>
      <w:r>
        <w:rPr>
          <w:rStyle w:val="CharSchNo"/>
        </w:rPr>
        <w:t>Schedule 1</w:t>
      </w:r>
      <w:r>
        <w:t xml:space="preserve"> — </w:t>
      </w:r>
      <w:r>
        <w:rPr>
          <w:rStyle w:val="CharSchText"/>
        </w:rPr>
        <w:t>Controlled waste</w:t>
      </w:r>
      <w:bookmarkEnd w:id="109"/>
      <w:bookmarkEnd w:id="110"/>
      <w:bookmarkEnd w:id="111"/>
    </w:p>
    <w:p>
      <w:pPr>
        <w:pStyle w:val="yShoulderClause"/>
      </w:pPr>
      <w:r>
        <w:t>[r. 2]</w:t>
      </w:r>
    </w:p>
    <w:p>
      <w:pPr>
        <w:pStyle w:val="yMiscellaneousBody"/>
        <w:jc w:val="center"/>
        <w:rPr>
          <w:b/>
        </w:rPr>
      </w:pPr>
      <w:r>
        <w:rPr>
          <w:b/>
        </w:rPr>
        <w:t>Controlled waste</w:t>
      </w:r>
    </w:p>
    <w:p>
      <w:pPr>
        <w:pStyle w:val="yNumberedItem"/>
        <w:ind w:left="0" w:firstLine="0"/>
      </w:pPr>
      <w:r>
        <w:t>Acidic solutions or acids in solid form</w:t>
      </w:r>
    </w:p>
    <w:p>
      <w:pPr>
        <w:pStyle w:val="yNumberedItem"/>
        <w:ind w:left="0" w:firstLine="0"/>
      </w:pPr>
      <w:r>
        <w:t>Animal effluent or residues (including abattoir effluent, poultry, and fish processing waste)</w:t>
      </w:r>
    </w:p>
    <w:p>
      <w:pPr>
        <w:pStyle w:val="yNumberedItem"/>
        <w:ind w:left="0" w:firstLine="0"/>
      </w:pPr>
      <w:r>
        <w:t>Antimony; antimony compounds</w:t>
      </w:r>
    </w:p>
    <w:p>
      <w:pPr>
        <w:pStyle w:val="yNumberedItem"/>
        <w:ind w:left="0" w:firstLine="0"/>
      </w:pPr>
      <w:r>
        <w:t>Arsenic; arsenic compounds</w:t>
      </w:r>
    </w:p>
    <w:p>
      <w:pPr>
        <w:pStyle w:val="yNumberedItem"/>
        <w:ind w:left="0" w:firstLine="0"/>
      </w:pPr>
      <w:r>
        <w:t>Asbestos</w:t>
      </w:r>
    </w:p>
    <w:p>
      <w:pPr>
        <w:pStyle w:val="yNumberedItem"/>
        <w:ind w:left="0" w:firstLine="0"/>
      </w:pPr>
      <w:r>
        <w:t>Barium compounds other than barium sulphate</w:t>
      </w:r>
    </w:p>
    <w:p>
      <w:pPr>
        <w:pStyle w:val="yNumberedItem"/>
        <w:ind w:left="0" w:firstLine="0"/>
      </w:pPr>
      <w:r>
        <w:t>Basic solutions or bases in solid form</w:t>
      </w:r>
    </w:p>
    <w:p>
      <w:pPr>
        <w:pStyle w:val="yNumberedItem"/>
        <w:ind w:left="0" w:firstLine="0"/>
      </w:pPr>
      <w:r>
        <w:t>Beryllium; beryllium compounds</w:t>
      </w:r>
    </w:p>
    <w:p>
      <w:pPr>
        <w:pStyle w:val="yNumberedItem"/>
        <w:ind w:left="0" w:firstLine="0"/>
      </w:pPr>
      <w:r>
        <w:t>Boron compounds</w:t>
      </w:r>
    </w:p>
    <w:p>
      <w:pPr>
        <w:pStyle w:val="yNumberedItem"/>
        <w:ind w:left="0" w:firstLine="0"/>
      </w:pPr>
      <w:r>
        <w:t>Cadmium; cadmium compounds</w:t>
      </w:r>
    </w:p>
    <w:p>
      <w:pPr>
        <w:pStyle w:val="yNumberedItem"/>
        <w:ind w:left="0" w:firstLine="0"/>
      </w:pPr>
      <w:r>
        <w:t>Ceramic based fibres with physio</w:t>
      </w:r>
      <w:r>
        <w:noBreakHyphen/>
        <w:t>chemical characteristics similar to those of asbestos</w:t>
      </w:r>
    </w:p>
    <w:p>
      <w:pPr>
        <w:pStyle w:val="yNumberedItem"/>
        <w:ind w:left="0" w:firstLine="0"/>
      </w:pPr>
      <w:r>
        <w:t>Chlorates</w:t>
      </w:r>
    </w:p>
    <w:p>
      <w:pPr>
        <w:pStyle w:val="yNumberedItem"/>
        <w:ind w:left="0" w:firstLine="0"/>
      </w:pPr>
      <w:r>
        <w:t>Clinical waste</w:t>
      </w:r>
    </w:p>
    <w:p>
      <w:pPr>
        <w:pStyle w:val="yNumberedItem"/>
        <w:ind w:left="0" w:firstLine="0"/>
      </w:pPr>
      <w:r>
        <w:t>Cobalt or cobalt compounds</w:t>
      </w:r>
    </w:p>
    <w:p>
      <w:pPr>
        <w:pStyle w:val="yNumberedItem"/>
        <w:ind w:left="0" w:firstLine="0"/>
      </w:pPr>
      <w:r>
        <w:t>Containers or drums that are contaminated with residues of a controlled waste</w:t>
      </w:r>
    </w:p>
    <w:p>
      <w:pPr>
        <w:pStyle w:val="yNumberedItem"/>
        <w:ind w:left="0" w:firstLine="0"/>
      </w:pPr>
      <w:r>
        <w:t>Copper compounds</w:t>
      </w:r>
    </w:p>
    <w:p>
      <w:pPr>
        <w:pStyle w:val="yNumberedItem"/>
        <w:ind w:left="0" w:firstLine="0"/>
      </w:pPr>
      <w:r>
        <w:t>Chromium compounds (hexavalent or trivalent)</w:t>
      </w:r>
    </w:p>
    <w:p>
      <w:pPr>
        <w:pStyle w:val="yNumberedItem"/>
        <w:ind w:left="0" w:firstLine="0"/>
      </w:pPr>
      <w:r>
        <w:t>Cyanides (inorganic)</w:t>
      </w:r>
    </w:p>
    <w:p>
      <w:pPr>
        <w:pStyle w:val="yNumberedItem"/>
        <w:ind w:left="0" w:firstLine="0"/>
      </w:pPr>
      <w:r>
        <w:t>Cyanides (organic) and nitriles</w:t>
      </w:r>
    </w:p>
    <w:p>
      <w:pPr>
        <w:pStyle w:val="yNumberedItem"/>
        <w:ind w:left="0" w:firstLine="0"/>
      </w:pPr>
      <w:r>
        <w:t>Encapsulated, chemically</w:t>
      </w:r>
      <w:r>
        <w:noBreakHyphen/>
        <w:t>fixed, solidified, or polymerised controlled wastes</w:t>
      </w:r>
    </w:p>
    <w:p>
      <w:pPr>
        <w:pStyle w:val="yNumberedItem"/>
        <w:ind w:left="0" w:firstLine="0"/>
      </w:pPr>
      <w:r>
        <w:t>Ethers</w:t>
      </w:r>
    </w:p>
    <w:p>
      <w:pPr>
        <w:pStyle w:val="yNumberedItem"/>
        <w:ind w:left="0" w:firstLine="0"/>
      </w:pPr>
      <w:r>
        <w:t>Filter cake containing controlled wastes</w:t>
      </w:r>
    </w:p>
    <w:p>
      <w:pPr>
        <w:pStyle w:val="yNumberedItem"/>
        <w:ind w:left="0" w:firstLine="0"/>
      </w:pPr>
      <w:r>
        <w:t>Fire debris or fire washwaters</w:t>
      </w:r>
    </w:p>
    <w:p>
      <w:pPr>
        <w:pStyle w:val="yNumberedItem"/>
        <w:ind w:left="0" w:firstLine="0"/>
      </w:pPr>
      <w:r>
        <w:t>Fly ash other than fly ash generated from Australian coal fired power stations</w:t>
      </w:r>
    </w:p>
    <w:p>
      <w:pPr>
        <w:pStyle w:val="yNumberedItem"/>
        <w:ind w:left="0" w:firstLine="0"/>
      </w:pPr>
      <w:r>
        <w:t>Halogenated organic solvents</w:t>
      </w:r>
    </w:p>
    <w:p>
      <w:pPr>
        <w:pStyle w:val="yNumberedItem"/>
        <w:ind w:left="0" w:firstLine="0"/>
      </w:pPr>
      <w:r>
        <w:t>Highly odorous organic chemicals (including mercaptans and acrylates)</w:t>
      </w:r>
    </w:p>
    <w:p>
      <w:pPr>
        <w:pStyle w:val="yNumberedItem"/>
        <w:ind w:left="0" w:firstLine="0"/>
      </w:pPr>
      <w:r>
        <w:t>Inorganic fluorine compounds excluding calcium fluoride</w:t>
      </w:r>
    </w:p>
    <w:p>
      <w:pPr>
        <w:pStyle w:val="yNumberedItem"/>
        <w:ind w:left="0" w:firstLine="0"/>
      </w:pPr>
      <w:r>
        <w:t>Inorganic sulphides</w:t>
      </w:r>
    </w:p>
    <w:p>
      <w:pPr>
        <w:pStyle w:val="yNumberedItem"/>
        <w:ind w:left="0" w:firstLine="0"/>
      </w:pPr>
      <w:r>
        <w:t>Isocyanate compounds</w:t>
      </w:r>
    </w:p>
    <w:p>
      <w:pPr>
        <w:pStyle w:val="yNumberedItem"/>
        <w:ind w:left="0" w:firstLine="0"/>
      </w:pPr>
      <w:r>
        <w:t>Lead; lead compounds</w:t>
      </w:r>
    </w:p>
    <w:p>
      <w:pPr>
        <w:pStyle w:val="yNumberedItem"/>
        <w:ind w:left="0" w:firstLine="0"/>
      </w:pPr>
      <w:r>
        <w:t>Mercury; mercury compounds</w:t>
      </w:r>
    </w:p>
    <w:p>
      <w:pPr>
        <w:pStyle w:val="yNumberedItem"/>
        <w:ind w:left="0" w:firstLine="0"/>
      </w:pPr>
      <w:r>
        <w:t>Metal carbonyls</w:t>
      </w:r>
    </w:p>
    <w:p>
      <w:pPr>
        <w:pStyle w:val="yNumberedItem"/>
        <w:ind w:left="0" w:firstLine="0"/>
      </w:pPr>
      <w:r>
        <w:t>Nickel compounds</w:t>
      </w:r>
    </w:p>
    <w:p>
      <w:pPr>
        <w:pStyle w:val="yNumberedItem"/>
        <w:ind w:left="0" w:firstLine="0"/>
      </w:pPr>
      <w:r>
        <w:t>Non toxic salts</w:t>
      </w:r>
    </w:p>
    <w:p>
      <w:pPr>
        <w:pStyle w:val="yNumberedItem"/>
        <w:ind w:left="0" w:firstLine="0"/>
      </w:pPr>
      <w:r>
        <w:t>Organic phosphorus compounds</w:t>
      </w:r>
    </w:p>
    <w:p>
      <w:pPr>
        <w:pStyle w:val="yNumberedItem"/>
        <w:ind w:left="0" w:firstLine="0"/>
      </w:pPr>
      <w:r>
        <w:t>Organic solvents excluding halogenated solvents</w:t>
      </w:r>
    </w:p>
    <w:p>
      <w:pPr>
        <w:pStyle w:val="yNumberedItem"/>
        <w:ind w:left="0" w:firstLine="0"/>
      </w:pPr>
      <w:r>
        <w:t>Organochlorine pesticides (OCPs)</w:t>
      </w:r>
    </w:p>
    <w:p>
      <w:pPr>
        <w:pStyle w:val="yNumberedItem"/>
        <w:ind w:left="0" w:firstLine="0"/>
      </w:pPr>
      <w:r>
        <w:t>Organohalogen compounds other than substances referred to elsewhere in this Schedule</w:t>
      </w:r>
    </w:p>
    <w:p>
      <w:pPr>
        <w:pStyle w:val="yNumberedItem"/>
        <w:ind w:left="0" w:firstLine="0"/>
      </w:pPr>
      <w:r>
        <w:t>Oxidising agents</w:t>
      </w:r>
    </w:p>
    <w:p>
      <w:pPr>
        <w:pStyle w:val="yNumberedItem"/>
        <w:ind w:left="0" w:firstLine="0"/>
      </w:pPr>
      <w:r>
        <w:t>Perchlorates</w:t>
      </w:r>
    </w:p>
    <w:p>
      <w:pPr>
        <w:pStyle w:val="yNumberedItem"/>
        <w:ind w:left="0" w:firstLine="0"/>
      </w:pPr>
      <w:r>
        <w:t>Phenols; phenol compounds including chlorophenols</w:t>
      </w:r>
    </w:p>
    <w:p>
      <w:pPr>
        <w:pStyle w:val="yNumberedItem"/>
        <w:ind w:left="0" w:firstLine="0"/>
      </w:pPr>
      <w:r>
        <w:t>Phosphorus compounds other than mineral phosphates</w:t>
      </w:r>
    </w:p>
    <w:p>
      <w:pPr>
        <w:pStyle w:val="yNumberedItem"/>
        <w:ind w:left="0" w:firstLine="0"/>
      </w:pPr>
      <w:r>
        <w:t>Polychlorinated Biphenyls (PCBs)</w:t>
      </w:r>
    </w:p>
    <w:p>
      <w:pPr>
        <w:pStyle w:val="yNumberedItem"/>
        <w:ind w:left="0" w:firstLine="0"/>
      </w:pPr>
      <w:r>
        <w:t>Polychlorinated dibenzo</w:t>
      </w:r>
      <w:r>
        <w:noBreakHyphen/>
        <w:t>furan (any congener)</w:t>
      </w:r>
    </w:p>
    <w:p>
      <w:pPr>
        <w:pStyle w:val="yNumberedItem"/>
        <w:ind w:left="0" w:firstLine="0"/>
      </w:pPr>
      <w:r>
        <w:t>Polychlorinated dibenzo</w:t>
      </w:r>
      <w:r>
        <w:noBreakHyphen/>
        <w:t>p</w:t>
      </w:r>
      <w:r>
        <w:noBreakHyphen/>
        <w:t>dioxin (any congener)</w:t>
      </w:r>
    </w:p>
    <w:p>
      <w:pPr>
        <w:pStyle w:val="yNumberedItem"/>
        <w:ind w:left="0" w:firstLine="0"/>
      </w:pPr>
      <w:r>
        <w:t>Reactive chemicals</w:t>
      </w:r>
    </w:p>
    <w:p>
      <w:pPr>
        <w:pStyle w:val="yNumberedItem"/>
        <w:ind w:left="0" w:firstLine="0"/>
      </w:pPr>
      <w:r>
        <w:t>Reducing agents</w:t>
      </w:r>
    </w:p>
    <w:p>
      <w:pPr>
        <w:pStyle w:val="yNumberedItem"/>
        <w:ind w:left="0" w:firstLine="0"/>
      </w:pPr>
      <w:r>
        <w:t>Residues from industrial waste treatment or disposal operations</w:t>
      </w:r>
    </w:p>
    <w:p>
      <w:pPr>
        <w:pStyle w:val="yNumberedItem"/>
        <w:ind w:left="0" w:firstLine="0"/>
      </w:pPr>
      <w:r>
        <w:t>Selenium; selenium compounds</w:t>
      </w:r>
    </w:p>
    <w:p>
      <w:pPr>
        <w:pStyle w:val="yNumberedItem"/>
        <w:ind w:left="0" w:firstLine="0"/>
      </w:pPr>
      <w:r>
        <w:t>Sewage</w:t>
      </w:r>
    </w:p>
    <w:p>
      <w:pPr>
        <w:pStyle w:val="yNumberedItem"/>
        <w:ind w:left="0" w:firstLine="0"/>
      </w:pPr>
      <w:r>
        <w:t>Soils contaminated with a controlled waste</w:t>
      </w:r>
    </w:p>
    <w:p>
      <w:pPr>
        <w:pStyle w:val="yNumberedItem"/>
        <w:ind w:left="0" w:firstLine="0"/>
      </w:pPr>
      <w:r>
        <w:t>Surface active agents (surfactants), containing mainly organic constituents and which may contain metals and inorganic materials</w:t>
      </w:r>
    </w:p>
    <w:p>
      <w:pPr>
        <w:pStyle w:val="yNumberedItem"/>
        <w:ind w:left="0" w:firstLine="0"/>
      </w:pPr>
      <w:r>
        <w:t>Tannery wastes (including leather dust, ash, sludge, or flours)</w:t>
      </w:r>
    </w:p>
    <w:p>
      <w:pPr>
        <w:pStyle w:val="yNumberedItem"/>
        <w:ind w:left="0" w:firstLine="0"/>
      </w:pPr>
      <w:r>
        <w:t>Tellurium; tellurium compounds</w:t>
      </w:r>
    </w:p>
    <w:p>
      <w:pPr>
        <w:pStyle w:val="yNumberedItem"/>
        <w:ind w:left="0" w:firstLine="0"/>
      </w:pPr>
      <w:r>
        <w:t>Thallium; thallium compounds</w:t>
      </w:r>
    </w:p>
    <w:p>
      <w:pPr>
        <w:pStyle w:val="yNumberedItem"/>
        <w:ind w:left="0" w:firstLine="0"/>
      </w:pPr>
      <w:r>
        <w:t>Triethylamine catalysts for setting foundry sands</w:t>
      </w:r>
    </w:p>
    <w:p>
      <w:pPr>
        <w:pStyle w:val="yNumberedItem"/>
        <w:ind w:left="0" w:firstLine="0"/>
      </w:pPr>
      <w:r>
        <w:t>Tyres</w:t>
      </w:r>
    </w:p>
    <w:p>
      <w:pPr>
        <w:pStyle w:val="yNumberedItem"/>
        <w:ind w:left="0" w:firstLine="0"/>
      </w:pPr>
      <w:r>
        <w:t>Vanadium compounds</w:t>
      </w:r>
    </w:p>
    <w:p>
      <w:pPr>
        <w:pStyle w:val="yNumberedItem"/>
        <w:ind w:left="0" w:firstLine="0"/>
      </w:pPr>
      <w:r>
        <w:t>Vegetable and food processing waste</w:t>
      </w:r>
    </w:p>
    <w:p>
      <w:pPr>
        <w:pStyle w:val="yNumberedItem"/>
        <w:ind w:left="0" w:firstLine="0"/>
      </w:pPr>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r>
        <w:t>Waste containing peroxides other than hydrogen peroxide</w:t>
      </w:r>
    </w:p>
    <w:p>
      <w:pPr>
        <w:pStyle w:val="yNumberedItem"/>
        <w:ind w:left="0" w:firstLine="0"/>
      </w:pPr>
      <w:r>
        <w:t>Waste from grease traps</w:t>
      </w:r>
    </w:p>
    <w:p>
      <w:pPr>
        <w:pStyle w:val="yNumberedItem"/>
        <w:ind w:left="0" w:firstLine="0"/>
      </w:pPr>
      <w:r>
        <w:t>Waste from heat treatment or tempering operations containing cyanides</w:t>
      </w:r>
    </w:p>
    <w:p>
      <w:pPr>
        <w:pStyle w:val="yNumberedItem"/>
        <w:ind w:left="0" w:firstLine="0"/>
      </w:pPr>
      <w:r>
        <w:t>Waste from the manufacture, formulation, or use of wood</w:t>
      </w:r>
      <w:r>
        <w:noBreakHyphen/>
        <w:t>preserving chemicals</w:t>
      </w:r>
    </w:p>
    <w:p>
      <w:pPr>
        <w:pStyle w:val="yNumberedItem"/>
        <w:ind w:left="0" w:firstLine="0"/>
      </w:pPr>
      <w:r>
        <w:t>Waste from the production, formulation, or use of biocides and phytopharmaceuticals</w:t>
      </w:r>
    </w:p>
    <w:p>
      <w:pPr>
        <w:pStyle w:val="yNumberedItem"/>
        <w:ind w:left="0" w:firstLine="0"/>
      </w:pPr>
      <w:r>
        <w:t>Waste from the production, formulation, or use of inks, dyes, pigments, paints, lacquers, or varnish</w:t>
      </w:r>
    </w:p>
    <w:p>
      <w:pPr>
        <w:pStyle w:val="yNumberedItem"/>
        <w:ind w:left="0" w:firstLine="0"/>
      </w:pPr>
      <w:r>
        <w:t>Waste from the production, formulation, or use of organic solvents</w:t>
      </w:r>
    </w:p>
    <w:p>
      <w:pPr>
        <w:pStyle w:val="yNumberedItem"/>
        <w:ind w:left="0" w:firstLine="0"/>
      </w:pPr>
      <w:r>
        <w:t>Waste from the production, formulation, or use of photographic chemicals or processing material</w:t>
      </w:r>
    </w:p>
    <w:p>
      <w:pPr>
        <w:pStyle w:val="yNumberedItem"/>
        <w:ind w:left="0" w:firstLine="0"/>
      </w:pPr>
      <w:r>
        <w:t>Waste from the production, formulation, or use of resins, latex, plasticisers, glues, or adhesives</w:t>
      </w:r>
    </w:p>
    <w:p>
      <w:pPr>
        <w:pStyle w:val="yNumberedItem"/>
        <w:ind w:left="0" w:firstLine="0"/>
      </w:pPr>
      <w:r>
        <w:t>Waste from the production or preparation of pharmaceutical products</w:t>
      </w:r>
    </w:p>
    <w:p>
      <w:pPr>
        <w:pStyle w:val="yNumberedItem"/>
        <w:ind w:left="0" w:firstLine="0"/>
      </w:pPr>
      <w:r>
        <w:t>Waste mineral oils unfit for their intended use</w:t>
      </w:r>
    </w:p>
    <w:p>
      <w:pPr>
        <w:pStyle w:val="yNumberedItem"/>
        <w:ind w:left="0" w:firstLine="0"/>
      </w:pPr>
      <w:r>
        <w:t>Waste oil and water, or hydrocarbons and water, mixtures or emulsions</w:t>
      </w:r>
    </w:p>
    <w:p>
      <w:pPr>
        <w:pStyle w:val="yNumberedItem"/>
        <w:ind w:left="0" w:firstLine="0"/>
      </w:pPr>
      <w:r>
        <w:t>Waste pharmaceuticals drugs or medicines</w:t>
      </w:r>
    </w:p>
    <w:p>
      <w:pPr>
        <w:pStyle w:val="yNumberedItem"/>
        <w:ind w:left="0" w:firstLine="0"/>
      </w:pPr>
      <w:r>
        <w:t>Waste resulting from surface treatments of metals or plastics</w:t>
      </w:r>
    </w:p>
    <w:p>
      <w:pPr>
        <w:pStyle w:val="yNumberedItem"/>
        <w:ind w:left="0" w:firstLine="0"/>
      </w:pPr>
      <w:r>
        <w:t>Waste tarry residues arising from refining, distillation, or pyrolytic treatment</w:t>
      </w:r>
    </w:p>
    <w:p>
      <w:pPr>
        <w:pStyle w:val="yNumberedItem"/>
        <w:ind w:left="0" w:firstLine="0"/>
      </w:pPr>
      <w:r>
        <w:t>Waste, substances, or articles containing or contaminated by polychlorinated biphenyls (PCBs), polychlorinated napthalenes (PCNs), polychlorinated terphenyls (PCTs), or polybrominated biphenyls (PBBs)</w:t>
      </w:r>
    </w:p>
    <w:p>
      <w:pPr>
        <w:pStyle w:val="yNumberedItem"/>
        <w:ind w:left="0" w:firstLine="0"/>
      </w:pPr>
      <w:r>
        <w:t>Wastes of an explosive nature not subject to any other written law</w:t>
      </w:r>
    </w:p>
    <w:p>
      <w:pPr>
        <w:pStyle w:val="yNumberedItem"/>
        <w:ind w:left="0" w:firstLine="0"/>
      </w:pPr>
      <w:r>
        <w:t>Wool scouring wastes</w:t>
      </w:r>
    </w:p>
    <w:p>
      <w:pPr>
        <w:pStyle w:val="yNumberedItem"/>
        <w:ind w:left="0" w:firstLine="0"/>
      </w:pPr>
      <w:r>
        <w:t>Zinc compounds</w:t>
      </w:r>
    </w:p>
    <w:p>
      <w:pPr>
        <w:pStyle w:val="yFootnotesection"/>
      </w:pPr>
      <w:r>
        <w:tab/>
        <w:t>[Schedule 1 amended in Gazette 1 Aug 2014 p. 2817-18.]</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2" w:name="_Toc398884995"/>
      <w:bookmarkStart w:id="113" w:name="_Toc400696800"/>
      <w:bookmarkStart w:id="114" w:name="_Toc401060852"/>
      <w:r>
        <w:rPr>
          <w:rStyle w:val="CharSchNo"/>
        </w:rPr>
        <w:t>Schedule 2</w:t>
      </w:r>
      <w:r>
        <w:t> — </w:t>
      </w:r>
      <w:r>
        <w:rPr>
          <w:rStyle w:val="CharSchText"/>
        </w:rPr>
        <w:t>Transport information</w:t>
      </w:r>
      <w:bookmarkEnd w:id="112"/>
      <w:bookmarkEnd w:id="113"/>
      <w:bookmarkEnd w:id="114"/>
    </w:p>
    <w:p>
      <w:pPr>
        <w:pStyle w:val="yShoulderClause"/>
      </w:pPr>
      <w:r>
        <w:t>[r. 25, 28, 29, 32, 35, 40, 41A, 41]</w:t>
      </w:r>
    </w:p>
    <w:p>
      <w:pPr>
        <w:pStyle w:val="yFootnoteheading"/>
      </w:pPr>
      <w:r>
        <w:tab/>
        <w:t>[Heading inserted in Gazette 1 Aug 2014 p. 2818.]</w:t>
      </w:r>
    </w:p>
    <w:p>
      <w:pPr>
        <w:pStyle w:val="yHeading3"/>
      </w:pPr>
      <w:bookmarkStart w:id="115" w:name="_Toc398884996"/>
      <w:bookmarkStart w:id="116" w:name="_Toc400696801"/>
      <w:bookmarkStart w:id="117" w:name="_Toc401060853"/>
      <w:r>
        <w:rPr>
          <w:rStyle w:val="CharSDivNo"/>
        </w:rPr>
        <w:t>Division 1</w:t>
      </w:r>
      <w:r>
        <w:rPr>
          <w:b w:val="0"/>
        </w:rPr>
        <w:t> — </w:t>
      </w:r>
      <w:r>
        <w:rPr>
          <w:rStyle w:val="CharSDivText"/>
        </w:rPr>
        <w:t>Information to be provided by driver to waste holder</w:t>
      </w:r>
      <w:bookmarkEnd w:id="115"/>
      <w:bookmarkEnd w:id="116"/>
      <w:bookmarkEnd w:id="117"/>
    </w:p>
    <w:p>
      <w:pPr>
        <w:pStyle w:val="yFootnoteheading"/>
      </w:pPr>
      <w:r>
        <w:tab/>
        <w:t>[Heading inserted in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in Gazette 1 Aug 2014 p. 2818.]</w:t>
      </w:r>
    </w:p>
    <w:p>
      <w:pPr>
        <w:pStyle w:val="yHeading3"/>
      </w:pPr>
      <w:bookmarkStart w:id="118" w:name="_Toc398884997"/>
      <w:bookmarkStart w:id="119" w:name="_Toc400696802"/>
      <w:bookmarkStart w:id="120" w:name="_Toc401060854"/>
      <w:r>
        <w:rPr>
          <w:rStyle w:val="CharSDivNo"/>
        </w:rPr>
        <w:t>Division 2</w:t>
      </w:r>
      <w:r>
        <w:rPr>
          <w:b w:val="0"/>
        </w:rPr>
        <w:t> — </w:t>
      </w:r>
      <w:r>
        <w:rPr>
          <w:rStyle w:val="CharSDivText"/>
        </w:rPr>
        <w:t>Information to be provided by waste holder</w:t>
      </w:r>
      <w:bookmarkEnd w:id="118"/>
      <w:bookmarkEnd w:id="119"/>
      <w:bookmarkEnd w:id="120"/>
    </w:p>
    <w:p>
      <w:pPr>
        <w:pStyle w:val="yFootnoteheading"/>
      </w:pPr>
      <w:r>
        <w:tab/>
        <w:t>[Heading inserted in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in Gazette 1 Aug 2014 p. 2818.]</w:t>
      </w:r>
    </w:p>
    <w:p>
      <w:pPr>
        <w:pStyle w:val="yHeading3"/>
      </w:pPr>
      <w:bookmarkStart w:id="121" w:name="_Toc398884998"/>
      <w:bookmarkStart w:id="122" w:name="_Toc400696803"/>
      <w:bookmarkStart w:id="123" w:name="_Toc401060855"/>
      <w:r>
        <w:rPr>
          <w:rStyle w:val="CharSDivNo"/>
        </w:rPr>
        <w:t>Division 3</w:t>
      </w:r>
      <w:r>
        <w:t> — </w:t>
      </w:r>
      <w:r>
        <w:rPr>
          <w:rStyle w:val="CharSDivText"/>
        </w:rPr>
        <w:t>Information to be recorded on controlled waste tracking form</w:t>
      </w:r>
      <w:bookmarkEnd w:id="121"/>
      <w:bookmarkEnd w:id="122"/>
      <w:bookmarkEnd w:id="123"/>
    </w:p>
    <w:p>
      <w:pPr>
        <w:pStyle w:val="yFootnoteheading"/>
      </w:pPr>
      <w:r>
        <w:tab/>
        <w:t>[Heading inserted in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in Gazette 1 Aug 2014 p. 2819.]</w:t>
      </w:r>
    </w:p>
    <w:p>
      <w:pPr>
        <w:pStyle w:val="yHeading3"/>
      </w:pPr>
      <w:bookmarkStart w:id="124" w:name="_Toc398884999"/>
      <w:bookmarkStart w:id="125" w:name="_Toc400696804"/>
      <w:bookmarkStart w:id="126" w:name="_Toc401060856"/>
      <w:r>
        <w:rPr>
          <w:rStyle w:val="CharSDivNo"/>
        </w:rPr>
        <w:t>Division 4</w:t>
      </w:r>
      <w:r>
        <w:rPr>
          <w:b w:val="0"/>
        </w:rPr>
        <w:t> — </w:t>
      </w:r>
      <w:r>
        <w:rPr>
          <w:rStyle w:val="CharSDivText"/>
        </w:rPr>
        <w:t>Information to be recorded by the occupier of waste facility</w:t>
      </w:r>
      <w:bookmarkEnd w:id="124"/>
      <w:bookmarkEnd w:id="125"/>
      <w:bookmarkEnd w:id="126"/>
    </w:p>
    <w:p>
      <w:pPr>
        <w:pStyle w:val="yFootnoteheading"/>
      </w:pPr>
      <w:r>
        <w:tab/>
        <w:t>[Heading inserted in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in Gazette 1 Aug 2014 p. 2819-20.]</w:t>
      </w:r>
    </w:p>
    <w:p>
      <w:pPr>
        <w:pStyle w:val="yScheduleHeading"/>
      </w:pPr>
      <w:bookmarkStart w:id="127" w:name="_Toc398885000"/>
      <w:bookmarkStart w:id="128" w:name="_Toc400696805"/>
      <w:bookmarkStart w:id="129" w:name="_Toc401060857"/>
      <w:r>
        <w:rPr>
          <w:rStyle w:val="CharSchNo"/>
        </w:rPr>
        <w:t>Schedule 3</w:t>
      </w:r>
      <w:r>
        <w:rPr>
          <w:rStyle w:val="CharSDivNo"/>
        </w:rPr>
        <w:t> </w:t>
      </w:r>
      <w:r>
        <w:t>—</w:t>
      </w:r>
      <w:r>
        <w:rPr>
          <w:rStyle w:val="CharSDivText"/>
        </w:rPr>
        <w:t> </w:t>
      </w:r>
      <w:r>
        <w:rPr>
          <w:rStyle w:val="CharSchText"/>
        </w:rPr>
        <w:t>Fees</w:t>
      </w:r>
      <w:bookmarkEnd w:id="127"/>
      <w:bookmarkEnd w:id="128"/>
      <w:bookmarkEnd w:id="129"/>
    </w:p>
    <w:p>
      <w:pPr>
        <w:pStyle w:val="yShoulderClause"/>
      </w:pPr>
      <w:r>
        <w:t>[r. 54]</w:t>
      </w:r>
    </w:p>
    <w:p>
      <w:pPr>
        <w:pStyle w:val="yFootnoteheading"/>
        <w:spacing w:after="60"/>
      </w:pPr>
      <w:r>
        <w:tab/>
        <w:t>[Heading inserted in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 in Gazette 1 Aug 2014 p. 2820-1.]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tabs>
          <w:tab w:val="left" w:pos="459"/>
        </w:tabs>
        <w:ind w:left="459" w:hanging="459"/>
        <w:sectPr>
          <w:headerReference w:type="even" r:id="rId34"/>
          <w:headerReference w:type="defaul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130" w:name="_Toc398885001"/>
      <w:bookmarkStart w:id="131" w:name="_Toc400696806"/>
      <w:bookmarkStart w:id="132" w:name="_Toc401060858"/>
      <w:r>
        <w:t>Notes</w:t>
      </w:r>
      <w:bookmarkEnd w:id="130"/>
      <w:bookmarkEnd w:id="131"/>
      <w:bookmarkEnd w:id="132"/>
    </w:p>
    <w:p>
      <w:pPr>
        <w:pStyle w:val="nSubsection"/>
        <w:rPr>
          <w:snapToGrid w:val="0"/>
        </w:rPr>
      </w:pPr>
      <w:r>
        <w:rPr>
          <w:snapToGrid w:val="0"/>
          <w:vertAlign w:val="superscript"/>
        </w:rPr>
        <w:t>1</w:t>
      </w:r>
      <w:r>
        <w:rPr>
          <w:snapToGrid w:val="0"/>
        </w:rPr>
        <w:tab/>
        <w:t xml:space="preserve">This reprint is a compilation as at 3 October 2014 of the </w:t>
      </w:r>
      <w:r>
        <w:rPr>
          <w:i/>
          <w:noProof/>
          <w:snapToGrid w:val="0"/>
        </w:rPr>
        <w:t>Environmental Protection (Controlled Waste)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3" w:name="_Toc401060859"/>
      <w: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Environmental Protection (Controlled Waste) Regulations 2004</w:t>
            </w:r>
          </w:p>
        </w:tc>
        <w:tc>
          <w:tcPr>
            <w:tcW w:w="1276" w:type="dxa"/>
            <w:tcBorders>
              <w:top w:val="single" w:sz="8" w:space="0" w:color="auto"/>
            </w:tcBorders>
          </w:tcPr>
          <w:p>
            <w:pPr>
              <w:pStyle w:val="nTable"/>
              <w:spacing w:after="40"/>
              <w:rPr>
                <w:sz w:val="19"/>
              </w:rPr>
            </w:pPr>
            <w:r>
              <w:rPr>
                <w:sz w:val="19"/>
              </w:rPr>
              <w:t>1 Jul 2004 p. 2627</w:t>
            </w:r>
            <w:r>
              <w:rPr>
                <w:sz w:val="19"/>
              </w:rPr>
              <w:noBreakHyphen/>
              <w:t>73</w:t>
            </w:r>
          </w:p>
        </w:tc>
        <w:tc>
          <w:tcPr>
            <w:tcW w:w="2693" w:type="dxa"/>
            <w:tcBorders>
              <w:top w:val="single" w:sz="8" w:space="0" w:color="auto"/>
            </w:tcBorders>
          </w:tcPr>
          <w:p>
            <w:pPr>
              <w:pStyle w:val="nTable"/>
              <w:spacing w:after="40"/>
              <w:rPr>
                <w:sz w:val="19"/>
              </w:rPr>
            </w:pPr>
            <w:r>
              <w:rPr>
                <w:sz w:val="19"/>
              </w:rPr>
              <w:t xml:space="preserve">1 Jul 2004 </w:t>
            </w:r>
          </w:p>
        </w:tc>
      </w:tr>
      <w:tr>
        <w:tc>
          <w:tcPr>
            <w:tcW w:w="3118" w:type="dxa"/>
          </w:tcPr>
          <w:p>
            <w:pPr>
              <w:pStyle w:val="nTable"/>
              <w:spacing w:after="40"/>
              <w:rPr>
                <w:i/>
                <w:sz w:val="19"/>
              </w:rPr>
            </w:pPr>
            <w:r>
              <w:rPr>
                <w:i/>
                <w:sz w:val="19"/>
              </w:rPr>
              <w:t>Environmental Protection (Controlled Waste) Amendment Regulations 2007</w:t>
            </w:r>
          </w:p>
        </w:tc>
        <w:tc>
          <w:tcPr>
            <w:tcW w:w="1276" w:type="dxa"/>
          </w:tcPr>
          <w:p>
            <w:pPr>
              <w:pStyle w:val="nTable"/>
              <w:spacing w:after="40"/>
              <w:rPr>
                <w:sz w:val="19"/>
              </w:rPr>
            </w:pPr>
            <w:r>
              <w:rPr>
                <w:sz w:val="19"/>
              </w:rPr>
              <w:t>13 Apr 2007 p. 1669-71</w:t>
            </w:r>
          </w:p>
        </w:tc>
        <w:tc>
          <w:tcPr>
            <w:tcW w:w="2693" w:type="dxa"/>
          </w:tcPr>
          <w:p>
            <w:pPr>
              <w:pStyle w:val="nTable"/>
              <w:spacing w:after="40"/>
              <w:rPr>
                <w:sz w:val="19"/>
              </w:rPr>
            </w:pPr>
            <w:r>
              <w:rPr>
                <w:sz w:val="19"/>
              </w:rPr>
              <w:t>16 Apr 2007 (see r. 2)</w:t>
            </w:r>
          </w:p>
        </w:tc>
      </w:tr>
      <w:tr>
        <w:tc>
          <w:tcPr>
            <w:tcW w:w="3118" w:type="dxa"/>
          </w:tcPr>
          <w:p>
            <w:pPr>
              <w:pStyle w:val="nTable"/>
              <w:spacing w:after="40"/>
              <w:rPr>
                <w:iCs/>
                <w:sz w:val="19"/>
              </w:rPr>
            </w:pPr>
            <w:r>
              <w:rPr>
                <w:i/>
                <w:sz w:val="19"/>
              </w:rPr>
              <w:t>Waste Avoidance and Resource Recovery Regulations 2008</w:t>
            </w:r>
            <w:r>
              <w:rPr>
                <w:iCs/>
                <w:sz w:val="19"/>
              </w:rPr>
              <w:t xml:space="preserve"> r. 23</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c>
          <w:tcPr>
            <w:tcW w:w="3118" w:type="dxa"/>
          </w:tcPr>
          <w:p>
            <w:pPr>
              <w:pStyle w:val="nTable"/>
              <w:spacing w:after="40"/>
              <w:rPr>
                <w:i/>
                <w:sz w:val="19"/>
              </w:rPr>
            </w:pPr>
            <w:r>
              <w:rPr>
                <w:i/>
                <w:sz w:val="19"/>
              </w:rPr>
              <w:t>Environmental Protection (Controlled Waste) Amendment Regulations 2012</w:t>
            </w:r>
          </w:p>
        </w:tc>
        <w:tc>
          <w:tcPr>
            <w:tcW w:w="1276" w:type="dxa"/>
          </w:tcPr>
          <w:p>
            <w:pPr>
              <w:pStyle w:val="nTable"/>
              <w:spacing w:after="40"/>
              <w:rPr>
                <w:sz w:val="19"/>
              </w:rPr>
            </w:pPr>
            <w:r>
              <w:rPr>
                <w:sz w:val="19"/>
              </w:rPr>
              <w:t>5 Apr 2012 p. 1599-600</w:t>
            </w:r>
          </w:p>
        </w:tc>
        <w:tc>
          <w:tcPr>
            <w:tcW w:w="2693" w:type="dxa"/>
          </w:tcPr>
          <w:p>
            <w:pPr>
              <w:pStyle w:val="nTable"/>
              <w:spacing w:after="40"/>
              <w:rPr>
                <w:sz w:val="19"/>
              </w:rPr>
            </w:pPr>
            <w:r>
              <w:rPr>
                <w:sz w:val="19"/>
              </w:rPr>
              <w:t>r. 1 and 2: 5 Apr 2012 (see r. 2(a));</w:t>
            </w:r>
            <w:r>
              <w:rPr>
                <w:sz w:val="19"/>
              </w:rPr>
              <w:br/>
              <w:t>Regulations other than r. 1 and 2: 6 Apr 2012 (see r. 2(b))</w:t>
            </w:r>
          </w:p>
        </w:tc>
      </w:tr>
      <w:tr>
        <w:tc>
          <w:tcPr>
            <w:tcW w:w="3118" w:type="dxa"/>
          </w:tcPr>
          <w:p>
            <w:pPr>
              <w:pStyle w:val="nTable"/>
              <w:spacing w:after="40"/>
              <w:rPr>
                <w:i/>
                <w:sz w:val="19"/>
              </w:rPr>
            </w:pPr>
            <w:r>
              <w:rPr>
                <w:i/>
                <w:sz w:val="19"/>
              </w:rPr>
              <w:t>Environmental Protection (Controlled Waste) Amendment Regulations (No. 2) 2013</w:t>
            </w:r>
          </w:p>
        </w:tc>
        <w:tc>
          <w:tcPr>
            <w:tcW w:w="1276" w:type="dxa"/>
          </w:tcPr>
          <w:p>
            <w:pPr>
              <w:pStyle w:val="nTable"/>
              <w:spacing w:after="40"/>
              <w:rPr>
                <w:sz w:val="19"/>
              </w:rPr>
            </w:pPr>
            <w:r>
              <w:rPr>
                <w:sz w:val="19"/>
              </w:rPr>
              <w:t>14 Nov 2013 p. 5039</w:t>
            </w:r>
            <w:r>
              <w:rPr>
                <w:sz w:val="19"/>
              </w:rPr>
              <w:noBreakHyphen/>
              <w:t>40</w:t>
            </w:r>
          </w:p>
        </w:tc>
        <w:tc>
          <w:tcPr>
            <w:tcW w:w="2693" w:type="dxa"/>
          </w:tcPr>
          <w:p>
            <w:pPr>
              <w:pStyle w:val="nTable"/>
              <w:spacing w:after="40"/>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3118" w:type="dxa"/>
          </w:tcPr>
          <w:p>
            <w:pPr>
              <w:pStyle w:val="nTable"/>
              <w:spacing w:after="40"/>
              <w:rPr>
                <w:i/>
                <w:sz w:val="19"/>
              </w:rPr>
            </w:pPr>
            <w:r>
              <w:rPr>
                <w:i/>
                <w:sz w:val="19"/>
              </w:rPr>
              <w:t>Environmental Protection (Controlled Waste) Amendment Regulations 2014</w:t>
            </w:r>
          </w:p>
        </w:tc>
        <w:tc>
          <w:tcPr>
            <w:tcW w:w="1276" w:type="dxa"/>
          </w:tcPr>
          <w:p>
            <w:pPr>
              <w:pStyle w:val="nTable"/>
              <w:spacing w:after="40"/>
              <w:rPr>
                <w:sz w:val="19"/>
              </w:rPr>
            </w:pPr>
            <w:r>
              <w:rPr>
                <w:sz w:val="19"/>
              </w:rPr>
              <w:t>1 Aug 2014 p. 2787-821</w:t>
            </w:r>
          </w:p>
        </w:tc>
        <w:tc>
          <w:tcPr>
            <w:tcW w:w="2693" w:type="dxa"/>
          </w:tcPr>
          <w:p>
            <w:pPr>
              <w:pStyle w:val="nTable"/>
              <w:spacing w:after="40"/>
              <w:rPr>
                <w:sz w:val="19"/>
                <w:szCs w:val="19"/>
              </w:rPr>
            </w:pPr>
            <w:r>
              <w:rPr>
                <w:sz w:val="19"/>
                <w:szCs w:val="19"/>
              </w:rPr>
              <w:t>r. 1 and 2: 1 Aug 2014 (see r. 2(a));</w:t>
            </w:r>
            <w:r>
              <w:rPr>
                <w:sz w:val="19"/>
                <w:szCs w:val="19"/>
              </w:rPr>
              <w:br/>
              <w:t>Regulations other than r. 1 and 2: 2 Aug 2014 (see r. 2(b))</w:t>
            </w:r>
          </w:p>
        </w:tc>
      </w:tr>
      <w:tr>
        <w:tc>
          <w:tcPr>
            <w:tcW w:w="7087" w:type="dxa"/>
            <w:gridSpan w:val="3"/>
            <w:tcBorders>
              <w:bottom w:val="single" w:sz="8" w:space="0" w:color="auto"/>
            </w:tcBorders>
            <w:shd w:val="clear" w:color="auto" w:fill="auto"/>
          </w:tcPr>
          <w:p>
            <w:pPr>
              <w:pStyle w:val="nTable"/>
              <w:spacing w:after="40"/>
              <w:rPr>
                <w:sz w:val="19"/>
                <w:szCs w:val="19"/>
              </w:rPr>
            </w:pPr>
            <w:r>
              <w:rPr>
                <w:b/>
                <w:sz w:val="19"/>
              </w:rPr>
              <w:t>Reprint 1: The</w:t>
            </w:r>
            <w:r>
              <w:rPr>
                <w:b/>
                <w:i/>
                <w:sz w:val="19"/>
              </w:rPr>
              <w:t xml:space="preserve"> Environmental Protection (Controlled Waste) Regulations 2004 </w:t>
            </w:r>
            <w:r>
              <w:rPr>
                <w:b/>
                <w:sz w:val="19"/>
              </w:rPr>
              <w:t>as at 3 Oct 2014</w:t>
            </w:r>
            <w:r>
              <w:rPr>
                <w:sz w:val="19"/>
              </w:rPr>
              <w:t xml:space="preserve"> (includes amendments listed above)</w:t>
            </w:r>
          </w:p>
        </w:tc>
      </w:tr>
    </w:tbl>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34" w:name="_Toc398885003"/>
      <w:bookmarkStart w:id="135" w:name="_Toc400696808"/>
      <w:bookmarkStart w:id="136" w:name="_Toc401060860"/>
      <w:r>
        <w:rPr>
          <w:sz w:val="28"/>
        </w:rPr>
        <w:t>Defined terms</w:t>
      </w:r>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 w:name="DefinedTerms"/>
      <w:bookmarkEnd w:id="137"/>
      <w:r>
        <w:t>apparatus for the treatment of sewage</w:t>
      </w:r>
      <w:r>
        <w:tab/>
        <w:t>2</w:t>
      </w:r>
    </w:p>
    <w:p>
      <w:pPr>
        <w:pStyle w:val="DefinedTerms"/>
      </w:pPr>
      <w:r>
        <w:t>approved</w:t>
      </w:r>
      <w:r>
        <w:tab/>
        <w:t>2</w:t>
      </w:r>
    </w:p>
    <w:p>
      <w:pPr>
        <w:pStyle w:val="DefinedTerms"/>
      </w:pPr>
      <w:r>
        <w:t>asbestos</w:t>
      </w:r>
      <w:r>
        <w:tab/>
        <w:t>42</w:t>
      </w:r>
    </w:p>
    <w:p>
      <w:pPr>
        <w:pStyle w:val="DefinedTerms"/>
      </w:pPr>
      <w:r>
        <w:t>assign</w:t>
      </w:r>
      <w:r>
        <w:tab/>
        <w:t>25A</w:t>
      </w:r>
    </w:p>
    <w:p>
      <w:pPr>
        <w:pStyle w:val="DefinedTerms"/>
      </w:pPr>
      <w:r>
        <w:t>assignee</w:t>
      </w:r>
      <w:r>
        <w:tab/>
        <w:t>25A</w:t>
      </w:r>
    </w:p>
    <w:p>
      <w:pPr>
        <w:pStyle w:val="DefinedTerms"/>
      </w:pPr>
      <w:r>
        <w:t>assignment time</w:t>
      </w:r>
      <w:r>
        <w:tab/>
        <w:t>25A</w:t>
      </w:r>
    </w:p>
    <w:p>
      <w:pPr>
        <w:pStyle w:val="DefinedTerms"/>
      </w:pPr>
      <w:r>
        <w:t>bulk controlled waste</w:t>
      </w:r>
      <w:r>
        <w:tab/>
        <w:t>2</w:t>
      </w:r>
    </w:p>
    <w:p>
      <w:pPr>
        <w:pStyle w:val="DefinedTerms"/>
      </w:pPr>
      <w:r>
        <w:t>carrier</w:t>
      </w:r>
      <w:r>
        <w:tab/>
        <w:t>2</w:t>
      </w:r>
    </w:p>
    <w:p>
      <w:pPr>
        <w:pStyle w:val="DefinedTerms"/>
      </w:pPr>
      <w:r>
        <w:t>clinical waste</w:t>
      </w:r>
      <w:r>
        <w:tab/>
        <w:t>2</w:t>
      </w:r>
    </w:p>
    <w:p>
      <w:pPr>
        <w:pStyle w:val="DefinedTerms"/>
      </w:pPr>
      <w:r>
        <w:t>consignment day</w:t>
      </w:r>
      <w:r>
        <w:tab/>
        <w:t>36(2)</w:t>
      </w:r>
    </w:p>
    <w:p>
      <w:pPr>
        <w:pStyle w:val="DefinedTerms"/>
      </w:pPr>
      <w:r>
        <w:t>containment type</w:t>
      </w:r>
      <w:r>
        <w:tab/>
        <w:t>49(2C)</w:t>
      </w:r>
    </w:p>
    <w:p>
      <w:pPr>
        <w:pStyle w:val="DefinedTerms"/>
      </w:pPr>
      <w:r>
        <w:t>controlled waste</w:t>
      </w:r>
      <w:r>
        <w:tab/>
        <w:t>2</w:t>
      </w:r>
    </w:p>
    <w:p>
      <w:pPr>
        <w:pStyle w:val="DefinedTerms"/>
      </w:pPr>
      <w:r>
        <w:t>controlled waste tracking form</w:t>
      </w:r>
      <w:r>
        <w:tab/>
        <w:t>2</w:t>
      </w:r>
    </w:p>
    <w:p>
      <w:pPr>
        <w:pStyle w:val="DefinedTerms"/>
      </w:pPr>
      <w:r>
        <w:t>controlled waste tracking form information</w:t>
      </w:r>
      <w:r>
        <w:tab/>
        <w:t>32A(1)</w:t>
      </w:r>
    </w:p>
    <w:p>
      <w:pPr>
        <w:pStyle w:val="DefinedTerms"/>
      </w:pPr>
      <w:r>
        <w:t>controlled waste tracking number</w:t>
      </w:r>
      <w:r>
        <w:tab/>
        <w:t>2</w:t>
      </w:r>
    </w:p>
    <w:p>
      <w:pPr>
        <w:pStyle w:val="DefinedTerms"/>
      </w:pPr>
      <w:r>
        <w:t>corresponding law</w:t>
      </w:r>
      <w:r>
        <w:tab/>
        <w:t>2</w:t>
      </w:r>
    </w:p>
    <w:p>
      <w:pPr>
        <w:pStyle w:val="DefinedTerms"/>
      </w:pPr>
      <w:r>
        <w:t>former holder of the licence</w:t>
      </w:r>
      <w:r>
        <w:tab/>
        <w:t>25E(1)</w:t>
      </w:r>
    </w:p>
    <w:p>
      <w:pPr>
        <w:pStyle w:val="DefinedTerms"/>
      </w:pPr>
      <w:r>
        <w:t>interstate licence</w:t>
      </w:r>
      <w:r>
        <w:tab/>
        <w:t>2</w:t>
      </w:r>
    </w:p>
    <w:p>
      <w:pPr>
        <w:pStyle w:val="DefinedTerms"/>
      </w:pPr>
      <w:r>
        <w:t>licence</w:t>
      </w:r>
      <w:r>
        <w:tab/>
        <w:t>2, 25A</w:t>
      </w:r>
    </w:p>
    <w:p>
      <w:pPr>
        <w:pStyle w:val="DefinedTerms"/>
      </w:pPr>
      <w:r>
        <w:t>material containing asbestos</w:t>
      </w:r>
      <w:r>
        <w:tab/>
        <w:t>42</w:t>
      </w:r>
    </w:p>
    <w:p>
      <w:pPr>
        <w:pStyle w:val="DefinedTerms"/>
      </w:pPr>
      <w:r>
        <w:t>packaged controlled waste</w:t>
      </w:r>
      <w:r>
        <w:tab/>
        <w:t>2</w:t>
      </w:r>
    </w:p>
    <w:p>
      <w:pPr>
        <w:pStyle w:val="DefinedTerms"/>
      </w:pPr>
      <w:r>
        <w:t>relevant controlled waste</w:t>
      </w:r>
      <w:r>
        <w:tab/>
        <w:t>49(2C)</w:t>
      </w:r>
    </w:p>
    <w:p>
      <w:pPr>
        <w:pStyle w:val="DefinedTerms"/>
      </w:pPr>
      <w:r>
        <w:t>sewage</w:t>
      </w:r>
      <w:r>
        <w:tab/>
        <w:t>2</w:t>
      </w:r>
    </w:p>
    <w:p>
      <w:pPr>
        <w:pStyle w:val="DefinedTerms"/>
      </w:pPr>
      <w:r>
        <w:t>solid</w:t>
      </w:r>
      <w:r>
        <w:tab/>
        <w:t>2</w:t>
      </w:r>
    </w:p>
    <w:p>
      <w:pPr>
        <w:pStyle w:val="DefinedTerms"/>
      </w:pPr>
      <w:r>
        <w:t>specified</w:t>
      </w:r>
      <w:r>
        <w:tab/>
        <w:t>49(2C)</w:t>
      </w:r>
    </w:p>
    <w:p>
      <w:pPr>
        <w:pStyle w:val="DefinedTerms"/>
      </w:pPr>
      <w:r>
        <w:t>specified waste</w:t>
      </w:r>
      <w:r>
        <w:tab/>
        <w:t>27(1)</w:t>
      </w:r>
    </w:p>
    <w:p>
      <w:pPr>
        <w:pStyle w:val="DefinedTerms"/>
      </w:pPr>
      <w:r>
        <w:t>tank</w:t>
      </w:r>
      <w:r>
        <w:tab/>
        <w:t>2</w:t>
      </w:r>
    </w:p>
    <w:p>
      <w:pPr>
        <w:pStyle w:val="DefinedTerms"/>
      </w:pPr>
      <w:r>
        <w:t>transit facility</w:t>
      </w:r>
      <w:r>
        <w:tab/>
        <w:t>2</w:t>
      </w:r>
    </w:p>
    <w:p>
      <w:pPr>
        <w:pStyle w:val="DefinedTerms"/>
      </w:pPr>
      <w:r>
        <w:t>type of controlled waste</w:t>
      </w:r>
      <w:r>
        <w:tab/>
        <w:t>36(1A)</w:t>
      </w:r>
    </w:p>
    <w:p>
      <w:pPr>
        <w:pStyle w:val="DefinedTerms"/>
      </w:pPr>
      <w:r>
        <w:t>vehicle</w:t>
      </w:r>
      <w:r>
        <w:tab/>
        <w:t>2</w:t>
      </w:r>
    </w:p>
    <w:p>
      <w:pPr>
        <w:pStyle w:val="DefinedTerms"/>
      </w:pPr>
      <w:r>
        <w:t>waste facility</w:t>
      </w:r>
      <w:r>
        <w:tab/>
        <w:t>2, 42</w:t>
      </w:r>
    </w:p>
    <w:p>
      <w:pPr>
        <w:pStyle w:val="DefinedTerms"/>
      </w:pPr>
      <w:r>
        <w:t>waste holder</w:t>
      </w:r>
      <w:r>
        <w:tab/>
        <w:t>2</w:t>
      </w:r>
    </w:p>
    <w:p/>
    <w:p>
      <w:pPr>
        <w:sectPr>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2376" w:right="2404" w:bottom="3544" w:left="2404" w:header="720" w:footer="3380" w:gutter="0"/>
          <w:cols w:space="720"/>
          <w:noEndnote/>
          <w:docGrid w:linePitch="326"/>
        </w:sectPr>
      </w:pPr>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49</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48</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Controlled waste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Information to be provided by driver to waste holder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fldSimple w:instr=" styleref CharSchText ">
            <w:r>
              <w:rPr>
                <w:noProof/>
              </w:rPr>
              <w:t>Controlled waste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Information to be provided by driver to waste holder</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27115656"/>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A4D2-CEE8-498C-A191-420730E2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12259</Words>
  <Characters>60070</Characters>
  <Application>Microsoft Office Word</Application>
  <DocSecurity>0</DocSecurity>
  <Lines>1716</Lines>
  <Paragraphs>1063</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71266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2004 - 01-00-00</dc:title>
  <dc:subject/>
  <dc:creator/>
  <cp:keywords/>
  <dc:description/>
  <cp:lastModifiedBy>svcMRProcess</cp:lastModifiedBy>
  <cp:revision>4</cp:revision>
  <cp:lastPrinted>2014-10-13T03:11:00Z</cp:lastPrinted>
  <dcterms:created xsi:type="dcterms:W3CDTF">2020-03-08T01:10:00Z</dcterms:created>
  <dcterms:modified xsi:type="dcterms:W3CDTF">2020-03-08T01:10:00Z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20141003</vt:lpwstr>
  </property>
  <property fmtid="{D5CDD505-2E9C-101B-9397-08002B2CF9AE}" pid="6" name="AsAtDate">
    <vt:lpwstr>03 Oct 2014</vt:lpwstr>
  </property>
  <property fmtid="{D5CDD505-2E9C-101B-9397-08002B2CF9AE}" pid="7" name="Suffix">
    <vt:lpwstr>01-00-00</vt:lpwstr>
  </property>
  <property fmtid="{D5CDD505-2E9C-101B-9397-08002B2CF9AE}" pid="8" name="ReprintedAsAt">
    <vt:filetime>2014-10-02T16:00:00Z</vt:filetime>
  </property>
  <property fmtid="{D5CDD505-2E9C-101B-9397-08002B2CF9AE}" pid="9" name="ReprintNo">
    <vt:lpwstr>1</vt:lpwstr>
  </property>
</Properties>
</file>