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Petroleum Products Pricing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Products Pricing Act 1983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noProof/>
          <w:sz w:val="22"/>
          <w:szCs w:val="22"/>
        </w:rPr>
      </w:pPr>
      <w:r>
        <w:rPr>
          <w:b w:val="0"/>
          <w:sz w:val="24"/>
        </w:rP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rPr>
          <w:b w:val="0"/>
          <w:sz w:val="24"/>
        </w:rPr>
        <w:fldChar w:fldCharType="separate"/>
      </w:r>
      <w:r>
        <w:rPr>
          <w:noProof/>
        </w:rP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_Toc401155629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_Toc401155630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_Toc401155631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to other Acts, etc.</w:t>
      </w:r>
      <w:r>
        <w:tab/>
      </w:r>
      <w:r>
        <w:fldChar w:fldCharType="begin"/>
      </w:r>
      <w:r>
        <w:instrText xml:space="preserve"> PAGEREF _Toc401155632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II — Administration</w:t>
      </w:r>
    </w:p>
    <w:p>
      <w:pPr>
        <w:pStyle w:val="TOC8"/>
        <w:rPr>
          <w:rFonts w:asciiTheme="minorHAnsi" w:eastAsiaTheme="minorEastAsia" w:hAnsiTheme="minorHAnsi" w:cstheme="minorBidi"/>
          <w:szCs w:val="22"/>
        </w:rPr>
      </w:pPr>
      <w:r>
        <w:t>5.</w:t>
      </w:r>
      <w:r>
        <w:tab/>
        <w:t>Commissioner</w:t>
      </w:r>
      <w:r>
        <w:tab/>
      </w:r>
      <w:r>
        <w:fldChar w:fldCharType="begin"/>
      </w:r>
      <w:r>
        <w:instrText xml:space="preserve"> PAGEREF _Toc401155634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Object and purposes</w:t>
      </w:r>
      <w:r>
        <w:tab/>
      </w:r>
      <w:r>
        <w:fldChar w:fldCharType="begin"/>
      </w:r>
      <w:r>
        <w:instrText xml:space="preserve"> PAGEREF _Toc401155635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administration, and the powers and duties of the Commissioner</w:t>
      </w:r>
      <w:r>
        <w:tab/>
      </w:r>
      <w:r>
        <w:fldChar w:fldCharType="begin"/>
      </w:r>
      <w:r>
        <w:instrText xml:space="preserve"> PAGEREF _Toc401155636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Prices advisory committees</w:t>
      </w:r>
      <w:r>
        <w:tab/>
      </w:r>
      <w:r>
        <w:fldChar w:fldCharType="begin"/>
      </w:r>
      <w:r>
        <w:instrText xml:space="preserve"> PAGEREF _Toc401155637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of office of members of committees</w:t>
      </w:r>
      <w:r>
        <w:tab/>
      </w:r>
      <w:r>
        <w:fldChar w:fldCharType="begin"/>
      </w:r>
      <w:r>
        <w:instrText xml:space="preserve"> PAGEREF _Toc401155638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III — Regulation of prices and rates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Declaration of goods and services</w:t>
      </w:r>
    </w:p>
    <w:p>
      <w:pPr>
        <w:pStyle w:val="TOC8"/>
        <w:rPr>
          <w:rFonts w:asciiTheme="minorHAnsi" w:eastAsiaTheme="minorEastAsia" w:hAnsiTheme="minorHAnsi" w:cstheme="minorBidi"/>
          <w:szCs w:val="22"/>
        </w:rPr>
      </w:pPr>
      <w:r>
        <w:t>10</w:t>
      </w:r>
      <w:r>
        <w:rPr>
          <w:snapToGrid w:val="0"/>
        </w:rPr>
        <w:t>.</w:t>
      </w:r>
      <w:r>
        <w:rPr>
          <w:snapToGrid w:val="0"/>
        </w:rPr>
        <w:tab/>
        <w:t>Declaration of goods and services</w:t>
      </w:r>
      <w:r>
        <w:tab/>
      </w:r>
      <w:r>
        <w:fldChar w:fldCharType="begin"/>
      </w:r>
      <w:r>
        <w:instrText xml:space="preserve"> PAGEREF _Toc401155641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when increase in price or rate of declared goods or declared service proposed</w:t>
      </w:r>
      <w:r>
        <w:tab/>
      </w:r>
      <w:r>
        <w:fldChar w:fldCharType="begin"/>
      </w:r>
      <w:r>
        <w:instrText xml:space="preserve"> PAGEREF _Toc401155642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Determination of maximum prices and rates for goods and services</w:t>
      </w:r>
    </w:p>
    <w:p>
      <w:pPr>
        <w:pStyle w:val="TOC8"/>
        <w:rPr>
          <w:rFonts w:asciiTheme="minorHAnsi" w:eastAsiaTheme="minorEastAsia" w:hAnsiTheme="minorHAnsi" w:cstheme="minorBidi"/>
          <w:szCs w:val="22"/>
        </w:rPr>
      </w:pPr>
      <w:r>
        <w:t>12</w:t>
      </w:r>
      <w:r>
        <w:rPr>
          <w:snapToGrid w:val="0"/>
        </w:rPr>
        <w:t>.</w:t>
      </w:r>
      <w:r>
        <w:rPr>
          <w:snapToGrid w:val="0"/>
        </w:rPr>
        <w:tab/>
        <w:t>Determination of maximum prices and rates</w:t>
      </w:r>
      <w:r>
        <w:tab/>
      </w:r>
      <w:r>
        <w:fldChar w:fldCharType="begin"/>
      </w:r>
      <w:r>
        <w:instrText xml:space="preserve"> PAGEREF _Toc401155644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of Minister to suspend order</w:t>
      </w:r>
      <w:r>
        <w:tab/>
      </w:r>
      <w:r>
        <w:fldChar w:fldCharType="begin"/>
      </w:r>
      <w:r>
        <w:instrText xml:space="preserve"> PAGEREF _Toc401155645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Enforcement of maximum prices and rates</w:t>
      </w:r>
    </w:p>
    <w:p>
      <w:pPr>
        <w:pStyle w:val="TOC8"/>
        <w:rPr>
          <w:rFonts w:asciiTheme="minorHAnsi" w:eastAsiaTheme="minorEastAsia" w:hAnsiTheme="minorHAnsi" w:cstheme="minorBidi"/>
          <w:szCs w:val="22"/>
        </w:rPr>
      </w:pPr>
      <w:r>
        <w:t>14</w:t>
      </w:r>
      <w:r>
        <w:rPr>
          <w:snapToGrid w:val="0"/>
        </w:rPr>
        <w:t>.</w:t>
      </w:r>
      <w:r>
        <w:rPr>
          <w:snapToGrid w:val="0"/>
        </w:rPr>
        <w:tab/>
        <w:t>Offence to sell goods at price higher than maximum price or supply service at rate higher than maximum rate</w:t>
      </w:r>
      <w:r>
        <w:tab/>
      </w:r>
      <w:r>
        <w:fldChar w:fldCharType="begin"/>
      </w:r>
      <w:r>
        <w:instrText xml:space="preserve"> PAGEREF _Toc401155647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Delivery of goods less in quantity than, or of inferior quality to, those sold</w:t>
      </w:r>
      <w:r>
        <w:tab/>
      </w:r>
      <w:r>
        <w:fldChar w:fldCharType="begin"/>
      </w:r>
      <w:r>
        <w:instrText xml:space="preserve"> PAGEREF _Toc401155648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Alterations in mode of packing or recipe or formula</w:t>
      </w:r>
      <w:r>
        <w:tab/>
      </w:r>
      <w:r>
        <w:fldChar w:fldCharType="begin"/>
      </w:r>
      <w:r>
        <w:instrText xml:space="preserve"> PAGEREF _Toc401155649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Price or rate of controlled goods or service to be specified separately</w:t>
      </w:r>
      <w:r>
        <w:tab/>
      </w:r>
      <w:r>
        <w:fldChar w:fldCharType="begin"/>
      </w:r>
      <w:r>
        <w:instrText xml:space="preserve"> PAGEREF _Toc401155650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of Commissioner to prohibit certain transactions</w:t>
      </w:r>
      <w:r>
        <w:tab/>
      </w:r>
      <w:r>
        <w:fldChar w:fldCharType="begin"/>
      </w:r>
      <w:r>
        <w:instrText xml:space="preserve"> PAGEREF _Toc401155651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Refusal to sell goods at fixed price</w:t>
      </w:r>
      <w:r>
        <w:tab/>
      </w:r>
      <w:r>
        <w:fldChar w:fldCharType="begin"/>
      </w:r>
      <w:r>
        <w:instrText xml:space="preserve"> PAGEREF _Toc401155652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Refusal to supply service at fixed rate</w:t>
      </w:r>
      <w:r>
        <w:tab/>
      </w:r>
      <w:r>
        <w:fldChar w:fldCharType="begin"/>
      </w:r>
      <w:r>
        <w:instrText xml:space="preserve"> PAGEREF _Toc401155653 \h </w:instrText>
      </w:r>
      <w:r>
        <w:fldChar w:fldCharType="separate"/>
      </w:r>
      <w:r>
        <w:t>26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Refusal to sell or supply unless other goods or services are also purchased</w:t>
      </w:r>
      <w:r>
        <w:tab/>
      </w:r>
      <w:r>
        <w:fldChar w:fldCharType="begin"/>
      </w:r>
      <w:r>
        <w:instrText xml:space="preserve"> PAGEREF _Toc401155654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t>
      </w:r>
      <w:r>
        <w:t>Offer</w:t>
      </w:r>
      <w:r>
        <w:rPr>
          <w:snapToGrid w:val="0"/>
        </w:rPr>
        <w:t>” includes notification of price or rate</w:t>
      </w:r>
      <w:r>
        <w:tab/>
      </w:r>
      <w:r>
        <w:fldChar w:fldCharType="begin"/>
      </w:r>
      <w:r>
        <w:instrText xml:space="preserve"> PAGEREF _Toc401155655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IIIA — Special provisions about motor fuel</w:t>
      </w:r>
    </w:p>
    <w:p>
      <w:pPr>
        <w:pStyle w:val="TOC4"/>
        <w:tabs>
          <w:tab w:val="right" w:leader="dot" w:pos="7086"/>
        </w:tabs>
        <w:rPr>
          <w:rFonts w:asciiTheme="minorHAnsi" w:eastAsiaTheme="minorEastAsia" w:hAnsiTheme="minorHAnsi" w:cstheme="minorBidi"/>
          <w:b w:val="0"/>
          <w:szCs w:val="22"/>
        </w:rPr>
      </w:pPr>
      <w:r>
        <w:t>Division 1 — Before retail sale</w:t>
      </w:r>
    </w:p>
    <w:p>
      <w:pPr>
        <w:pStyle w:val="TOC8"/>
        <w:rPr>
          <w:rFonts w:asciiTheme="minorHAnsi" w:eastAsiaTheme="minorEastAsia" w:hAnsiTheme="minorHAnsi" w:cstheme="minorBidi"/>
          <w:szCs w:val="22"/>
        </w:rPr>
      </w:pPr>
      <w:r>
        <w:t>22A.</w:t>
      </w:r>
      <w:r>
        <w:tab/>
        <w:t>Definitions</w:t>
      </w:r>
      <w:r>
        <w:tab/>
      </w:r>
      <w:r>
        <w:fldChar w:fldCharType="begin"/>
      </w:r>
      <w:r>
        <w:instrText xml:space="preserve"> PAGEREF _Toc401155658 \h </w:instrText>
      </w:r>
      <w:r>
        <w:fldChar w:fldCharType="separate"/>
      </w:r>
      <w:r>
        <w:t>29</w:t>
      </w:r>
      <w:r>
        <w:fldChar w:fldCharType="end"/>
      </w:r>
    </w:p>
    <w:p>
      <w:pPr>
        <w:pStyle w:val="TOC8"/>
        <w:rPr>
          <w:rFonts w:asciiTheme="minorHAnsi" w:eastAsiaTheme="minorEastAsia" w:hAnsiTheme="minorHAnsi" w:cstheme="minorBidi"/>
          <w:szCs w:val="22"/>
        </w:rPr>
      </w:pPr>
      <w:r>
        <w:t>22B.</w:t>
      </w:r>
      <w:r>
        <w:tab/>
        <w:t>Price at terminal to be displayed and Commissioner to be notified of changes</w:t>
      </w:r>
      <w:r>
        <w:tab/>
      </w:r>
      <w:r>
        <w:fldChar w:fldCharType="begin"/>
      </w:r>
      <w:r>
        <w:instrText xml:space="preserve"> PAGEREF _Toc401155659 \h </w:instrText>
      </w:r>
      <w:r>
        <w:fldChar w:fldCharType="separate"/>
      </w:r>
      <w:r>
        <w:t>30</w:t>
      </w:r>
      <w:r>
        <w:fldChar w:fldCharType="end"/>
      </w:r>
    </w:p>
    <w:p>
      <w:pPr>
        <w:pStyle w:val="TOC8"/>
        <w:rPr>
          <w:rFonts w:asciiTheme="minorHAnsi" w:eastAsiaTheme="minorEastAsia" w:hAnsiTheme="minorHAnsi" w:cstheme="minorBidi"/>
          <w:szCs w:val="22"/>
        </w:rPr>
      </w:pPr>
      <w:r>
        <w:t>22C.</w:t>
      </w:r>
      <w:r>
        <w:tab/>
        <w:t>Previous month’s average price to be displayed</w:t>
      </w:r>
      <w:r>
        <w:tab/>
      </w:r>
      <w:r>
        <w:fldChar w:fldCharType="begin"/>
      </w:r>
      <w:r>
        <w:instrText xml:space="preserve"> PAGEREF _Toc401155660 \h </w:instrText>
      </w:r>
      <w:r>
        <w:fldChar w:fldCharType="separate"/>
      </w:r>
      <w:r>
        <w:t>30</w:t>
      </w:r>
      <w:r>
        <w:fldChar w:fldCharType="end"/>
      </w:r>
    </w:p>
    <w:p>
      <w:pPr>
        <w:pStyle w:val="TOC8"/>
        <w:rPr>
          <w:rFonts w:asciiTheme="minorHAnsi" w:eastAsiaTheme="minorEastAsia" w:hAnsiTheme="minorHAnsi" w:cstheme="minorBidi"/>
          <w:szCs w:val="22"/>
        </w:rPr>
      </w:pPr>
      <w:r>
        <w:t>22D.</w:t>
      </w:r>
      <w:r>
        <w:tab/>
        <w:t>Maximum price to be displayed</w:t>
      </w:r>
      <w:r>
        <w:tab/>
      </w:r>
      <w:r>
        <w:fldChar w:fldCharType="begin"/>
      </w:r>
      <w:r>
        <w:instrText xml:space="preserve"> PAGEREF _Toc401155661 \h </w:instrText>
      </w:r>
      <w:r>
        <w:fldChar w:fldCharType="separate"/>
      </w:r>
      <w:r>
        <w:t>31</w:t>
      </w:r>
      <w:r>
        <w:fldChar w:fldCharType="end"/>
      </w:r>
    </w:p>
    <w:p>
      <w:pPr>
        <w:pStyle w:val="TOC8"/>
        <w:rPr>
          <w:rFonts w:asciiTheme="minorHAnsi" w:eastAsiaTheme="minorEastAsia" w:hAnsiTheme="minorHAnsi" w:cstheme="minorBidi"/>
          <w:szCs w:val="22"/>
        </w:rPr>
      </w:pPr>
      <w:r>
        <w:t>22E.</w:t>
      </w:r>
      <w:r>
        <w:tab/>
        <w:t>Price to be compared to maximum price fixed</w:t>
      </w:r>
      <w:r>
        <w:tab/>
      </w:r>
      <w:r>
        <w:fldChar w:fldCharType="begin"/>
      </w:r>
      <w:r>
        <w:instrText xml:space="preserve"> PAGEREF _Toc401155662 \h </w:instrText>
      </w:r>
      <w:r>
        <w:fldChar w:fldCharType="separate"/>
      </w:r>
      <w:r>
        <w:t>31</w:t>
      </w:r>
      <w:r>
        <w:fldChar w:fldCharType="end"/>
      </w:r>
    </w:p>
    <w:p>
      <w:pPr>
        <w:pStyle w:val="TOC8"/>
        <w:rPr>
          <w:rFonts w:asciiTheme="minorHAnsi" w:eastAsiaTheme="minorEastAsia" w:hAnsiTheme="minorHAnsi" w:cstheme="minorBidi"/>
          <w:szCs w:val="22"/>
        </w:rPr>
      </w:pPr>
      <w:r>
        <w:t>22F.</w:t>
      </w:r>
      <w:r>
        <w:tab/>
        <w:t>Information that supplier is to provide</w:t>
      </w:r>
      <w:r>
        <w:tab/>
      </w:r>
      <w:r>
        <w:fldChar w:fldCharType="begin"/>
      </w:r>
      <w:r>
        <w:instrText xml:space="preserve"> PAGEREF _Toc401155663 \h </w:instrText>
      </w:r>
      <w:r>
        <w:fldChar w:fldCharType="separate"/>
      </w:r>
      <w:r>
        <w:t>32</w:t>
      </w:r>
      <w:r>
        <w:fldChar w:fldCharType="end"/>
      </w:r>
    </w:p>
    <w:p>
      <w:pPr>
        <w:pStyle w:val="TOC8"/>
        <w:rPr>
          <w:rFonts w:asciiTheme="minorHAnsi" w:eastAsiaTheme="minorEastAsia" w:hAnsiTheme="minorHAnsi" w:cstheme="minorBidi"/>
          <w:szCs w:val="22"/>
        </w:rPr>
      </w:pPr>
      <w:r>
        <w:t>22G.</w:t>
      </w:r>
      <w:r>
        <w:tab/>
        <w:t>Obligation to supply from declared terminal</w:t>
      </w:r>
      <w:r>
        <w:tab/>
      </w:r>
      <w:r>
        <w:fldChar w:fldCharType="begin"/>
      </w:r>
      <w:r>
        <w:instrText xml:space="preserve"> PAGEREF _Toc401155664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2 — Retail sale</w:t>
      </w:r>
    </w:p>
    <w:p>
      <w:pPr>
        <w:pStyle w:val="TOC8"/>
        <w:rPr>
          <w:rFonts w:asciiTheme="minorHAnsi" w:eastAsiaTheme="minorEastAsia" w:hAnsiTheme="minorHAnsi" w:cstheme="minorBidi"/>
          <w:szCs w:val="22"/>
        </w:rPr>
      </w:pPr>
      <w:r>
        <w:t>22H.</w:t>
      </w:r>
      <w:r>
        <w:tab/>
        <w:t>Definitions</w:t>
      </w:r>
      <w:r>
        <w:tab/>
      </w:r>
      <w:r>
        <w:fldChar w:fldCharType="begin"/>
      </w:r>
      <w:r>
        <w:instrText xml:space="preserve"> PAGEREF _Toc401155666 \h </w:instrText>
      </w:r>
      <w:r>
        <w:fldChar w:fldCharType="separate"/>
      </w:r>
      <w:r>
        <w:t>34</w:t>
      </w:r>
      <w:r>
        <w:fldChar w:fldCharType="end"/>
      </w:r>
    </w:p>
    <w:p>
      <w:pPr>
        <w:pStyle w:val="TOC8"/>
        <w:rPr>
          <w:rFonts w:asciiTheme="minorHAnsi" w:eastAsiaTheme="minorEastAsia" w:hAnsiTheme="minorHAnsi" w:cstheme="minorBidi"/>
          <w:szCs w:val="22"/>
        </w:rPr>
      </w:pPr>
      <w:r>
        <w:t>22I.</w:t>
      </w:r>
      <w:r>
        <w:tab/>
        <w:t>Regulations to require retailers to display prices</w:t>
      </w:r>
      <w:r>
        <w:tab/>
      </w:r>
      <w:r>
        <w:fldChar w:fldCharType="begin"/>
      </w:r>
      <w:r>
        <w:instrText xml:space="preserve"> PAGEREF _Toc401155667 \h </w:instrText>
      </w:r>
      <w:r>
        <w:fldChar w:fldCharType="separate"/>
      </w:r>
      <w:r>
        <w:t>34</w:t>
      </w:r>
      <w:r>
        <w:fldChar w:fldCharType="end"/>
      </w:r>
    </w:p>
    <w:p>
      <w:pPr>
        <w:pStyle w:val="TOC8"/>
        <w:rPr>
          <w:rFonts w:asciiTheme="minorHAnsi" w:eastAsiaTheme="minorEastAsia" w:hAnsiTheme="minorHAnsi" w:cstheme="minorBidi"/>
          <w:szCs w:val="22"/>
        </w:rPr>
      </w:pPr>
      <w:r>
        <w:t>22J.</w:t>
      </w:r>
      <w:r>
        <w:tab/>
        <w:t>Regulations requiring notification of, and restricting change of, price</w:t>
      </w:r>
      <w:r>
        <w:tab/>
      </w:r>
      <w:r>
        <w:fldChar w:fldCharType="begin"/>
      </w:r>
      <w:r>
        <w:instrText xml:space="preserve"> PAGEREF _Toc401155668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IV — Obtaining information</w:t>
      </w:r>
    </w:p>
    <w:p>
      <w:pPr>
        <w:pStyle w:val="TOC8"/>
        <w:rPr>
          <w:rFonts w:asciiTheme="minorHAnsi" w:eastAsiaTheme="minorEastAsia" w:hAnsiTheme="minorHAnsi" w:cstheme="minorBidi"/>
          <w:szCs w:val="22"/>
        </w:rPr>
      </w:pPr>
      <w:r>
        <w:t>23</w:t>
      </w:r>
      <w:r>
        <w:rPr>
          <w:snapToGrid w:val="0"/>
        </w:rPr>
        <w:t>.</w:t>
      </w:r>
      <w:r>
        <w:rPr>
          <w:snapToGrid w:val="0"/>
        </w:rPr>
        <w:tab/>
        <w:t>Power of Commissioner to inquire, investigate, and obtain information</w:t>
      </w:r>
      <w:r>
        <w:tab/>
      </w:r>
      <w:r>
        <w:fldChar w:fldCharType="begin"/>
      </w:r>
      <w:r>
        <w:instrText xml:space="preserve"> PAGEREF _Toc401155670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Sufficient notice to be given to enable questions, etc. to be answered</w:t>
      </w:r>
      <w:r>
        <w:tab/>
      </w:r>
      <w:r>
        <w:fldChar w:fldCharType="begin"/>
      </w:r>
      <w:r>
        <w:instrText xml:space="preserve"> PAGEREF _Toc401155671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Failure to supply information</w:t>
      </w:r>
      <w:r>
        <w:tab/>
      </w:r>
      <w:r>
        <w:fldChar w:fldCharType="begin"/>
      </w:r>
      <w:r>
        <w:instrText xml:space="preserve"> PAGEREF _Toc401155672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Obstructing Commissioner</w:t>
      </w:r>
      <w:r>
        <w:tab/>
      </w:r>
      <w:r>
        <w:fldChar w:fldCharType="begin"/>
      </w:r>
      <w:r>
        <w:instrText xml:space="preserve"> PAGEREF _Toc401155673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of Commissioner to require returns</w:t>
      </w:r>
      <w:r>
        <w:tab/>
      </w:r>
      <w:r>
        <w:fldChar w:fldCharType="begin"/>
      </w:r>
      <w:r>
        <w:instrText xml:space="preserve"> PAGEREF _Toc401155674 \h </w:instrText>
      </w:r>
      <w:r>
        <w:fldChar w:fldCharType="separate"/>
      </w:r>
      <w:r>
        <w:t>39</w:t>
      </w:r>
      <w:r>
        <w:fldChar w:fldCharType="end"/>
      </w:r>
    </w:p>
    <w:p>
      <w:pPr>
        <w:pStyle w:val="TOC8"/>
        <w:rPr>
          <w:rFonts w:asciiTheme="minorHAnsi" w:eastAsiaTheme="minorEastAsia" w:hAnsiTheme="minorHAnsi" w:cstheme="minorBidi"/>
          <w:szCs w:val="22"/>
        </w:rPr>
      </w:pPr>
      <w:r>
        <w:t>27A.</w:t>
      </w:r>
      <w:r>
        <w:tab/>
        <w:t>Further powers of Commissioner to obtain information</w:t>
      </w:r>
      <w:r>
        <w:tab/>
      </w:r>
      <w:r>
        <w:fldChar w:fldCharType="begin"/>
      </w:r>
      <w:r>
        <w:instrText xml:space="preserve"> PAGEREF _Toc401155675 \h </w:instrText>
      </w:r>
      <w:r>
        <w:fldChar w:fldCharType="separate"/>
      </w:r>
      <w:r>
        <w:t>41</w:t>
      </w:r>
      <w:r>
        <w:fldChar w:fldCharType="end"/>
      </w:r>
    </w:p>
    <w:p>
      <w:pPr>
        <w:pStyle w:val="TOC8"/>
        <w:rPr>
          <w:rFonts w:asciiTheme="minorHAnsi" w:eastAsiaTheme="minorEastAsia" w:hAnsiTheme="minorHAnsi" w:cstheme="minorBidi"/>
          <w:szCs w:val="22"/>
        </w:rPr>
      </w:pPr>
      <w:r>
        <w:t>27B.</w:t>
      </w:r>
      <w:r>
        <w:tab/>
        <w:t>Publication by Commissioner of information</w:t>
      </w:r>
      <w:r>
        <w:tab/>
      </w:r>
      <w:r>
        <w:fldChar w:fldCharType="begin"/>
      </w:r>
      <w:r>
        <w:instrText xml:space="preserve"> PAGEREF _Toc401155676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w:t>
      </w:r>
      <w:r>
        <w:t>Commissioner</w:t>
      </w:r>
      <w:r>
        <w:rPr>
          <w:snapToGrid w:val="0"/>
        </w:rPr>
        <w:t>” includes other officers</w:t>
      </w:r>
      <w:r>
        <w:tab/>
      </w:r>
      <w:r>
        <w:fldChar w:fldCharType="begin"/>
      </w:r>
      <w:r>
        <w:instrText xml:space="preserve"> PAGEREF _Toc401155677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 — Offences and penalties</w:t>
      </w:r>
    </w:p>
    <w:p>
      <w:pPr>
        <w:pStyle w:val="TOC4"/>
        <w:tabs>
          <w:tab w:val="right" w:leader="dot" w:pos="7086"/>
        </w:tabs>
        <w:rPr>
          <w:rFonts w:asciiTheme="minorHAnsi" w:eastAsiaTheme="minorEastAsia" w:hAnsiTheme="minorHAnsi" w:cstheme="minorBidi"/>
          <w:b w:val="0"/>
          <w:szCs w:val="22"/>
        </w:rPr>
      </w:pPr>
      <w:r>
        <w:t>Division 1</w:t>
      </w:r>
      <w:r>
        <w:rPr>
          <w:b w:val="0"/>
        </w:rPr>
        <w:t> — </w:t>
      </w:r>
      <w:r>
        <w:t>General provisions</w:t>
      </w:r>
    </w:p>
    <w:p>
      <w:pPr>
        <w:pStyle w:val="TOC8"/>
        <w:rPr>
          <w:rFonts w:asciiTheme="minorHAnsi" w:eastAsiaTheme="minorEastAsia" w:hAnsiTheme="minorHAnsi" w:cstheme="minorBidi"/>
          <w:szCs w:val="22"/>
        </w:rPr>
      </w:pPr>
      <w:r>
        <w:t>29</w:t>
      </w:r>
      <w:r>
        <w:rPr>
          <w:snapToGrid w:val="0"/>
        </w:rPr>
        <w:t>.</w:t>
      </w:r>
      <w:r>
        <w:rPr>
          <w:snapToGrid w:val="0"/>
        </w:rPr>
        <w:tab/>
        <w:t>Liability of officers etc., of body corporate</w:t>
      </w:r>
      <w:r>
        <w:tab/>
      </w:r>
      <w:r>
        <w:fldChar w:fldCharType="begin"/>
      </w:r>
      <w:r>
        <w:instrText xml:space="preserve"> PAGEREF _Toc401155680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Court may order refund of amount paid in excess of maximum price or rate</w:t>
      </w:r>
      <w:r>
        <w:tab/>
      </w:r>
      <w:r>
        <w:fldChar w:fldCharType="begin"/>
      </w:r>
      <w:r>
        <w:instrText xml:space="preserve"> PAGEREF _Toc401155681 \h </w:instrText>
      </w:r>
      <w:r>
        <w:fldChar w:fldCharType="separate"/>
      </w:r>
      <w:r>
        <w:t>43</w:t>
      </w:r>
      <w:r>
        <w:fldChar w:fldCharType="end"/>
      </w:r>
    </w:p>
    <w:p>
      <w:pPr>
        <w:pStyle w:val="TOC8"/>
        <w:rPr>
          <w:rFonts w:asciiTheme="minorHAnsi" w:eastAsiaTheme="minorEastAsia" w:hAnsiTheme="minorHAnsi" w:cstheme="minorBidi"/>
          <w:szCs w:val="22"/>
        </w:rPr>
      </w:pPr>
      <w:r>
        <w:t>31.</w:t>
      </w:r>
      <w:r>
        <w:tab/>
        <w:t>Limitation period for prosecutions</w:t>
      </w:r>
      <w:r>
        <w:tab/>
      </w:r>
      <w:r>
        <w:fldChar w:fldCharType="begin"/>
      </w:r>
      <w:r>
        <w:instrText xml:space="preserve"> PAGEREF _Toc401155682 \h </w:instrText>
      </w:r>
      <w:r>
        <w:fldChar w:fldCharType="separate"/>
      </w:r>
      <w:r>
        <w:t>44</w:t>
      </w:r>
      <w:r>
        <w:fldChar w:fldCharType="end"/>
      </w:r>
    </w:p>
    <w:p>
      <w:pPr>
        <w:pStyle w:val="TOC4"/>
        <w:tabs>
          <w:tab w:val="right" w:leader="dot" w:pos="7086"/>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31A.</w:t>
      </w:r>
      <w:r>
        <w:tab/>
        <w:t>Infringement notices</w:t>
      </w:r>
      <w:r>
        <w:tab/>
      </w:r>
      <w:r>
        <w:fldChar w:fldCharType="begin"/>
      </w:r>
      <w:r>
        <w:instrText xml:space="preserve"> PAGEREF _Toc401155684 \h </w:instrText>
      </w:r>
      <w:r>
        <w:fldChar w:fldCharType="separate"/>
      </w:r>
      <w:r>
        <w:t>44</w:t>
      </w:r>
      <w:r>
        <w:fldChar w:fldCharType="end"/>
      </w:r>
    </w:p>
    <w:p>
      <w:pPr>
        <w:pStyle w:val="TOC8"/>
        <w:rPr>
          <w:rFonts w:asciiTheme="minorHAnsi" w:eastAsiaTheme="minorEastAsia" w:hAnsiTheme="minorHAnsi" w:cstheme="minorBidi"/>
          <w:szCs w:val="22"/>
        </w:rPr>
      </w:pPr>
      <w:r>
        <w:t>31B.</w:t>
      </w:r>
      <w:r>
        <w:tab/>
        <w:t>Giving of notice</w:t>
      </w:r>
      <w:r>
        <w:tab/>
      </w:r>
      <w:r>
        <w:fldChar w:fldCharType="begin"/>
      </w:r>
      <w:r>
        <w:instrText xml:space="preserve"> PAGEREF _Toc401155685 \h </w:instrText>
      </w:r>
      <w:r>
        <w:fldChar w:fldCharType="separate"/>
      </w:r>
      <w:r>
        <w:t>44</w:t>
      </w:r>
      <w:r>
        <w:fldChar w:fldCharType="end"/>
      </w:r>
    </w:p>
    <w:p>
      <w:pPr>
        <w:pStyle w:val="TOC8"/>
        <w:rPr>
          <w:rFonts w:asciiTheme="minorHAnsi" w:eastAsiaTheme="minorEastAsia" w:hAnsiTheme="minorHAnsi" w:cstheme="minorBidi"/>
          <w:szCs w:val="22"/>
        </w:rPr>
      </w:pPr>
      <w:r>
        <w:t>31C.</w:t>
      </w:r>
      <w:r>
        <w:tab/>
        <w:t>Content of notice</w:t>
      </w:r>
      <w:r>
        <w:tab/>
      </w:r>
      <w:r>
        <w:fldChar w:fldCharType="begin"/>
      </w:r>
      <w:r>
        <w:instrText xml:space="preserve"> PAGEREF _Toc401155686 \h </w:instrText>
      </w:r>
      <w:r>
        <w:fldChar w:fldCharType="separate"/>
      </w:r>
      <w:r>
        <w:t>45</w:t>
      </w:r>
      <w:r>
        <w:fldChar w:fldCharType="end"/>
      </w:r>
    </w:p>
    <w:p>
      <w:pPr>
        <w:pStyle w:val="TOC8"/>
        <w:rPr>
          <w:rFonts w:asciiTheme="minorHAnsi" w:eastAsiaTheme="minorEastAsia" w:hAnsiTheme="minorHAnsi" w:cstheme="minorBidi"/>
          <w:szCs w:val="22"/>
        </w:rPr>
      </w:pPr>
      <w:r>
        <w:t>31D.</w:t>
      </w:r>
      <w:r>
        <w:tab/>
        <w:t>Extension of time</w:t>
      </w:r>
      <w:r>
        <w:tab/>
      </w:r>
      <w:r>
        <w:fldChar w:fldCharType="begin"/>
      </w:r>
      <w:r>
        <w:instrText xml:space="preserve"> PAGEREF _Toc401155687 \h </w:instrText>
      </w:r>
      <w:r>
        <w:fldChar w:fldCharType="separate"/>
      </w:r>
      <w:r>
        <w:t>45</w:t>
      </w:r>
      <w:r>
        <w:fldChar w:fldCharType="end"/>
      </w:r>
    </w:p>
    <w:p>
      <w:pPr>
        <w:pStyle w:val="TOC8"/>
        <w:rPr>
          <w:rFonts w:asciiTheme="minorHAnsi" w:eastAsiaTheme="minorEastAsia" w:hAnsiTheme="minorHAnsi" w:cstheme="minorBidi"/>
          <w:szCs w:val="22"/>
        </w:rPr>
      </w:pPr>
      <w:r>
        <w:t>31E.</w:t>
      </w:r>
      <w:r>
        <w:tab/>
        <w:t>Withdrawal of notice</w:t>
      </w:r>
      <w:r>
        <w:tab/>
      </w:r>
      <w:r>
        <w:fldChar w:fldCharType="begin"/>
      </w:r>
      <w:r>
        <w:instrText xml:space="preserve"> PAGEREF _Toc401155688 \h </w:instrText>
      </w:r>
      <w:r>
        <w:fldChar w:fldCharType="separate"/>
      </w:r>
      <w:r>
        <w:t>45</w:t>
      </w:r>
      <w:r>
        <w:fldChar w:fldCharType="end"/>
      </w:r>
    </w:p>
    <w:p>
      <w:pPr>
        <w:pStyle w:val="TOC8"/>
        <w:rPr>
          <w:rFonts w:asciiTheme="minorHAnsi" w:eastAsiaTheme="minorEastAsia" w:hAnsiTheme="minorHAnsi" w:cstheme="minorBidi"/>
          <w:szCs w:val="22"/>
        </w:rPr>
      </w:pPr>
      <w:r>
        <w:t>31F.</w:t>
      </w:r>
      <w:r>
        <w:tab/>
        <w:t>Benefit of paying modified penalty</w:t>
      </w:r>
      <w:r>
        <w:tab/>
      </w:r>
      <w:r>
        <w:fldChar w:fldCharType="begin"/>
      </w:r>
      <w:r>
        <w:instrText xml:space="preserve"> PAGEREF _Toc401155689 \h </w:instrText>
      </w:r>
      <w:r>
        <w:fldChar w:fldCharType="separate"/>
      </w:r>
      <w:r>
        <w:t>46</w:t>
      </w:r>
      <w:r>
        <w:fldChar w:fldCharType="end"/>
      </w:r>
    </w:p>
    <w:p>
      <w:pPr>
        <w:pStyle w:val="TOC8"/>
        <w:rPr>
          <w:rFonts w:asciiTheme="minorHAnsi" w:eastAsiaTheme="minorEastAsia" w:hAnsiTheme="minorHAnsi" w:cstheme="minorBidi"/>
          <w:szCs w:val="22"/>
        </w:rPr>
      </w:pPr>
      <w:r>
        <w:t>31G.</w:t>
      </w:r>
      <w:r>
        <w:tab/>
        <w:t>Application of penalties collected</w:t>
      </w:r>
      <w:r>
        <w:tab/>
      </w:r>
      <w:r>
        <w:fldChar w:fldCharType="begin"/>
      </w:r>
      <w:r>
        <w:instrText xml:space="preserve"> PAGEREF _Toc401155690 \h </w:instrText>
      </w:r>
      <w:r>
        <w:fldChar w:fldCharType="separate"/>
      </w:r>
      <w:r>
        <w:t>46</w:t>
      </w:r>
      <w:r>
        <w:fldChar w:fldCharType="end"/>
      </w:r>
    </w:p>
    <w:p>
      <w:pPr>
        <w:pStyle w:val="TOC8"/>
        <w:rPr>
          <w:rFonts w:asciiTheme="minorHAnsi" w:eastAsiaTheme="minorEastAsia" w:hAnsiTheme="minorHAnsi" w:cstheme="minorBidi"/>
          <w:szCs w:val="22"/>
        </w:rPr>
      </w:pPr>
      <w:r>
        <w:t>31H.</w:t>
      </w:r>
      <w:r>
        <w:tab/>
        <w:t>Appointment of authorised persons</w:t>
      </w:r>
      <w:r>
        <w:tab/>
      </w:r>
      <w:r>
        <w:fldChar w:fldCharType="begin"/>
      </w:r>
      <w:r>
        <w:instrText xml:space="preserve"> PAGEREF _Toc401155691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Part VI — Miscellaneous</w:t>
      </w:r>
    </w:p>
    <w:p>
      <w:pPr>
        <w:pStyle w:val="TOC8"/>
        <w:rPr>
          <w:rFonts w:asciiTheme="minorHAnsi" w:eastAsiaTheme="minorEastAsia" w:hAnsiTheme="minorHAnsi" w:cstheme="minorBidi"/>
          <w:szCs w:val="22"/>
        </w:rPr>
      </w:pPr>
      <w:r>
        <w:t>32</w:t>
      </w:r>
      <w:r>
        <w:rPr>
          <w:snapToGrid w:val="0"/>
        </w:rPr>
        <w:t>.</w:t>
      </w:r>
      <w:r>
        <w:rPr>
          <w:snapToGrid w:val="0"/>
        </w:rPr>
        <w:tab/>
        <w:t>Application of orders and notices</w:t>
      </w:r>
      <w:r>
        <w:tab/>
      </w:r>
      <w:r>
        <w:fldChar w:fldCharType="begin"/>
      </w:r>
      <w:r>
        <w:instrText xml:space="preserve"> PAGEREF _Toc401155693 \h </w:instrText>
      </w:r>
      <w:r>
        <w:fldChar w:fldCharType="separate"/>
      </w:r>
      <w:r>
        <w:t>48</w:t>
      </w:r>
      <w:r>
        <w:fldChar w:fldCharType="end"/>
      </w:r>
    </w:p>
    <w:p>
      <w:pPr>
        <w:pStyle w:val="TOC8"/>
        <w:rPr>
          <w:rFonts w:asciiTheme="minorHAnsi" w:eastAsiaTheme="minorEastAsia" w:hAnsiTheme="minorHAnsi" w:cstheme="minorBidi"/>
          <w:szCs w:val="22"/>
        </w:rPr>
      </w:pPr>
      <w:r>
        <w:t>32A.</w:t>
      </w:r>
      <w:r>
        <w:tab/>
        <w:t>Delegation by Commissioner</w:t>
      </w:r>
      <w:r>
        <w:tab/>
      </w:r>
      <w:r>
        <w:fldChar w:fldCharType="begin"/>
      </w:r>
      <w:r>
        <w:instrText xml:space="preserve"> PAGEREF _Toc401155694 \h </w:instrText>
      </w:r>
      <w:r>
        <w:fldChar w:fldCharType="separate"/>
      </w:r>
      <w:r>
        <w:t>48</w:t>
      </w:r>
      <w:r>
        <w:fldChar w:fldCharType="end"/>
      </w:r>
    </w:p>
    <w:p>
      <w:pPr>
        <w:pStyle w:val="TOC8"/>
        <w:rPr>
          <w:rFonts w:asciiTheme="minorHAnsi" w:eastAsiaTheme="minorEastAsia" w:hAnsiTheme="minorHAnsi" w:cstheme="minorBidi"/>
          <w:szCs w:val="22"/>
        </w:rPr>
      </w:pPr>
      <w:r>
        <w:t>32B.</w:t>
      </w:r>
      <w:r>
        <w:tab/>
        <w:t>Protection from liability for wrongdoing</w:t>
      </w:r>
      <w:r>
        <w:tab/>
      </w:r>
      <w:r>
        <w:fldChar w:fldCharType="begin"/>
      </w:r>
      <w:r>
        <w:instrText xml:space="preserve"> PAGEREF _Toc401155695 \h </w:instrText>
      </w:r>
      <w:r>
        <w:fldChar w:fldCharType="separate"/>
      </w:r>
      <w:r>
        <w:t>49</w:t>
      </w:r>
      <w:r>
        <w:fldChar w:fldCharType="end"/>
      </w:r>
    </w:p>
    <w:p>
      <w:pPr>
        <w:pStyle w:val="TOC8"/>
        <w:rPr>
          <w:rFonts w:asciiTheme="minorHAnsi" w:eastAsiaTheme="minorEastAsia" w:hAnsiTheme="minorHAnsi" w:cstheme="minorBidi"/>
          <w:szCs w:val="22"/>
        </w:rPr>
      </w:pPr>
      <w:r>
        <w:t>32C</w:t>
      </w:r>
      <w:r>
        <w:rPr>
          <w:snapToGrid w:val="0"/>
        </w:rPr>
        <w:t>.</w:t>
      </w:r>
      <w:r>
        <w:rPr>
          <w:snapToGrid w:val="0"/>
        </w:rPr>
        <w:tab/>
      </w:r>
      <w:r>
        <w:t>Judicial</w:t>
      </w:r>
      <w:r>
        <w:rPr>
          <w:snapToGrid w:val="0"/>
        </w:rPr>
        <w:t xml:space="preserve"> notice</w:t>
      </w:r>
      <w:r>
        <w:tab/>
      </w:r>
      <w:r>
        <w:fldChar w:fldCharType="begin"/>
      </w:r>
      <w:r>
        <w:instrText xml:space="preserve"> PAGEREF _Toc401155696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Secrecy</w:t>
      </w:r>
      <w:r>
        <w:tab/>
      </w:r>
      <w:r>
        <w:fldChar w:fldCharType="begin"/>
      </w:r>
      <w:r>
        <w:instrText xml:space="preserve"> PAGEREF _Toc401155697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Regulations</w:t>
      </w:r>
      <w:r>
        <w:tab/>
      </w:r>
      <w:r>
        <w:fldChar w:fldCharType="begin"/>
      </w:r>
      <w:r>
        <w:instrText xml:space="preserve"> PAGEREF _Toc401155698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Schedule 1 — Certain exclusions from definition of “petroleum product”</w:t>
      </w:r>
    </w:p>
    <w:p>
      <w:pPr>
        <w:pStyle w:val="TOC2"/>
        <w:tabs>
          <w:tab w:val="right" w:leader="dot" w:pos="7086"/>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_Toc401155701 \h </w:instrText>
      </w:r>
      <w:r>
        <w:fldChar w:fldCharType="separate"/>
      </w:r>
      <w:r>
        <w:t>59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_Toc401155702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noProof/>
          <w:sz w:val="22"/>
          <w:szCs w:val="22"/>
        </w:rPr>
      </w:pPr>
      <w:r>
        <w:rPr>
          <w:noProof/>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080" w:after="1200"/>
      </w:pPr>
      <w:r>
        <w:t xml:space="preserve">Petroleum Products Pricing Act 1983 </w:t>
      </w:r>
    </w:p>
    <w:p>
      <w:pPr>
        <w:pStyle w:val="LongTitle"/>
        <w:rPr>
          <w:snapToGrid w:val="0"/>
        </w:rPr>
      </w:pPr>
      <w:r>
        <w:rPr>
          <w:snapToGrid w:val="0"/>
        </w:rPr>
        <w:t xml:space="preserve">An Act with respect to the regulation of the prices or rates charged for petroleum products or certain services related thereto and for incidental and other purposes. </w:t>
      </w:r>
    </w:p>
    <w:p>
      <w:pPr>
        <w:pStyle w:val="Footnotelongtitle"/>
      </w:pPr>
      <w:r>
        <w:tab/>
        <w:t xml:space="preserve">[Long title amended by No. 72 of 1983 s. 15.] </w:t>
      </w:r>
    </w:p>
    <w:p>
      <w:pPr>
        <w:pStyle w:val="Heading2"/>
      </w:pPr>
      <w:bookmarkStart w:id="1" w:name="_Toc401155399"/>
      <w:bookmarkStart w:id="2" w:name="_Toc401155628"/>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401155629"/>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r>
        <w:rPr>
          <w:i/>
          <w:snapToGrid w:val="0"/>
          <w:vertAlign w:val="superscript"/>
        </w:rPr>
        <w:t> </w:t>
      </w:r>
      <w:r>
        <w:rPr>
          <w:snapToGrid w:val="0"/>
          <w:vertAlign w:val="superscript"/>
        </w:rPr>
        <w:t>1</w:t>
      </w:r>
      <w:r>
        <w:rPr>
          <w:snapToGrid w:val="0"/>
        </w:rPr>
        <w:t>.</w:t>
      </w:r>
    </w:p>
    <w:p>
      <w:pPr>
        <w:pStyle w:val="Footnotesection"/>
      </w:pPr>
      <w:r>
        <w:tab/>
        <w:t xml:space="preserve">[Section 1 amended by No. 72 of 1983 s. 6.] </w:t>
      </w:r>
    </w:p>
    <w:p>
      <w:pPr>
        <w:pStyle w:val="Heading5"/>
        <w:rPr>
          <w:snapToGrid w:val="0"/>
        </w:rPr>
      </w:pPr>
      <w:bookmarkStart w:id="4" w:name="_Toc401155630"/>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 w:name="_Toc401155631"/>
      <w:r>
        <w:rPr>
          <w:rStyle w:val="CharSectno"/>
        </w:rPr>
        <w:t>3</w:t>
      </w:r>
      <w:r>
        <w:rPr>
          <w:snapToGrid w:val="0"/>
        </w:rPr>
        <w:t>.</w:t>
      </w:r>
      <w:r>
        <w:rPr>
          <w:snapToGrid w:val="0"/>
        </w:rPr>
        <w:tab/>
        <w:t>Definitions</w:t>
      </w:r>
      <w:bookmarkEnd w:id="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5;</w:t>
      </w:r>
    </w:p>
    <w:p>
      <w:pPr>
        <w:pStyle w:val="Defstart"/>
      </w:pPr>
      <w:r>
        <w:rPr>
          <w:b/>
        </w:rPr>
        <w:tab/>
      </w:r>
      <w:r>
        <w:rPr>
          <w:rStyle w:val="CharDefText"/>
        </w:rPr>
        <w:t>committee</w:t>
      </w:r>
      <w:r>
        <w:t xml:space="preserve"> means prices advisory committee established under section 8;</w:t>
      </w:r>
    </w:p>
    <w:p>
      <w:pPr>
        <w:pStyle w:val="Defstart"/>
        <w:rPr>
          <w:spacing w:val="-2"/>
        </w:rPr>
      </w:pPr>
      <w:r>
        <w:rPr>
          <w:b/>
          <w:spacing w:val="-2"/>
        </w:rPr>
        <w:tab/>
      </w:r>
      <w:r>
        <w:rPr>
          <w:rStyle w:val="CharDefText"/>
          <w:spacing w:val="-2"/>
        </w:rPr>
        <w:t>controlled petroleum product</w:t>
      </w:r>
      <w:r>
        <w:rPr>
          <w:spacing w:val="-2"/>
        </w:rPr>
        <w:t xml:space="preserve"> means petroleum product the price of which is for the time being regulated under an order;</w:t>
      </w:r>
    </w:p>
    <w:p>
      <w:pPr>
        <w:pStyle w:val="Defstart"/>
        <w:rPr>
          <w:spacing w:val="-2"/>
        </w:rPr>
      </w:pPr>
      <w:r>
        <w:rPr>
          <w:b/>
          <w:spacing w:val="-2"/>
        </w:rPr>
        <w:tab/>
      </w:r>
      <w:r>
        <w:rPr>
          <w:rStyle w:val="CharDefText"/>
          <w:spacing w:val="-2"/>
        </w:rPr>
        <w:t>controlled petroleum service</w:t>
      </w:r>
      <w:r>
        <w:rPr>
          <w:spacing w:val="-2"/>
        </w:rPr>
        <w:t xml:space="preserve"> means petroleum service the rate for which is for the time being regulated under an order;</w:t>
      </w:r>
    </w:p>
    <w:p>
      <w:pPr>
        <w:pStyle w:val="Defstart"/>
      </w:pPr>
      <w:r>
        <w:rPr>
          <w:b/>
        </w:rPr>
        <w:tab/>
      </w:r>
      <w:r>
        <w:rPr>
          <w:rStyle w:val="CharDefText"/>
        </w:rPr>
        <w:t>declared petroleum product</w:t>
      </w:r>
      <w:r>
        <w:t xml:space="preserve"> means petroleum product for the time being declared under section 10;</w:t>
      </w:r>
    </w:p>
    <w:p>
      <w:pPr>
        <w:pStyle w:val="Defstart"/>
      </w:pPr>
      <w:r>
        <w:rPr>
          <w:b/>
        </w:rPr>
        <w:tab/>
      </w:r>
      <w:r>
        <w:rPr>
          <w:rStyle w:val="CharDefText"/>
        </w:rPr>
        <w:t>declared petroleum service</w:t>
      </w:r>
      <w:r>
        <w:t xml:space="preserve"> means petroleum service for the time being declared under section 10;</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dispensing equipment</w:t>
      </w:r>
      <w:r>
        <w:t xml:space="preserve"> has the meaning given by section 3 of the </w:t>
      </w:r>
      <w:r>
        <w:rPr>
          <w:i/>
        </w:rPr>
        <w:t>Petroleum Retailers Rights and Liabilities Act 1982</w:t>
      </w:r>
      <w:r>
        <w:t>;</w:t>
      </w:r>
    </w:p>
    <w:p>
      <w:pPr>
        <w:pStyle w:val="Defstart"/>
      </w:pPr>
      <w:r>
        <w:rPr>
          <w:b/>
        </w:rPr>
        <w:tab/>
      </w:r>
      <w:r>
        <w:rPr>
          <w:rStyle w:val="CharDefText"/>
        </w:rPr>
        <w:t>documents</w:t>
      </w:r>
      <w:r>
        <w:t xml:space="preserve"> includes books, papers, forms and accounts and any other written records and any device by means of which information is recorded or stored;</w:t>
      </w:r>
    </w:p>
    <w:p>
      <w:pPr>
        <w:pStyle w:val="Defstart"/>
        <w:spacing w:before="65"/>
      </w:pPr>
      <w:r>
        <w:rPr>
          <w:b/>
        </w:rPr>
        <w:tab/>
      </w:r>
      <w:r>
        <w:rPr>
          <w:rStyle w:val="CharDefText"/>
        </w:rPr>
        <w:t>franchise agreement</w:t>
      </w:r>
      <w:r>
        <w:t xml:space="preserve"> has the meaning given by section 3 of the </w:t>
      </w:r>
      <w:r>
        <w:rPr>
          <w:i/>
        </w:rPr>
        <w:t>Petroleum Retail Marketing Franchise Act 1980</w:t>
      </w:r>
      <w:r>
        <w:rPr>
          <w:iCs/>
          <w:vertAlign w:val="superscript"/>
        </w:rPr>
        <w:t> 5</w:t>
      </w:r>
      <w:r>
        <w:t xml:space="preserve"> of the Commonwealth;</w:t>
      </w:r>
    </w:p>
    <w:p>
      <w:pPr>
        <w:pStyle w:val="Defstart"/>
        <w:spacing w:before="65"/>
      </w:pPr>
      <w:r>
        <w:rPr>
          <w:b/>
        </w:rPr>
        <w:tab/>
      </w:r>
      <w:r>
        <w:rPr>
          <w:rStyle w:val="CharDefText"/>
        </w:rPr>
        <w:t>landed cost</w:t>
      </w:r>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spacing w:before="65"/>
      </w:pPr>
      <w:r>
        <w:rPr>
          <w:b/>
        </w:rPr>
        <w:tab/>
      </w:r>
      <w:r>
        <w:rPr>
          <w:rStyle w:val="CharDefText"/>
        </w:rPr>
        <w:t>LPG</w:t>
      </w:r>
      <w:r>
        <w:t xml:space="preserve"> means liquefied petroleum gas;</w:t>
      </w:r>
    </w:p>
    <w:p>
      <w:pPr>
        <w:pStyle w:val="Defstart"/>
        <w:spacing w:before="65"/>
      </w:pPr>
      <w:r>
        <w:rPr>
          <w:b/>
        </w:rPr>
        <w:tab/>
      </w:r>
      <w:r>
        <w:rPr>
          <w:rStyle w:val="CharDefText"/>
        </w:rPr>
        <w:t>motor fuel</w:t>
      </w:r>
      <w:r>
        <w:t xml:space="preserve"> means petrol, LPG, or diesel fuel intended for use in propelling motor vehicles;</w:t>
      </w:r>
    </w:p>
    <w:p>
      <w:pPr>
        <w:pStyle w:val="Defstart"/>
        <w:spacing w:before="65"/>
      </w:pPr>
      <w:r>
        <w:rPr>
          <w:b/>
        </w:rPr>
        <w:tab/>
      </w:r>
      <w:r>
        <w:rPr>
          <w:rStyle w:val="CharDefText"/>
        </w:rPr>
        <w:t>motor vehicle</w:t>
      </w:r>
      <w:r>
        <w:t xml:space="preserve"> has the meaning given by section 5 of the </w:t>
      </w:r>
      <w:r>
        <w:rPr>
          <w:i/>
        </w:rPr>
        <w:t>Road Traffic Act 1974</w:t>
      </w:r>
      <w:r>
        <w:t>;</w:t>
      </w:r>
    </w:p>
    <w:p>
      <w:pPr>
        <w:pStyle w:val="Defstart"/>
        <w:spacing w:before="65"/>
      </w:pPr>
      <w:r>
        <w:rPr>
          <w:b/>
        </w:rPr>
        <w:tab/>
      </w:r>
      <w:r>
        <w:rPr>
          <w:rStyle w:val="CharDefText"/>
        </w:rPr>
        <w:t>order</w:t>
      </w:r>
      <w:r>
        <w:t xml:space="preserve"> means order made under section 12;</w:t>
      </w:r>
    </w:p>
    <w:p>
      <w:pPr>
        <w:pStyle w:val="Defstart"/>
        <w:spacing w:before="65"/>
      </w:pPr>
      <w:r>
        <w:rPr>
          <w:b/>
        </w:rPr>
        <w:tab/>
      </w:r>
      <w:r>
        <w:rPr>
          <w:rStyle w:val="CharDefText"/>
        </w:rPr>
        <w:t>paragraph</w:t>
      </w:r>
      <w:r>
        <w:t xml:space="preserve"> means paragraph of the section or subsection in which the term appears;</w:t>
      </w:r>
    </w:p>
    <w:p>
      <w:pPr>
        <w:pStyle w:val="Defstart"/>
        <w:spacing w:before="65"/>
      </w:pPr>
      <w:r>
        <w:rPr>
          <w:b/>
        </w:rPr>
        <w:tab/>
      </w:r>
      <w:r>
        <w:rPr>
          <w:rStyle w:val="CharDefText"/>
        </w:rPr>
        <w:t>Part</w:t>
      </w:r>
      <w:r>
        <w:t xml:space="preserve"> means Part of this Act;</w:t>
      </w:r>
    </w:p>
    <w:p>
      <w:pPr>
        <w:pStyle w:val="Defstart"/>
        <w:spacing w:before="65"/>
      </w:pPr>
      <w:r>
        <w:tab/>
      </w:r>
      <w:r>
        <w:rPr>
          <w:rStyle w:val="CharDefText"/>
        </w:rPr>
        <w:t>petroleum</w:t>
      </w:r>
      <w:r>
        <w:rPr>
          <w:b/>
        </w:rPr>
        <w:t xml:space="preserve"> </w:t>
      </w:r>
      <w:r>
        <w:t>means —</w:t>
      </w:r>
    </w:p>
    <w:p>
      <w:pPr>
        <w:pStyle w:val="Defpara"/>
        <w:spacing w:before="65"/>
      </w:pPr>
      <w:r>
        <w:tab/>
        <w:t>(a)</w:t>
      </w:r>
      <w:r>
        <w:tab/>
        <w:t>any naturally occurring hydrocarbon, whether in a gaseous, liquid or solid state;</w:t>
      </w:r>
    </w:p>
    <w:p>
      <w:pPr>
        <w:pStyle w:val="Defpara"/>
        <w:spacing w:before="65"/>
      </w:pPr>
      <w:r>
        <w:tab/>
        <w:t>(b)</w:t>
      </w:r>
      <w:r>
        <w:tab/>
        <w:t>any naturally occurring mixture of hydrocarbons, whether in a gaseous, liquid or solid state; or</w:t>
      </w:r>
    </w:p>
    <w:p>
      <w:pPr>
        <w:pStyle w:val="Defpara"/>
        <w:spacing w:before="65"/>
      </w:pPr>
      <w:r>
        <w:tab/>
        <w:t>(c)</w:t>
      </w:r>
      <w:r>
        <w:tab/>
        <w:t>any naturally occurring mixture of one or more hydrocarbons, whether in a gaseous, liquid or solid state, and one or more of the following, that is to say, hydrogen sulphide, nitrogen, helium, and carbon dioxide;</w:t>
      </w:r>
    </w:p>
    <w:p>
      <w:pPr>
        <w:pStyle w:val="Defstart"/>
        <w:spacing w:before="65"/>
      </w:pPr>
      <w:r>
        <w:tab/>
      </w:r>
      <w:r>
        <w:rPr>
          <w:rStyle w:val="CharDefText"/>
        </w:rPr>
        <w:t>petroleum product</w:t>
      </w:r>
      <w:r>
        <w:t xml:space="preserve"> means a product derived from petroleum, but not petroleum itself, except that it does not include —</w:t>
      </w:r>
    </w:p>
    <w:p>
      <w:pPr>
        <w:pStyle w:val="Defpara"/>
        <w:spacing w:before="65"/>
      </w:pPr>
      <w:r>
        <w:tab/>
        <w:t>(a)</w:t>
      </w:r>
      <w:r>
        <w:tab/>
        <w:t>a product listed in Schedule 1; or</w:t>
      </w:r>
    </w:p>
    <w:p>
      <w:pPr>
        <w:pStyle w:val="Defpara"/>
        <w:spacing w:before="65"/>
      </w:pPr>
      <w:r>
        <w:tab/>
        <w:t>(b)</w:t>
      </w:r>
      <w:r>
        <w:tab/>
        <w:t>a product that is excluded from this definition by an order under subsection (4),</w:t>
      </w:r>
    </w:p>
    <w:p>
      <w:pPr>
        <w:pStyle w:val="Defstart"/>
        <w:spacing w:before="60"/>
      </w:pPr>
      <w:r>
        <w:tab/>
        <w:t>and it includes LPG (whether motor fuel or not, and whether or not the LPG is petroleum);</w:t>
      </w:r>
    </w:p>
    <w:p>
      <w:pPr>
        <w:pStyle w:val="Defstart"/>
      </w:pPr>
      <w:r>
        <w:rPr>
          <w:b/>
        </w:rPr>
        <w:tab/>
      </w:r>
      <w:r>
        <w:rPr>
          <w:rStyle w:val="CharDefText"/>
        </w:rPr>
        <w:t>petroleum service</w:t>
      </w:r>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r>
      <w:r>
        <w:rPr>
          <w:rStyle w:val="CharDefText"/>
        </w:rPr>
        <w:t>price</w:t>
      </w:r>
      <w:r>
        <w:t xml:space="preserve">, in relation to any goods, or </w:t>
      </w:r>
      <w:r>
        <w:rPr>
          <w:rStyle w:val="CharDefText"/>
        </w:rPr>
        <w:t>rate</w:t>
      </w:r>
      <w:r>
        <w:t>,</w:t>
      </w:r>
      <w:r>
        <w:rPr>
          <w:b/>
        </w:rPr>
        <w:t xml:space="preserve"> </w:t>
      </w:r>
      <w:r>
        <w:t>in relation to any service, includes every valuable consideration, whether direct or indirect; and a reference to price includes a reference to rate;</w:t>
      </w:r>
    </w:p>
    <w:p>
      <w:pPr>
        <w:pStyle w:val="Defstart"/>
      </w:pPr>
      <w:r>
        <w:rPr>
          <w:b/>
        </w:rPr>
        <w:tab/>
      </w:r>
      <w:r>
        <w:rPr>
          <w:rStyle w:val="CharDefText"/>
        </w:rPr>
        <w:t>section</w:t>
      </w:r>
      <w:r>
        <w:t xml:space="preserve"> means section of this Act;</w:t>
      </w:r>
    </w:p>
    <w:p>
      <w:pPr>
        <w:pStyle w:val="Defstart"/>
      </w:pPr>
      <w:r>
        <w:rPr>
          <w:b/>
        </w:rPr>
        <w:tab/>
      </w:r>
      <w:r>
        <w:rPr>
          <w:rStyle w:val="CharDefText"/>
        </w:rPr>
        <w:t>services</w:t>
      </w:r>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r>
      <w:r>
        <w:rPr>
          <w:rStyle w:val="CharDefText"/>
        </w:rPr>
        <w:t>subsection</w:t>
      </w:r>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 xml:space="preserve">[Section 3 amended by No. 72 of 1983 s. 7 and 15; No. 73 of 2000 s. 3; No. 28 of 2006 s. 114.] </w:t>
      </w:r>
    </w:p>
    <w:p>
      <w:pPr>
        <w:pStyle w:val="Heading5"/>
        <w:rPr>
          <w:snapToGrid w:val="0"/>
        </w:rPr>
      </w:pPr>
      <w:bookmarkStart w:id="6" w:name="_Toc401155632"/>
      <w:r>
        <w:rPr>
          <w:rStyle w:val="CharSectno"/>
        </w:rPr>
        <w:t>4</w:t>
      </w:r>
      <w:r>
        <w:rPr>
          <w:snapToGrid w:val="0"/>
        </w:rPr>
        <w:t>.</w:t>
      </w:r>
      <w:r>
        <w:rPr>
          <w:snapToGrid w:val="0"/>
        </w:rPr>
        <w:tab/>
        <w:t>Relationship to other Acts, etc.</w:t>
      </w:r>
      <w:bookmarkEnd w:id="6"/>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 xml:space="preserve">[Section 4 amended by No. 72 of 1983 s. 15; No. 14 of 1996 s. 4; No. 73 of 2000 s. 13.] </w:t>
      </w:r>
    </w:p>
    <w:p>
      <w:pPr>
        <w:pStyle w:val="Heading2"/>
      </w:pPr>
      <w:bookmarkStart w:id="7" w:name="_Toc401155404"/>
      <w:bookmarkStart w:id="8" w:name="_Toc401155633"/>
      <w:r>
        <w:rPr>
          <w:rStyle w:val="CharPartNo"/>
        </w:rPr>
        <w:t>Part II</w:t>
      </w:r>
      <w:r>
        <w:rPr>
          <w:rStyle w:val="CharDivNo"/>
        </w:rPr>
        <w:t> </w:t>
      </w:r>
      <w:r>
        <w:t>—</w:t>
      </w:r>
      <w:r>
        <w:rPr>
          <w:rStyle w:val="CharDivText"/>
        </w:rPr>
        <w:t> </w:t>
      </w:r>
      <w:r>
        <w:rPr>
          <w:rStyle w:val="CharPartText"/>
        </w:rPr>
        <w:t>Administration</w:t>
      </w:r>
      <w:bookmarkEnd w:id="7"/>
      <w:bookmarkEnd w:id="8"/>
      <w:r>
        <w:rPr>
          <w:rStyle w:val="CharPartText"/>
        </w:rPr>
        <w:t xml:space="preserve"> </w:t>
      </w:r>
    </w:p>
    <w:p>
      <w:pPr>
        <w:pStyle w:val="Heading5"/>
      </w:pPr>
      <w:bookmarkStart w:id="9" w:name="_Toc401155634"/>
      <w:r>
        <w:rPr>
          <w:rStyle w:val="CharSectno"/>
        </w:rPr>
        <w:t>5</w:t>
      </w:r>
      <w:r>
        <w:t>.</w:t>
      </w:r>
      <w:r>
        <w:tab/>
        <w:t>Commissioner</w:t>
      </w:r>
      <w:bookmarkEnd w:id="9"/>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Petroleum Retailers Rights and Liabilities Act 1982</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 inserted by No. 28 of 2006 s. 115.]</w:t>
      </w:r>
    </w:p>
    <w:p>
      <w:pPr>
        <w:pStyle w:val="Heading5"/>
        <w:rPr>
          <w:snapToGrid w:val="0"/>
        </w:rPr>
      </w:pPr>
      <w:bookmarkStart w:id="10" w:name="_Toc401155635"/>
      <w:r>
        <w:rPr>
          <w:rStyle w:val="CharSectno"/>
        </w:rPr>
        <w:t>6</w:t>
      </w:r>
      <w:r>
        <w:rPr>
          <w:snapToGrid w:val="0"/>
        </w:rPr>
        <w:t>.</w:t>
      </w:r>
      <w:r>
        <w:rPr>
          <w:snapToGrid w:val="0"/>
        </w:rPr>
        <w:tab/>
        <w:t>Object and purposes</w:t>
      </w:r>
      <w:bookmarkEnd w:id="10"/>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 xml:space="preserve">[Section 6 amended by No. 72 of 1983 s. 15; No. 73 of 2000 s. 4.] </w:t>
      </w:r>
    </w:p>
    <w:p>
      <w:pPr>
        <w:pStyle w:val="Heading5"/>
        <w:rPr>
          <w:snapToGrid w:val="0"/>
        </w:rPr>
      </w:pPr>
      <w:bookmarkStart w:id="11" w:name="_Toc401155636"/>
      <w:r>
        <w:rPr>
          <w:rStyle w:val="CharSectno"/>
        </w:rPr>
        <w:t>7</w:t>
      </w:r>
      <w:r>
        <w:rPr>
          <w:snapToGrid w:val="0"/>
        </w:rPr>
        <w:t>.</w:t>
      </w:r>
      <w:r>
        <w:rPr>
          <w:snapToGrid w:val="0"/>
        </w:rPr>
        <w:tab/>
        <w:t>General administration, and the powers and duties of the Commissioner</w:t>
      </w:r>
      <w:bookmarkEnd w:id="11"/>
      <w:r>
        <w:rPr>
          <w:snapToGrid w:val="0"/>
        </w:rPr>
        <w:t xml:space="preserve"> </w:t>
      </w:r>
    </w:p>
    <w:p>
      <w:pPr>
        <w:pStyle w:val="Subsection"/>
        <w:rPr>
          <w:snapToGrid w:val="0"/>
        </w:rPr>
      </w:pPr>
      <w:r>
        <w:rPr>
          <w:snapToGrid w:val="0"/>
        </w:rPr>
        <w:tab/>
        <w:t>(1)</w:t>
      </w:r>
      <w:r>
        <w:rPr>
          <w:snapToGrid w:val="0"/>
        </w:rPr>
        <w:tab/>
        <w:t>The functions of the Commissioner are — </w:t>
      </w:r>
    </w:p>
    <w:p>
      <w:pPr>
        <w:pStyle w:val="Indenta"/>
        <w:rPr>
          <w:snapToGrid w:val="0"/>
        </w:rPr>
      </w:pPr>
      <w:r>
        <w:rPr>
          <w:snapToGrid w:val="0"/>
        </w:rPr>
        <w:tab/>
        <w:t>(a)</w:t>
      </w:r>
      <w:r>
        <w:rPr>
          <w:snapToGrid w:val="0"/>
        </w:rPr>
        <w:tab/>
        <w:t>to advise the Minister as to the administration of this Act</w:t>
      </w:r>
      <w:r>
        <w:t xml:space="preserve"> and the </w:t>
      </w:r>
      <w:r>
        <w:rPr>
          <w:i/>
        </w:rPr>
        <w:t>Petroleum Retailers Rights and Liabilities Act 1982</w:t>
      </w:r>
      <w:r>
        <w:rPr>
          <w:snapToGrid w:val="0"/>
        </w:rPr>
        <w:t>, generally and in relation to particular matters; and</w:t>
      </w:r>
    </w:p>
    <w:p>
      <w:pPr>
        <w:pStyle w:val="Indenta"/>
        <w:rPr>
          <w:snapToGrid w:val="0"/>
        </w:rPr>
      </w:pPr>
      <w:r>
        <w:rPr>
          <w:snapToGrid w:val="0"/>
        </w:rPr>
        <w:tab/>
        <w:t>(b)</w:t>
      </w:r>
      <w:r>
        <w:rPr>
          <w:snapToGrid w:val="0"/>
        </w:rPr>
        <w:tab/>
        <w:t>to administer this Act</w:t>
      </w:r>
      <w:r>
        <w:t xml:space="preserve"> and the </w:t>
      </w:r>
      <w:r>
        <w:rPr>
          <w:i/>
        </w:rPr>
        <w:t xml:space="preserve">Petroleum Retailers Rights and Liabilities Act 1982 </w:t>
      </w:r>
      <w:r>
        <w:rPr>
          <w:snapToGrid w:val="0"/>
        </w:rPr>
        <w:t>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w:t>
      </w:r>
      <w:r>
        <w:t xml:space="preserve"> and the </w:t>
      </w:r>
      <w:r>
        <w:rPr>
          <w:i/>
        </w:rPr>
        <w:t>Petroleum Retailers Rights and Liabilities Act 1982</w:t>
      </w:r>
      <w:r>
        <w:rPr>
          <w:snapToGrid w:val="0"/>
        </w:rPr>
        <w: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spacing w:before="90"/>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spacing w:before="90"/>
        <w:rPr>
          <w:snapToGrid w:val="0"/>
        </w:rPr>
      </w:pPr>
      <w:r>
        <w:rPr>
          <w:snapToGrid w:val="0"/>
        </w:rPr>
        <w:tab/>
        <w:t>(d)</w:t>
      </w:r>
      <w:r>
        <w:rPr>
          <w:snapToGrid w:val="0"/>
        </w:rPr>
        <w:tab/>
        <w:t>may, in respect of any investigation, determine the extent, if any, to which — </w:t>
      </w:r>
    </w:p>
    <w:p>
      <w:pPr>
        <w:pStyle w:val="Indenti"/>
        <w:spacing w:before="90"/>
        <w:rPr>
          <w:snapToGrid w:val="0"/>
        </w:rPr>
      </w:pPr>
      <w:r>
        <w:rPr>
          <w:snapToGrid w:val="0"/>
        </w:rPr>
        <w:tab/>
        <w:t>(i)</w:t>
      </w:r>
      <w:r>
        <w:rPr>
          <w:snapToGrid w:val="0"/>
        </w:rPr>
        <w:tab/>
        <w:t>he will hold proceedings in public; and</w:t>
      </w:r>
    </w:p>
    <w:p>
      <w:pPr>
        <w:pStyle w:val="Indenti"/>
        <w:spacing w:before="90"/>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may, unless otherwise directed by the Minister, determine the procedure to be used in relation to any investigation.</w:t>
      </w:r>
    </w:p>
    <w:p>
      <w:pPr>
        <w:pStyle w:val="Footnotesection"/>
        <w:ind w:left="890" w:hanging="890"/>
      </w:pPr>
      <w:r>
        <w:tab/>
        <w:t xml:space="preserve">[Section 7 amended by No. 72 of 1983 s. 8 and 15; No. 98 of 1985 s. 3; No. 73 of 2000 s. 5; No. 28 of 2006 s. 116.] </w:t>
      </w:r>
    </w:p>
    <w:p>
      <w:pPr>
        <w:pStyle w:val="Heading5"/>
        <w:spacing w:before="240"/>
        <w:rPr>
          <w:snapToGrid w:val="0"/>
        </w:rPr>
      </w:pPr>
      <w:bookmarkStart w:id="12" w:name="_Toc401155637"/>
      <w:r>
        <w:rPr>
          <w:rStyle w:val="CharSectno"/>
        </w:rPr>
        <w:t>8</w:t>
      </w:r>
      <w:r>
        <w:rPr>
          <w:snapToGrid w:val="0"/>
        </w:rPr>
        <w:t>.</w:t>
      </w:r>
      <w:r>
        <w:rPr>
          <w:snapToGrid w:val="0"/>
        </w:rPr>
        <w:tab/>
        <w:t>Prices advisory committees</w:t>
      </w:r>
      <w:bookmarkEnd w:id="12"/>
      <w:r>
        <w:rPr>
          <w:snapToGrid w:val="0"/>
        </w:rPr>
        <w:t xml:space="preserve"> </w:t>
      </w:r>
    </w:p>
    <w:p>
      <w:pPr>
        <w:pStyle w:val="Subsection"/>
        <w:spacing w:before="180"/>
        <w:rPr>
          <w:snapToGrid w:val="0"/>
        </w:rPr>
      </w:pPr>
      <w:r>
        <w:rPr>
          <w:snapToGrid w:val="0"/>
        </w:rPr>
        <w:tab/>
        <w:t>(1)</w:t>
      </w:r>
      <w:r>
        <w:rPr>
          <w:snapToGrid w:val="0"/>
        </w:rPr>
        <w:tab/>
        <w:t>The Minister may appoint one or more prices advisory committees to advise — </w:t>
      </w:r>
    </w:p>
    <w:p>
      <w:pPr>
        <w:pStyle w:val="Indenta"/>
        <w:spacing w:before="90"/>
        <w:rPr>
          <w:snapToGrid w:val="0"/>
        </w:rPr>
      </w:pPr>
      <w:r>
        <w:rPr>
          <w:snapToGrid w:val="0"/>
        </w:rPr>
        <w:tab/>
        <w:t>(a)</w:t>
      </w:r>
      <w:r>
        <w:rPr>
          <w:snapToGrid w:val="0"/>
        </w:rPr>
        <w:tab/>
        <w:t>whether or not particular petroleum products or petroleum services should be declared under section 10; or</w:t>
      </w:r>
    </w:p>
    <w:p>
      <w:pPr>
        <w:pStyle w:val="Indenta"/>
        <w:keepNext/>
        <w:spacing w:before="90"/>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keepNext/>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consumer representative</w:t>
      </w:r>
      <w:r>
        <w:t xml:space="preserve"> means a person appointed to a committee to represent consumers of petroleum products or users of petroleum services;</w:t>
      </w:r>
    </w:p>
    <w:p>
      <w:pPr>
        <w:pStyle w:val="Defstart"/>
      </w:pPr>
      <w:r>
        <w:rPr>
          <w:b/>
        </w:rPr>
        <w:tab/>
      </w:r>
      <w:r>
        <w:rPr>
          <w:rStyle w:val="CharDefText"/>
        </w:rPr>
        <w:t>trade representative</w:t>
      </w:r>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 xml:space="preserve">[Section 8 amended by No. 72 of 1983 s. 15.] </w:t>
      </w:r>
    </w:p>
    <w:p>
      <w:pPr>
        <w:pStyle w:val="Heading5"/>
        <w:rPr>
          <w:snapToGrid w:val="0"/>
        </w:rPr>
      </w:pPr>
      <w:bookmarkStart w:id="13" w:name="_Toc401155638"/>
      <w:r>
        <w:rPr>
          <w:rStyle w:val="CharSectno"/>
        </w:rPr>
        <w:t>9</w:t>
      </w:r>
      <w:r>
        <w:rPr>
          <w:snapToGrid w:val="0"/>
        </w:rPr>
        <w:t>.</w:t>
      </w:r>
      <w:r>
        <w:rPr>
          <w:snapToGrid w:val="0"/>
        </w:rPr>
        <w:tab/>
        <w:t>Terms of office of members of committees</w:t>
      </w:r>
      <w:bookmarkEnd w:id="13"/>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dies or otherwise becomes permanently incapable of performing his duties as such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Footnotesection"/>
      </w:pPr>
      <w:r>
        <w:tab/>
        <w:t>[Section 9 amended by No. 18 of 2009 s. 66.]</w:t>
      </w:r>
    </w:p>
    <w:p>
      <w:pPr>
        <w:pStyle w:val="Heading2"/>
      </w:pPr>
      <w:bookmarkStart w:id="14" w:name="_Toc401155410"/>
      <w:bookmarkStart w:id="15" w:name="_Toc401155639"/>
      <w:r>
        <w:rPr>
          <w:rStyle w:val="CharPartNo"/>
        </w:rPr>
        <w:t>Part III</w:t>
      </w:r>
      <w:r>
        <w:t> — </w:t>
      </w:r>
      <w:r>
        <w:rPr>
          <w:rStyle w:val="CharPartText"/>
        </w:rPr>
        <w:t>Regulation of prices and rates</w:t>
      </w:r>
      <w:bookmarkEnd w:id="14"/>
      <w:bookmarkEnd w:id="15"/>
      <w:r>
        <w:rPr>
          <w:rStyle w:val="CharPartText"/>
        </w:rPr>
        <w:t xml:space="preserve"> </w:t>
      </w:r>
    </w:p>
    <w:p>
      <w:pPr>
        <w:pStyle w:val="Heading3"/>
        <w:rPr>
          <w:snapToGrid w:val="0"/>
        </w:rPr>
      </w:pPr>
      <w:bookmarkStart w:id="16" w:name="_Toc401155411"/>
      <w:bookmarkStart w:id="17" w:name="_Toc401155640"/>
      <w:r>
        <w:rPr>
          <w:rStyle w:val="CharDivNo"/>
        </w:rPr>
        <w:t>Division 1</w:t>
      </w:r>
      <w:r>
        <w:rPr>
          <w:snapToGrid w:val="0"/>
        </w:rPr>
        <w:t> — </w:t>
      </w:r>
      <w:r>
        <w:rPr>
          <w:rStyle w:val="CharDivText"/>
        </w:rPr>
        <w:t>Declaration of goods and services</w:t>
      </w:r>
      <w:bookmarkEnd w:id="16"/>
      <w:bookmarkEnd w:id="17"/>
      <w:r>
        <w:rPr>
          <w:rStyle w:val="CharDivText"/>
        </w:rPr>
        <w:t xml:space="preserve"> </w:t>
      </w:r>
    </w:p>
    <w:p>
      <w:pPr>
        <w:pStyle w:val="Heading5"/>
        <w:rPr>
          <w:snapToGrid w:val="0"/>
        </w:rPr>
      </w:pPr>
      <w:bookmarkStart w:id="18" w:name="_Toc401155641"/>
      <w:r>
        <w:rPr>
          <w:rStyle w:val="CharSectno"/>
        </w:rPr>
        <w:t>10</w:t>
      </w:r>
      <w:r>
        <w:rPr>
          <w:snapToGrid w:val="0"/>
        </w:rPr>
        <w:t>.</w:t>
      </w:r>
      <w:r>
        <w:rPr>
          <w:snapToGrid w:val="0"/>
        </w:rPr>
        <w:tab/>
        <w:t>Declaration of goods and services</w:t>
      </w:r>
      <w:bookmarkEnd w:id="18"/>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 xml:space="preserve">[Section 10 amended by No. 72 of 1983 s. 9 and 15.] </w:t>
      </w:r>
    </w:p>
    <w:p>
      <w:pPr>
        <w:pStyle w:val="Heading5"/>
        <w:rPr>
          <w:snapToGrid w:val="0"/>
        </w:rPr>
      </w:pPr>
      <w:bookmarkStart w:id="19" w:name="_Toc401155642"/>
      <w:r>
        <w:rPr>
          <w:rStyle w:val="CharSectno"/>
        </w:rPr>
        <w:t>11</w:t>
      </w:r>
      <w:r>
        <w:rPr>
          <w:snapToGrid w:val="0"/>
        </w:rPr>
        <w:t>.</w:t>
      </w:r>
      <w:r>
        <w:rPr>
          <w:snapToGrid w:val="0"/>
        </w:rPr>
        <w:tab/>
        <w:t>Procedure when increase in price or rate of declared goods or declared service proposed</w:t>
      </w:r>
      <w:bookmarkEnd w:id="19"/>
      <w:r>
        <w:rPr>
          <w:snapToGrid w:val="0"/>
        </w:rPr>
        <w:t xml:space="preserve"> </w:t>
      </w:r>
    </w:p>
    <w:p>
      <w:pPr>
        <w:pStyle w:val="Subsection"/>
        <w:rPr>
          <w:snapToGrid w:val="0"/>
        </w:rPr>
      </w:pPr>
      <w:r>
        <w:rPr>
          <w:snapToGrid w:val="0"/>
        </w:rPr>
        <w:tab/>
        <w:t>(1)</w:t>
      </w:r>
      <w:r>
        <w:rPr>
          <w:snapToGrid w:val="0"/>
        </w:rPr>
        <w:tab/>
        <w:t>A notice under section 10 may require that — </w:t>
      </w:r>
    </w:p>
    <w:p>
      <w:pPr>
        <w:pStyle w:val="Indenta"/>
        <w:rPr>
          <w:snapToGrid w:val="0"/>
        </w:rPr>
      </w:pPr>
      <w:r>
        <w:rPr>
          <w:snapToGrid w:val="0"/>
        </w:rPr>
        <w:tab/>
        <w:t>(a)</w:t>
      </w:r>
      <w:r>
        <w:rPr>
          <w:snapToGrid w:val="0"/>
        </w:rPr>
        <w:tab/>
        <w:t>any person generally;</w:t>
      </w:r>
    </w:p>
    <w:p>
      <w:pPr>
        <w:pStyle w:val="Indenta"/>
        <w:rPr>
          <w:snapToGrid w:val="0"/>
        </w:rPr>
      </w:pPr>
      <w:r>
        <w:rPr>
          <w:snapToGrid w:val="0"/>
        </w:rPr>
        <w:tab/>
        <w:t>(b)</w:t>
      </w:r>
      <w:r>
        <w:rPr>
          <w:snapToGrid w:val="0"/>
        </w:rPr>
        <w:tab/>
        <w:t>any person included in a class of persons;</w:t>
      </w:r>
    </w:p>
    <w:p>
      <w:pPr>
        <w:pStyle w:val="Indenta"/>
        <w:rPr>
          <w:snapToGrid w:val="0"/>
        </w:rPr>
      </w:pPr>
      <w:r>
        <w:rPr>
          <w:snapToGrid w:val="0"/>
        </w:rPr>
        <w:tab/>
        <w:t>(c)</w:t>
      </w:r>
      <w:r>
        <w:rPr>
          <w:snapToGrid w:val="0"/>
        </w:rPr>
        <w:tab/>
        <w:t>any person to whom a notice is given in pursuance of the declaration; or</w:t>
      </w:r>
    </w:p>
    <w:p>
      <w:pPr>
        <w:pStyle w:val="Indenta"/>
        <w:rPr>
          <w:snapToGrid w:val="0"/>
        </w:rPr>
      </w:pPr>
      <w:r>
        <w:rPr>
          <w:snapToGrid w:val="0"/>
        </w:rPr>
        <w:tab/>
        <w:t>(d)</w:t>
      </w:r>
      <w:r>
        <w:rPr>
          <w:snapToGrid w:val="0"/>
        </w:rPr>
        <w:tab/>
        <w:t>any particular person,</w:t>
      </w:r>
    </w:p>
    <w:p>
      <w:pPr>
        <w:pStyle w:val="Subsection"/>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rPr>
          <w:snapToGrid w:val="0"/>
        </w:rPr>
      </w:pPr>
      <w:r>
        <w:rPr>
          <w:snapToGrid w:val="0"/>
        </w:rPr>
        <w:tab/>
        <w:t>(a)</w:t>
      </w:r>
      <w:r>
        <w:rPr>
          <w:snapToGrid w:val="0"/>
        </w:rPr>
        <w:tab/>
        <w:t>the cost to the manufacturer, seller or supplier of the declared petroleum products or declared petroleum service concerned;</w:t>
      </w:r>
    </w:p>
    <w:p>
      <w:pPr>
        <w:pStyle w:val="Indenta"/>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r>
      <w:r>
        <w:rPr>
          <w:rStyle w:val="CharDefText"/>
        </w:rPr>
        <w:t>working day</w:t>
      </w:r>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 xml:space="preserve">[Section 11 amended by No. 72 of 1983 s. 10 and 15; No. 73 of 2000 s. 14(1); No. 11 of 2001 s. 21(1).] </w:t>
      </w:r>
    </w:p>
    <w:p>
      <w:pPr>
        <w:pStyle w:val="Heading3"/>
        <w:rPr>
          <w:rFonts w:ascii="Courier New" w:hAnsi="Courier New"/>
          <w:snapToGrid w:val="0"/>
          <w:sz w:val="24"/>
        </w:rPr>
      </w:pPr>
      <w:bookmarkStart w:id="20" w:name="_Toc401155414"/>
      <w:bookmarkStart w:id="21" w:name="_Toc401155643"/>
      <w:r>
        <w:rPr>
          <w:rStyle w:val="CharDivNo"/>
        </w:rPr>
        <w:t>Division 2</w:t>
      </w:r>
      <w:r>
        <w:rPr>
          <w:snapToGrid w:val="0"/>
        </w:rPr>
        <w:t> — </w:t>
      </w:r>
      <w:r>
        <w:rPr>
          <w:rStyle w:val="CharDivText"/>
        </w:rPr>
        <w:t>Determination of maximum prices and rates for goods and services</w:t>
      </w:r>
      <w:bookmarkEnd w:id="20"/>
      <w:bookmarkEnd w:id="21"/>
    </w:p>
    <w:p>
      <w:pPr>
        <w:pStyle w:val="Heading5"/>
        <w:rPr>
          <w:snapToGrid w:val="0"/>
        </w:rPr>
      </w:pPr>
      <w:bookmarkStart w:id="22" w:name="_Toc401155644"/>
      <w:r>
        <w:rPr>
          <w:rStyle w:val="CharSectno"/>
        </w:rPr>
        <w:t>12</w:t>
      </w:r>
      <w:r>
        <w:rPr>
          <w:snapToGrid w:val="0"/>
        </w:rPr>
        <w:t>.</w:t>
      </w:r>
      <w:r>
        <w:rPr>
          <w:snapToGrid w:val="0"/>
        </w:rPr>
        <w:tab/>
        <w:t>Determination of maximum prices and rates</w:t>
      </w:r>
      <w:bookmarkEnd w:id="22"/>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spacing w:before="180"/>
      </w:pPr>
      <w:r>
        <w:tab/>
        <w:t>(2a)</w:t>
      </w:r>
      <w:r>
        <w:tab/>
        <w:t>An order fixing a maximum price for the sale of motor fuel may apply to a particular terminal, as defined in Part IIIA.</w:t>
      </w:r>
    </w:p>
    <w:p>
      <w:pPr>
        <w:pStyle w:val="Subsection"/>
        <w:spacing w:before="180"/>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spacing w:before="180"/>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r>
        <w:rPr>
          <w:rStyle w:val="CharDefText"/>
        </w:rPr>
        <w:t>the new impost</w:t>
      </w:r>
      <w:r>
        <w:rPr>
          <w:snapToGrid w:val="0"/>
        </w:rPr>
        <w:t xml:space="preserve">) on or in relation to or by reference to that declared petroleum product or an increase in the rate of a fee, levy, duty, tax or other impost (in this subsection called </w:t>
      </w:r>
      <w:r>
        <w:rPr>
          <w:rStyle w:val="CharDefText"/>
        </w:rPr>
        <w:t>the impost rate</w:t>
      </w:r>
      <w:r>
        <w:rPr>
          <w:snapToGrid w:val="0"/>
        </w:rPr>
        <w:t>) so imposed on or in relation to or by reference to that declared petroleum product,</w:t>
      </w:r>
    </w:p>
    <w:p>
      <w:pPr>
        <w:pStyle w:val="Subsection"/>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 xml:space="preserve">[Section 12 amended by No. 72 of 1983 s. 11 and 15; No. 73 of 2000 s. 6.] </w:t>
      </w:r>
    </w:p>
    <w:p>
      <w:pPr>
        <w:pStyle w:val="Heading5"/>
        <w:rPr>
          <w:snapToGrid w:val="0"/>
        </w:rPr>
      </w:pPr>
      <w:bookmarkStart w:id="23" w:name="_Toc401155645"/>
      <w:r>
        <w:rPr>
          <w:rStyle w:val="CharSectno"/>
        </w:rPr>
        <w:t>13</w:t>
      </w:r>
      <w:r>
        <w:rPr>
          <w:snapToGrid w:val="0"/>
        </w:rPr>
        <w:t>.</w:t>
      </w:r>
      <w:r>
        <w:rPr>
          <w:snapToGrid w:val="0"/>
        </w:rPr>
        <w:tab/>
        <w:t>Power of Minister to suspend order</w:t>
      </w:r>
      <w:bookmarkEnd w:id="23"/>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24" w:name="_Toc401155417"/>
      <w:bookmarkStart w:id="25" w:name="_Toc401155646"/>
      <w:r>
        <w:rPr>
          <w:rStyle w:val="CharDivNo"/>
        </w:rPr>
        <w:t>Division 3</w:t>
      </w:r>
      <w:r>
        <w:rPr>
          <w:snapToGrid w:val="0"/>
        </w:rPr>
        <w:t> — </w:t>
      </w:r>
      <w:r>
        <w:rPr>
          <w:rStyle w:val="CharDivText"/>
        </w:rPr>
        <w:t>Enforcement of maximum prices and rates</w:t>
      </w:r>
      <w:bookmarkEnd w:id="24"/>
      <w:bookmarkEnd w:id="25"/>
      <w:r>
        <w:rPr>
          <w:rStyle w:val="CharDivText"/>
        </w:rPr>
        <w:t xml:space="preserve"> </w:t>
      </w:r>
    </w:p>
    <w:p>
      <w:pPr>
        <w:pStyle w:val="Heading5"/>
        <w:rPr>
          <w:snapToGrid w:val="0"/>
        </w:rPr>
      </w:pPr>
      <w:bookmarkStart w:id="26" w:name="_Toc401155647"/>
      <w:r>
        <w:rPr>
          <w:rStyle w:val="CharSectno"/>
        </w:rPr>
        <w:t>14</w:t>
      </w:r>
      <w:r>
        <w:rPr>
          <w:snapToGrid w:val="0"/>
        </w:rPr>
        <w:t>.</w:t>
      </w:r>
      <w:r>
        <w:rPr>
          <w:snapToGrid w:val="0"/>
        </w:rPr>
        <w:tab/>
        <w:t>Offence to sell goods at price higher than maximum price or supply service at rate higher than maximum rate</w:t>
      </w:r>
      <w:bookmarkEnd w:id="26"/>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rPr>
          <w:snapToGrid w:val="0"/>
        </w:rPr>
      </w:pPr>
      <w:r>
        <w:rPr>
          <w:snapToGrid w:val="0"/>
        </w:rPr>
        <w:tab/>
        <w:t>(b)</w:t>
      </w:r>
      <w:r>
        <w:rPr>
          <w:snapToGrid w:val="0"/>
        </w:rPr>
        <w:tab/>
        <w:t>in any other manner to the advantage of that person.</w:t>
      </w:r>
    </w:p>
    <w:p>
      <w:pPr>
        <w:pStyle w:val="Penstart"/>
        <w:rPr>
          <w:snapToGrid w:val="0"/>
        </w:rPr>
      </w:pPr>
      <w:r>
        <w:rPr>
          <w:snapToGrid w:val="0"/>
        </w:rPr>
        <w:tab/>
        <w:t>Penalty: $20 000.</w:t>
      </w:r>
    </w:p>
    <w:p>
      <w:pPr>
        <w:pStyle w:val="Subsection"/>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ind w:left="890" w:hanging="890"/>
      </w:pPr>
      <w:r>
        <w:tab/>
        <w:t xml:space="preserve">[Section 14 amended by No. 72 of 1983 s. 15; No. 73 of 2000 s. 14(1); No. 11 of 2001 s. 21(1).] </w:t>
      </w:r>
    </w:p>
    <w:p>
      <w:pPr>
        <w:pStyle w:val="Heading5"/>
        <w:rPr>
          <w:snapToGrid w:val="0"/>
        </w:rPr>
      </w:pPr>
      <w:bookmarkStart w:id="27" w:name="_Toc401155648"/>
      <w:r>
        <w:rPr>
          <w:rStyle w:val="CharSectno"/>
        </w:rPr>
        <w:t>15</w:t>
      </w:r>
      <w:r>
        <w:rPr>
          <w:snapToGrid w:val="0"/>
        </w:rPr>
        <w:t>.</w:t>
      </w:r>
      <w:r>
        <w:rPr>
          <w:snapToGrid w:val="0"/>
        </w:rPr>
        <w:tab/>
        <w:t>Delivery of goods less in quantity than, or of inferior quality to, those sold</w:t>
      </w:r>
      <w:bookmarkEnd w:id="27"/>
      <w:r>
        <w:rPr>
          <w:snapToGrid w:val="0"/>
        </w:rPr>
        <w:t xml:space="preserve"> </w:t>
      </w:r>
    </w:p>
    <w:p>
      <w:pPr>
        <w:pStyle w:val="Subsection"/>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 xml:space="preserve">[Section 15 amended by No. 72 of 1983 s. 15; No. 73 of 2000 s. 14(1); No. 11 of 2001 s. 21(1).] </w:t>
      </w:r>
    </w:p>
    <w:p>
      <w:pPr>
        <w:pStyle w:val="Heading5"/>
        <w:rPr>
          <w:snapToGrid w:val="0"/>
        </w:rPr>
      </w:pPr>
      <w:bookmarkStart w:id="28" w:name="_Toc401155649"/>
      <w:r>
        <w:rPr>
          <w:rStyle w:val="CharSectno"/>
        </w:rPr>
        <w:t>16</w:t>
      </w:r>
      <w:r>
        <w:rPr>
          <w:snapToGrid w:val="0"/>
        </w:rPr>
        <w:t>.</w:t>
      </w:r>
      <w:r>
        <w:rPr>
          <w:snapToGrid w:val="0"/>
        </w:rPr>
        <w:tab/>
        <w:t>Alterations in mode of packing or recipe or formula</w:t>
      </w:r>
      <w:bookmarkEnd w:id="28"/>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date of fixation</w:t>
      </w:r>
      <w:r>
        <w:t>, when used in relation to any petroleum products, means the most recent date on which an order fixing the maximum price of those petroleum products took effect.</w:t>
      </w:r>
    </w:p>
    <w:p>
      <w:pPr>
        <w:pStyle w:val="Footnotesection"/>
        <w:keepLines w:val="0"/>
        <w:spacing w:before="80"/>
        <w:ind w:left="890" w:hanging="890"/>
      </w:pPr>
      <w:r>
        <w:tab/>
        <w:t xml:space="preserve">[Section 16 amended by No. 72 of 1983 s. 12 and 15; No. 73 of 2000 s. 14(1); No. 11 of 2001 s. 21(1); No. 84 of 2004 s. 82.] </w:t>
      </w:r>
    </w:p>
    <w:p>
      <w:pPr>
        <w:pStyle w:val="Heading5"/>
        <w:rPr>
          <w:snapToGrid w:val="0"/>
        </w:rPr>
      </w:pPr>
      <w:bookmarkStart w:id="29" w:name="_Toc401155650"/>
      <w:r>
        <w:rPr>
          <w:rStyle w:val="CharSectno"/>
        </w:rPr>
        <w:t>17</w:t>
      </w:r>
      <w:r>
        <w:rPr>
          <w:snapToGrid w:val="0"/>
        </w:rPr>
        <w:t>.</w:t>
      </w:r>
      <w:r>
        <w:rPr>
          <w:snapToGrid w:val="0"/>
        </w:rPr>
        <w:tab/>
        <w:t>Price or rate of controlled goods or service to be specified separately</w:t>
      </w:r>
      <w:bookmarkEnd w:id="2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 xml:space="preserve">[Section 17 amended by No. 72 of 1983 s. 13 and 15; No. 73 of 2000 s. 14(1); No. 11 of 2001 s. 21(1).] </w:t>
      </w:r>
    </w:p>
    <w:p>
      <w:pPr>
        <w:pStyle w:val="Heading5"/>
        <w:rPr>
          <w:snapToGrid w:val="0"/>
        </w:rPr>
      </w:pPr>
      <w:bookmarkStart w:id="30" w:name="_Toc401155651"/>
      <w:r>
        <w:rPr>
          <w:rStyle w:val="CharSectno"/>
        </w:rPr>
        <w:t>18</w:t>
      </w:r>
      <w:r>
        <w:rPr>
          <w:snapToGrid w:val="0"/>
        </w:rPr>
        <w:t>.</w:t>
      </w:r>
      <w:r>
        <w:rPr>
          <w:snapToGrid w:val="0"/>
        </w:rPr>
        <w:tab/>
        <w:t>Power of Commissioner to prohibit certain transactions</w:t>
      </w:r>
      <w:bookmarkEnd w:id="30"/>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r>
        <w:rPr>
          <w:rStyle w:val="CharDefText"/>
        </w:rPr>
        <w:t>the vendor</w:t>
      </w:r>
      <w:r>
        <w:rPr>
          <w:snapToGrid w:val="0"/>
        </w:rPr>
        <w:t>)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8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ind w:left="890" w:hanging="890"/>
      </w:pPr>
      <w:r>
        <w:tab/>
        <w:t>[Section 18 amended by No. 72 of 1983 s. 15; No. 73 of 2000 s. 14(1); No. 11 of 2001 s. 21(1).]</w:t>
      </w:r>
    </w:p>
    <w:p>
      <w:pPr>
        <w:pStyle w:val="Heading5"/>
        <w:rPr>
          <w:snapToGrid w:val="0"/>
        </w:rPr>
      </w:pPr>
      <w:bookmarkStart w:id="31" w:name="_Toc401155652"/>
      <w:r>
        <w:rPr>
          <w:rStyle w:val="CharSectno"/>
        </w:rPr>
        <w:t>19</w:t>
      </w:r>
      <w:r>
        <w:rPr>
          <w:snapToGrid w:val="0"/>
        </w:rPr>
        <w:t>.</w:t>
      </w:r>
      <w:r>
        <w:rPr>
          <w:snapToGrid w:val="0"/>
        </w:rPr>
        <w:tab/>
        <w:t>Refusal to sell goods at fixed price</w:t>
      </w:r>
      <w:bookmarkEnd w:id="31"/>
      <w:r>
        <w:rPr>
          <w:snapToGrid w:val="0"/>
        </w:rPr>
        <w:t xml:space="preserve"> </w:t>
      </w:r>
    </w:p>
    <w:p>
      <w:pPr>
        <w:pStyle w:val="Subsection"/>
        <w:rPr>
          <w:snapToGrid w:val="0"/>
        </w:rPr>
      </w:pPr>
      <w:r>
        <w:rPr>
          <w:snapToGrid w:val="0"/>
        </w:rPr>
        <w:tab/>
        <w:t>(1)</w:t>
      </w:r>
      <w:r>
        <w:rPr>
          <w:snapToGrid w:val="0"/>
        </w:rPr>
        <w:tab/>
        <w:t>A person who has in his custody or under his control any controlled petroleum products for sale shall not refuse or fail — </w:t>
      </w:r>
    </w:p>
    <w:p>
      <w:pPr>
        <w:pStyle w:val="Indenta"/>
        <w:rPr>
          <w:snapToGrid w:val="0"/>
        </w:rPr>
      </w:pPr>
      <w:r>
        <w:rPr>
          <w:snapToGrid w:val="0"/>
        </w:rPr>
        <w:tab/>
        <w:t>(a)</w:t>
      </w:r>
      <w:r>
        <w:rPr>
          <w:snapToGrid w:val="0"/>
        </w:rPr>
        <w:tab/>
        <w:t>on demand for a quantity of those controlled petroleum products; and</w:t>
      </w:r>
    </w:p>
    <w:p>
      <w:pPr>
        <w:pStyle w:val="Indenta"/>
        <w:rPr>
          <w:snapToGrid w:val="0"/>
        </w:rPr>
      </w:pPr>
      <w:r>
        <w:rPr>
          <w:snapToGrid w:val="0"/>
        </w:rPr>
        <w:tab/>
        <w:t>(b)</w:t>
      </w:r>
      <w:r>
        <w:rPr>
          <w:snapToGrid w:val="0"/>
        </w:rPr>
        <w:tab/>
        <w:t>on tender of payment at the maximum price fixed under this Act for that quantity of those controlled petroleum products,</w:t>
      </w:r>
    </w:p>
    <w:p>
      <w:pPr>
        <w:pStyle w:val="Subsection"/>
        <w:rPr>
          <w:snapToGrid w:val="0"/>
        </w:rPr>
      </w:pPr>
      <w:r>
        <w:rPr>
          <w:snapToGrid w:val="0"/>
        </w:rPr>
        <w:tab/>
      </w:r>
      <w:r>
        <w:rPr>
          <w:snapToGrid w:val="0"/>
        </w:rPr>
        <w:tab/>
        <w:t>to sell those controlled petroleum products in the quantity demanded.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100"/>
        <w:rPr>
          <w:snapToGrid w:val="0"/>
        </w:rPr>
      </w:pPr>
      <w:r>
        <w:rPr>
          <w:snapToGrid w:val="0"/>
        </w:rPr>
        <w:tab/>
        <w:t>(ii)</w:t>
      </w:r>
      <w:r>
        <w:rPr>
          <w:snapToGrid w:val="0"/>
        </w:rPr>
        <w:tab/>
        <w:t>the ordinary requirements of his business;</w:t>
      </w:r>
    </w:p>
    <w:p>
      <w:pPr>
        <w:pStyle w:val="Indenta"/>
        <w:spacing w:before="100"/>
      </w:pPr>
      <w:r>
        <w:tab/>
        <w:t>(b)</w:t>
      </w:r>
      <w:r>
        <w:tab/>
        <w:t xml:space="preserve">either — </w:t>
      </w:r>
    </w:p>
    <w:p>
      <w:pPr>
        <w:pStyle w:val="Indenti"/>
        <w:spacing w:before="10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10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 xml:space="preserve"> the accused — </w:t>
      </w:r>
    </w:p>
    <w:p>
      <w:pPr>
        <w:pStyle w:val="Indenti"/>
        <w:spacing w:before="10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10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10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spacing w:before="180"/>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 xml:space="preserve">[Section 19 amended by No. 72 of 1983 s. 15; No. 73 of 2000 s. 7, 13 and 14(1); No. 11 of 2001 s. 21(1); correction to reprint in Gazette 20 Sep 2002 p. 4693; No. 84 of 2004 s. 82.] </w:t>
      </w:r>
    </w:p>
    <w:p>
      <w:pPr>
        <w:pStyle w:val="Heading5"/>
        <w:rPr>
          <w:snapToGrid w:val="0"/>
        </w:rPr>
      </w:pPr>
      <w:bookmarkStart w:id="32" w:name="_Toc401155653"/>
      <w:r>
        <w:rPr>
          <w:rStyle w:val="CharSectno"/>
        </w:rPr>
        <w:t>20</w:t>
      </w:r>
      <w:r>
        <w:rPr>
          <w:snapToGrid w:val="0"/>
        </w:rPr>
        <w:t>.</w:t>
      </w:r>
      <w:r>
        <w:rPr>
          <w:snapToGrid w:val="0"/>
        </w:rPr>
        <w:tab/>
        <w:t>Refusal to supply service at fixed rate</w:t>
      </w:r>
      <w:bookmarkEnd w:id="32"/>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 xml:space="preserve">[Section 20 amended by No. 72 of 1983 s. 15; No. 73 of 2000 s. 13 and 14(1); No. 11 of 2001 s. 21(1); No. 84 of 2004 s. 82.] </w:t>
      </w:r>
    </w:p>
    <w:p>
      <w:pPr>
        <w:pStyle w:val="Heading5"/>
        <w:rPr>
          <w:snapToGrid w:val="0"/>
        </w:rPr>
      </w:pPr>
      <w:bookmarkStart w:id="33" w:name="_Toc401155654"/>
      <w:r>
        <w:rPr>
          <w:rStyle w:val="CharSectno"/>
        </w:rPr>
        <w:t>21</w:t>
      </w:r>
      <w:r>
        <w:rPr>
          <w:snapToGrid w:val="0"/>
        </w:rPr>
        <w:t>.</w:t>
      </w:r>
      <w:r>
        <w:rPr>
          <w:snapToGrid w:val="0"/>
        </w:rPr>
        <w:tab/>
        <w:t>Refusal to sell or supply unless other goods or services are also purchased</w:t>
      </w:r>
      <w:bookmarkEnd w:id="3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 xml:space="preserve">[Section 21 amended by No. 72 of 1983 s. 15; No. 73 of 2000 s. 14(1); No. 11 of 2001 s. 21(1).] </w:t>
      </w:r>
    </w:p>
    <w:p>
      <w:pPr>
        <w:pStyle w:val="Heading5"/>
        <w:rPr>
          <w:snapToGrid w:val="0"/>
        </w:rPr>
      </w:pPr>
      <w:bookmarkStart w:id="34" w:name="_Toc401155655"/>
      <w:r>
        <w:rPr>
          <w:rStyle w:val="CharSectno"/>
        </w:rPr>
        <w:t>22</w:t>
      </w:r>
      <w:r>
        <w:rPr>
          <w:snapToGrid w:val="0"/>
        </w:rPr>
        <w:t>.</w:t>
      </w:r>
      <w:r>
        <w:rPr>
          <w:snapToGrid w:val="0"/>
        </w:rPr>
        <w:tab/>
        <w:t>“</w:t>
      </w:r>
      <w:r>
        <w:t>Offer</w:t>
      </w:r>
      <w:r>
        <w:rPr>
          <w:snapToGrid w:val="0"/>
        </w:rPr>
        <w:t>” includes notification of price or rate</w:t>
      </w:r>
      <w:bookmarkEnd w:id="34"/>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 xml:space="preserve">[Section 22 amended by No. 72 of 1983 s. 15.] </w:t>
      </w:r>
    </w:p>
    <w:p>
      <w:pPr>
        <w:pStyle w:val="Heading2"/>
      </w:pPr>
      <w:bookmarkStart w:id="35" w:name="_Toc401155427"/>
      <w:bookmarkStart w:id="36" w:name="_Toc401155656"/>
      <w:r>
        <w:rPr>
          <w:rStyle w:val="CharPartNo"/>
        </w:rPr>
        <w:t>Part IIIA</w:t>
      </w:r>
      <w:r>
        <w:t> — </w:t>
      </w:r>
      <w:r>
        <w:rPr>
          <w:rStyle w:val="CharPartText"/>
        </w:rPr>
        <w:t>Special provisions about motor fuel</w:t>
      </w:r>
      <w:bookmarkEnd w:id="35"/>
      <w:bookmarkEnd w:id="36"/>
      <w:r>
        <w:rPr>
          <w:rStyle w:val="CharPartText"/>
        </w:rPr>
        <w:t> </w:t>
      </w:r>
    </w:p>
    <w:p>
      <w:pPr>
        <w:pStyle w:val="Footnoteheading"/>
        <w:ind w:left="890"/>
      </w:pPr>
      <w:r>
        <w:tab/>
        <w:t>[Heading inserted by No. 73 of 2000 s. 8.]</w:t>
      </w:r>
    </w:p>
    <w:p>
      <w:pPr>
        <w:pStyle w:val="Heading3"/>
      </w:pPr>
      <w:bookmarkStart w:id="37" w:name="_Toc401155428"/>
      <w:bookmarkStart w:id="38" w:name="_Toc401155657"/>
      <w:r>
        <w:rPr>
          <w:rStyle w:val="CharDivNo"/>
        </w:rPr>
        <w:t>Division 1</w:t>
      </w:r>
      <w:r>
        <w:t> — </w:t>
      </w:r>
      <w:r>
        <w:rPr>
          <w:rStyle w:val="CharDivText"/>
        </w:rPr>
        <w:t>Before retail sale</w:t>
      </w:r>
      <w:bookmarkEnd w:id="37"/>
      <w:bookmarkEnd w:id="38"/>
      <w:r>
        <w:rPr>
          <w:rStyle w:val="CharDivText"/>
        </w:rPr>
        <w:t> </w:t>
      </w:r>
    </w:p>
    <w:p>
      <w:pPr>
        <w:pStyle w:val="Footnoteheading"/>
        <w:ind w:left="890"/>
      </w:pPr>
      <w:r>
        <w:tab/>
        <w:t>[Heading inserted by No. 73 of 2000 s. 8.]</w:t>
      </w:r>
    </w:p>
    <w:p>
      <w:pPr>
        <w:pStyle w:val="Heading5"/>
      </w:pPr>
      <w:bookmarkStart w:id="39" w:name="_Toc401155658"/>
      <w:r>
        <w:rPr>
          <w:rStyle w:val="CharSectno"/>
        </w:rPr>
        <w:t>22A</w:t>
      </w:r>
      <w:r>
        <w:t>.</w:t>
      </w:r>
      <w:r>
        <w:tab/>
        <w:t>Definitions</w:t>
      </w:r>
      <w:bookmarkEnd w:id="39"/>
    </w:p>
    <w:p>
      <w:pPr>
        <w:pStyle w:val="Subsection"/>
      </w:pPr>
      <w:r>
        <w:tab/>
        <w:t>(1)</w:t>
      </w:r>
      <w:r>
        <w:tab/>
        <w:t xml:space="preserve">In this Division — </w:t>
      </w:r>
    </w:p>
    <w:p>
      <w:pPr>
        <w:pStyle w:val="Defstart"/>
      </w:pPr>
      <w:r>
        <w:tab/>
      </w:r>
      <w:r>
        <w:rPr>
          <w:rStyle w:val="CharDefText"/>
        </w:rPr>
        <w:t>declared terminal</w:t>
      </w:r>
      <w:r>
        <w:t xml:space="preserve"> means a terminal designated under subsection (2) as a declared terminal for the purposes of this Division;</w:t>
      </w:r>
    </w:p>
    <w:p>
      <w:pPr>
        <w:pStyle w:val="Defstart"/>
      </w:pPr>
      <w:r>
        <w:tab/>
      </w:r>
      <w:r>
        <w:rPr>
          <w:rStyle w:val="CharDefText"/>
        </w:rPr>
        <w:t>displayed price</w:t>
      </w:r>
      <w:r>
        <w:t xml:space="preserve"> means the price displayed under section 22B;</w:t>
      </w:r>
    </w:p>
    <w:p>
      <w:pPr>
        <w:pStyle w:val="Defstart"/>
      </w:pPr>
      <w:r>
        <w:tab/>
      </w:r>
      <w:r>
        <w:rPr>
          <w:rStyle w:val="CharDefText"/>
        </w:rPr>
        <w:t>kind of motor fuel</w:t>
      </w:r>
      <w:r>
        <w:t xml:space="preserve"> refers to the type of motor fuel and, if there are different grades of a particular type of motor fuel, each grade is a different kind of motor fuel;</w:t>
      </w:r>
    </w:p>
    <w:p>
      <w:pPr>
        <w:pStyle w:val="Defstart"/>
      </w:pPr>
      <w:r>
        <w:tab/>
      </w:r>
      <w:r>
        <w:rPr>
          <w:rStyle w:val="CharDefText"/>
        </w:rPr>
        <w:t>offer</w:t>
      </w:r>
      <w:r>
        <w:t xml:space="preserve"> has, in addition to its ordinary meaning, the meaning given by subsection (3);</w:t>
      </w:r>
    </w:p>
    <w:p>
      <w:pPr>
        <w:pStyle w:val="Defstart"/>
      </w:pPr>
      <w:r>
        <w:tab/>
      </w:r>
      <w:r>
        <w:rPr>
          <w:rStyle w:val="CharDefText"/>
        </w:rPr>
        <w:t>supplier</w:t>
      </w:r>
      <w:r>
        <w:t xml:space="preserve"> means a person who supplies motor fuel to a reseller;</w:t>
      </w:r>
    </w:p>
    <w:p>
      <w:pPr>
        <w:pStyle w:val="Defstart"/>
      </w:pPr>
      <w:r>
        <w:tab/>
      </w:r>
      <w:r>
        <w:rPr>
          <w:rStyle w:val="CharDefText"/>
        </w:rPr>
        <w:t>terminal</w:t>
      </w:r>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 by No. 73 of 2000 s. 8.]</w:t>
      </w:r>
    </w:p>
    <w:p>
      <w:pPr>
        <w:pStyle w:val="Heading5"/>
      </w:pPr>
      <w:bookmarkStart w:id="40" w:name="_Toc401155659"/>
      <w:r>
        <w:rPr>
          <w:rStyle w:val="CharSectno"/>
        </w:rPr>
        <w:t>22B</w:t>
      </w:r>
      <w:r>
        <w:t>.</w:t>
      </w:r>
      <w:r>
        <w:tab/>
        <w:t>Price at terminal to be displayed and Commissioner to be notified of changes</w:t>
      </w:r>
      <w:bookmarkEnd w:id="40"/>
    </w:p>
    <w:p>
      <w:pPr>
        <w:pStyle w:val="Subsection"/>
      </w:pPr>
      <w:r>
        <w:tab/>
        <w:t>(1)</w:t>
      </w:r>
      <w:r>
        <w:tab/>
        <w:t xml:space="preserve">A supplier of motor fuel from a declared terminal is required to display at the place of sale, so as to be clearly legible to anyone to whom motor fuel of the kind concerned is to be supplied, the price that would apply if it were to make a wholesale sale of motor fuel to a reseller who — </w:t>
      </w:r>
    </w:p>
    <w:p>
      <w:pPr>
        <w:pStyle w:val="Indenta"/>
      </w:pPr>
      <w:r>
        <w:tab/>
        <w:t>(a)</w:t>
      </w:r>
      <w:r>
        <w:tab/>
        <w:t>was not the subject of any agreement or arrangement affecting price; and</w:t>
      </w:r>
    </w:p>
    <w:p>
      <w:pPr>
        <w:pStyle w:val="Indenta"/>
      </w:pPr>
      <w:r>
        <w:tab/>
        <w:t>(b)</w:t>
      </w:r>
      <w:r>
        <w:tab/>
        <w:t>took delivery of the motor fuel at the terminal from which it was supplied.</w:t>
      </w:r>
    </w:p>
    <w:p>
      <w:pPr>
        <w:pStyle w:val="Subsection"/>
      </w:pPr>
      <w:r>
        <w:tab/>
        <w:t>(2)</w:t>
      </w:r>
      <w:r>
        <w:tab/>
        <w:t>Subsection (1) requires a price to be displayed for each kind of motor fuel supplied or offered to be supplied from the terminal.</w:t>
      </w:r>
    </w:p>
    <w:p>
      <w:pPr>
        <w:pStyle w:val="Subsection"/>
      </w:pPr>
      <w:r>
        <w:tab/>
        <w:t>(3)</w:t>
      </w:r>
      <w:r>
        <w:tab/>
        <w:t>Whenever a price that subsection (1) requires to be displayed is changed, the supplier is required to notify the Commissioner, in accordance with the regulations, of the price change.</w:t>
      </w:r>
    </w:p>
    <w:p>
      <w:pPr>
        <w:pStyle w:val="Penstart"/>
      </w:pPr>
      <w:r>
        <w:tab/>
        <w:t>Penalty: $20 000.</w:t>
      </w:r>
    </w:p>
    <w:p>
      <w:pPr>
        <w:pStyle w:val="Footnotesection"/>
      </w:pPr>
      <w:r>
        <w:tab/>
        <w:t>[Section 22B inserted by No. 73 of 2000 s. 8; amended by No. 11 of 2001 s. 21(1).]</w:t>
      </w:r>
    </w:p>
    <w:p>
      <w:pPr>
        <w:pStyle w:val="Heading5"/>
      </w:pPr>
      <w:bookmarkStart w:id="41" w:name="_Toc401155660"/>
      <w:r>
        <w:rPr>
          <w:rStyle w:val="CharSectno"/>
        </w:rPr>
        <w:t>22C</w:t>
      </w:r>
      <w:r>
        <w:t>.</w:t>
      </w:r>
      <w:r>
        <w:tab/>
        <w:t>Previous month’s average price to be displayed</w:t>
      </w:r>
      <w:bookmarkEnd w:id="41"/>
    </w:p>
    <w:p>
      <w:pPr>
        <w:pStyle w:val="Subsection"/>
      </w:pPr>
      <w:r>
        <w:tab/>
        <w:t>(1)</w:t>
      </w:r>
      <w:r>
        <w:tab/>
        <w:t>A supplier of motor fuel from a declared terminal is required to display at the terminal, so as to be clearly legible to anyone to whom motor fuel is supplied at the terminal, the weighted average price, calculated in accordance with the regulations, for each kind of motor fuel supplied from the terminal during the previous month.</w:t>
      </w:r>
    </w:p>
    <w:p>
      <w:pPr>
        <w:pStyle w:val="Subsection"/>
      </w:pPr>
      <w:r>
        <w:tab/>
        <w:t>(2)</w:t>
      </w:r>
      <w:r>
        <w:tab/>
        <w:t xml:space="preserve">In subsection (1) — </w:t>
      </w:r>
    </w:p>
    <w:p>
      <w:pPr>
        <w:pStyle w:val="Defstart"/>
        <w:rPr>
          <w:b/>
        </w:rPr>
      </w:pPr>
      <w:r>
        <w:tab/>
      </w:r>
      <w:r>
        <w:rPr>
          <w:rStyle w:val="CharDefText"/>
        </w:rPr>
        <w:t>calendar month</w:t>
      </w:r>
      <w:r>
        <w:t xml:space="preserve"> means January, February, or any of the 10  other named months of the calendar year;</w:t>
      </w:r>
      <w:r>
        <w:rPr>
          <w:b/>
        </w:rPr>
        <w:t xml:space="preserve"> </w:t>
      </w:r>
    </w:p>
    <w:p>
      <w:pPr>
        <w:pStyle w:val="Defstart"/>
      </w:pPr>
      <w:r>
        <w:rPr>
          <w:b/>
        </w:rPr>
        <w:tab/>
      </w:r>
      <w:r>
        <w:rPr>
          <w:rStyle w:val="CharDefText"/>
        </w:rPr>
        <w:t>previous month</w:t>
      </w:r>
      <w:r>
        <w:t xml:space="preserve"> means, unless the regulations provide otherwise, the most recent calendar month that has been expired for at least 7 days.</w:t>
      </w:r>
    </w:p>
    <w:p>
      <w:pPr>
        <w:pStyle w:val="Subsection"/>
      </w:pPr>
      <w:r>
        <w:tab/>
        <w:t>(3)</w:t>
      </w:r>
      <w:r>
        <w:tab/>
        <w:t>The price that this section requires to be displayed is to be displayed as near as practicable to the price displayed under section 22B.</w:t>
      </w:r>
    </w:p>
    <w:p>
      <w:pPr>
        <w:pStyle w:val="Penstart"/>
      </w:pPr>
      <w:r>
        <w:tab/>
        <w:t>Penalty: $20 000.</w:t>
      </w:r>
    </w:p>
    <w:p>
      <w:pPr>
        <w:pStyle w:val="Footnotesection"/>
      </w:pPr>
      <w:r>
        <w:tab/>
        <w:t>[Section 22C inserted by No. 73 of 2000 s. 8; amended by No. 11 of 2001 s. 21(1).]</w:t>
      </w:r>
    </w:p>
    <w:p>
      <w:pPr>
        <w:pStyle w:val="Heading5"/>
      </w:pPr>
      <w:bookmarkStart w:id="42" w:name="_Toc401155661"/>
      <w:r>
        <w:rPr>
          <w:rStyle w:val="CharSectno"/>
        </w:rPr>
        <w:t>22D</w:t>
      </w:r>
      <w:r>
        <w:t>.</w:t>
      </w:r>
      <w:r>
        <w:tab/>
        <w:t>Maximum price to be displayed</w:t>
      </w:r>
      <w:bookmarkEnd w:id="42"/>
    </w:p>
    <w:p>
      <w:pPr>
        <w:pStyle w:val="Subsection"/>
      </w:pPr>
      <w:r>
        <w:tab/>
      </w:r>
      <w:r>
        <w:tab/>
        <w:t>If the price for the supply of a kind of motor fuel from a declared terminal is the subject of an order under section 12, the supplier is required to display at the terminal, so as to be clearly legible to anyone to whom motor fuel of the kind concerned is to be supplied, the maximum price fixed by the order.</w:t>
      </w:r>
    </w:p>
    <w:p>
      <w:pPr>
        <w:pStyle w:val="Penstart"/>
      </w:pPr>
      <w:r>
        <w:tab/>
        <w:t>Penalty: $20 000.</w:t>
      </w:r>
    </w:p>
    <w:p>
      <w:pPr>
        <w:pStyle w:val="Footnotesection"/>
      </w:pPr>
      <w:r>
        <w:tab/>
        <w:t>[Section 22D inserted by No. 73 of 2000 s. 8; amended by No. 11 of 2001 s. 21(1).]</w:t>
      </w:r>
    </w:p>
    <w:p>
      <w:pPr>
        <w:pStyle w:val="Heading5"/>
      </w:pPr>
      <w:bookmarkStart w:id="43" w:name="_Toc401155662"/>
      <w:r>
        <w:rPr>
          <w:rStyle w:val="CharSectno"/>
        </w:rPr>
        <w:t>22E</w:t>
      </w:r>
      <w:r>
        <w:t>.</w:t>
      </w:r>
      <w:r>
        <w:tab/>
        <w:t>Price to be compared to maximum price fixed</w:t>
      </w:r>
      <w:bookmarkEnd w:id="43"/>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r>
        <w:rPr>
          <w:rStyle w:val="CharDefText"/>
        </w:rPr>
        <w:t>relevant supply</w:t>
      </w:r>
      <w:r>
        <w:t xml:space="preserve">) and the supply is the subject of an order under section 12, the supplier is required to show in the invoice for the supply — </w:t>
      </w:r>
    </w:p>
    <w:p>
      <w:pPr>
        <w:pStyle w:val="Indenta"/>
      </w:pPr>
      <w:r>
        <w:tab/>
        <w:t>(c)</w:t>
      </w:r>
      <w:r>
        <w:tab/>
        <w:t>the displayed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the displayed price;</w:t>
      </w:r>
    </w:p>
    <w:p>
      <w:pPr>
        <w:pStyle w:val="Indenta"/>
      </w:pPr>
      <w:r>
        <w:tab/>
        <w:t>(b)</w:t>
      </w:r>
      <w:r>
        <w:tab/>
        <w:t>the maximum price fixed by the order; and</w:t>
      </w:r>
    </w:p>
    <w:p>
      <w:pPr>
        <w:pStyle w:val="Indenta"/>
      </w:pPr>
      <w:r>
        <w:tab/>
        <w:t>(c)</w:t>
      </w:r>
      <w:r>
        <w:tab/>
        <w:t>if the displayed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If a displayed price for any motor fuel is such that subsection (2)(c) would require the supplier to give details of the displayed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 by No. 73 of 2000 s. 8; amended by No. 11 of 2001 s. 21(1).]</w:t>
      </w:r>
    </w:p>
    <w:p>
      <w:pPr>
        <w:pStyle w:val="Heading5"/>
        <w:spacing w:before="180"/>
      </w:pPr>
      <w:bookmarkStart w:id="44" w:name="_Toc401155663"/>
      <w:r>
        <w:rPr>
          <w:rStyle w:val="CharSectno"/>
        </w:rPr>
        <w:t>22F</w:t>
      </w:r>
      <w:r>
        <w:t>.</w:t>
      </w:r>
      <w:r>
        <w:tab/>
        <w:t>Information that supplier is to provide</w:t>
      </w:r>
      <w:bookmarkEnd w:id="44"/>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12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 by No. 73 of 2000 s. 8; amended by No. 11 of 2001 s. 21(1).]</w:t>
      </w:r>
    </w:p>
    <w:p>
      <w:pPr>
        <w:pStyle w:val="Heading5"/>
      </w:pPr>
      <w:bookmarkStart w:id="45" w:name="_Toc401155664"/>
      <w:r>
        <w:rPr>
          <w:rStyle w:val="CharSectno"/>
        </w:rPr>
        <w:t>22G</w:t>
      </w:r>
      <w:r>
        <w:t>.</w:t>
      </w:r>
      <w:r>
        <w:tab/>
        <w:t>Obligation to supply from declared terminal</w:t>
      </w:r>
      <w:bookmarkEnd w:id="45"/>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r>
        <w:rPr>
          <w:rStyle w:val="CharDefText"/>
        </w:rPr>
        <w:t>the aggrieved person</w:t>
      </w:r>
      <w:r>
        <w:t>) may apply to the Commissioner for a decision as to whether the supplier properly refused under subsection (1).</w:t>
      </w:r>
    </w:p>
    <w:p>
      <w:pPr>
        <w:pStyle w:val="Subsection"/>
      </w:pPr>
      <w:r>
        <w:tab/>
        <w:t>(3)</w:t>
      </w:r>
      <w: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 by No. 73 of 2000 s. 8; amended by No. 59 of 2004 s. 141.]</w:t>
      </w:r>
    </w:p>
    <w:p>
      <w:pPr>
        <w:pStyle w:val="Heading3"/>
      </w:pPr>
      <w:bookmarkStart w:id="46" w:name="_Toc401155436"/>
      <w:bookmarkStart w:id="47" w:name="_Toc401155665"/>
      <w:r>
        <w:rPr>
          <w:rStyle w:val="CharDivNo"/>
        </w:rPr>
        <w:t>Division 2</w:t>
      </w:r>
      <w:r>
        <w:t xml:space="preserve"> — </w:t>
      </w:r>
      <w:r>
        <w:rPr>
          <w:rStyle w:val="CharDivText"/>
        </w:rPr>
        <w:t>Retail sale</w:t>
      </w:r>
      <w:bookmarkEnd w:id="46"/>
      <w:bookmarkEnd w:id="47"/>
      <w:r>
        <w:t xml:space="preserve"> </w:t>
      </w:r>
    </w:p>
    <w:p>
      <w:pPr>
        <w:pStyle w:val="Footnoteheading"/>
        <w:ind w:left="890"/>
      </w:pPr>
      <w:r>
        <w:tab/>
        <w:t>[Heading inserted by No. 73 of 2000 s. 8.]</w:t>
      </w:r>
    </w:p>
    <w:p>
      <w:pPr>
        <w:pStyle w:val="Heading5"/>
      </w:pPr>
      <w:bookmarkStart w:id="48" w:name="_Toc401155666"/>
      <w:r>
        <w:rPr>
          <w:rStyle w:val="CharSectno"/>
        </w:rPr>
        <w:t>22H</w:t>
      </w:r>
      <w:r>
        <w:t>.</w:t>
      </w:r>
      <w:r>
        <w:tab/>
        <w:t>Definitions</w:t>
      </w:r>
      <w:bookmarkEnd w:id="48"/>
    </w:p>
    <w:p>
      <w:pPr>
        <w:pStyle w:val="Subsection"/>
      </w:pPr>
      <w:r>
        <w:tab/>
      </w:r>
      <w:r>
        <w:tab/>
        <w:t xml:space="preserve">In this Division — </w:t>
      </w:r>
    </w:p>
    <w:p>
      <w:pPr>
        <w:pStyle w:val="Defstart"/>
      </w:pPr>
      <w:r>
        <w:tab/>
      </w:r>
      <w:r>
        <w:rPr>
          <w:rStyle w:val="CharDefText"/>
        </w:rPr>
        <w:t>kind of motor fuel</w:t>
      </w:r>
      <w:r>
        <w:t xml:space="preserve"> refers to the type of motor fuel and, if there are different grades or brands of a particular type of motor fuel, motor fuel of that type has to be of the same grade and brand for it to be the same kind of motor fuel;</w:t>
      </w:r>
    </w:p>
    <w:p>
      <w:pPr>
        <w:pStyle w:val="Defstart"/>
      </w:pPr>
      <w:r>
        <w:tab/>
      </w:r>
      <w:r>
        <w:rPr>
          <w:rStyle w:val="CharDefText"/>
        </w:rPr>
        <w:t>standard retail price</w:t>
      </w:r>
      <w:r>
        <w:t xml:space="preserve"> means the price at which the motor fuel concerned is offered for retail sale to a customer who is not the subject of any agreement or arrangement affecting price.</w:t>
      </w:r>
    </w:p>
    <w:p>
      <w:pPr>
        <w:pStyle w:val="Footnotesection"/>
      </w:pPr>
      <w:r>
        <w:tab/>
        <w:t>[Section 22H inserted by No. 73 of 2000 s. 8; amended by No. 11 of 2001 s. 19.]</w:t>
      </w:r>
    </w:p>
    <w:p>
      <w:pPr>
        <w:pStyle w:val="Heading5"/>
      </w:pPr>
      <w:bookmarkStart w:id="49" w:name="_Toc401155667"/>
      <w:r>
        <w:rPr>
          <w:rStyle w:val="CharSectno"/>
        </w:rPr>
        <w:t>22I</w:t>
      </w:r>
      <w:r>
        <w:t>.</w:t>
      </w:r>
      <w:r>
        <w:tab/>
        <w:t>Regulations to require retailers to display prices</w:t>
      </w:r>
      <w:bookmarkEnd w:id="49"/>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 by No. 73 of 2000 s. 8.]</w:t>
      </w:r>
    </w:p>
    <w:p>
      <w:pPr>
        <w:pStyle w:val="Heading5"/>
      </w:pPr>
      <w:bookmarkStart w:id="50" w:name="_Toc401155668"/>
      <w:r>
        <w:rPr>
          <w:rStyle w:val="CharSectno"/>
        </w:rPr>
        <w:t>22J</w:t>
      </w:r>
      <w:r>
        <w:t>.</w:t>
      </w:r>
      <w:r>
        <w:tab/>
        <w:t>Regulations requiring notification of, and restricting change of, price</w:t>
      </w:r>
      <w:bookmarkEnd w:id="50"/>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 by No. 11 of 2001 s. 20.]</w:t>
      </w:r>
    </w:p>
    <w:p>
      <w:pPr>
        <w:pStyle w:val="Heading2"/>
      </w:pPr>
      <w:bookmarkStart w:id="51" w:name="_Toc401155440"/>
      <w:bookmarkStart w:id="52" w:name="_Toc401155669"/>
      <w:r>
        <w:rPr>
          <w:rStyle w:val="CharPartNo"/>
        </w:rPr>
        <w:t>Part IV</w:t>
      </w:r>
      <w:r>
        <w:rPr>
          <w:rStyle w:val="CharDivNo"/>
        </w:rPr>
        <w:t> </w:t>
      </w:r>
      <w:r>
        <w:t>—</w:t>
      </w:r>
      <w:r>
        <w:rPr>
          <w:rStyle w:val="CharDivText"/>
        </w:rPr>
        <w:t> </w:t>
      </w:r>
      <w:r>
        <w:rPr>
          <w:rStyle w:val="CharPartText"/>
        </w:rPr>
        <w:t>Obtaining information</w:t>
      </w:r>
      <w:bookmarkEnd w:id="51"/>
      <w:bookmarkEnd w:id="52"/>
      <w:r>
        <w:rPr>
          <w:rStyle w:val="CharPartText"/>
        </w:rPr>
        <w:t xml:space="preserve"> </w:t>
      </w:r>
    </w:p>
    <w:p>
      <w:pPr>
        <w:pStyle w:val="Heading5"/>
        <w:rPr>
          <w:snapToGrid w:val="0"/>
        </w:rPr>
      </w:pPr>
      <w:bookmarkStart w:id="53" w:name="_Toc401155670"/>
      <w:r>
        <w:rPr>
          <w:rStyle w:val="CharSectno"/>
        </w:rPr>
        <w:t>23</w:t>
      </w:r>
      <w:r>
        <w:rPr>
          <w:snapToGrid w:val="0"/>
        </w:rPr>
        <w:t>.</w:t>
      </w:r>
      <w:r>
        <w:rPr>
          <w:snapToGrid w:val="0"/>
        </w:rPr>
        <w:tab/>
        <w:t>Power of Commissioner to inquire, investigate, and obtain information</w:t>
      </w:r>
      <w:bookmarkEnd w:id="53"/>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w:t>
      </w:r>
      <w:r>
        <w:t xml:space="preserve"> or the </w:t>
      </w:r>
      <w:r>
        <w:rPr>
          <w:i/>
        </w:rPr>
        <w:t>Petroleum Retailers Rights and Liabilities Act 1982</w:t>
      </w:r>
      <w:r>
        <w:rPr>
          <w:snapToGrid w:val="0"/>
        </w:rPr>
        <w:t>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w:t>
      </w:r>
      <w:r>
        <w:t xml:space="preserve"> may witness a statutory declaration</w:t>
      </w:r>
      <w:r>
        <w:rPr>
          <w:snapToGrid w:val="0"/>
        </w:rPr>
        <w:t>);</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w:t>
      </w:r>
      <w:r>
        <w:t xml:space="preserve"> or the </w:t>
      </w:r>
      <w:r>
        <w:rPr>
          <w:i/>
        </w:rPr>
        <w:t>Petroleum Retailers Rights and Liabilities Act 1982</w:t>
      </w:r>
      <w:r>
        <w:rPr>
          <w:snapToGrid w:val="0"/>
        </w:rPr>
        <w:t>, or of any entry made therein, and in the absence of proof to the contrary any such copy certified as correct by the Commissioner shall be received in all courts as evidence of, and of equal validity as, the original.</w:t>
      </w:r>
    </w:p>
    <w:p>
      <w:pPr>
        <w:pStyle w:val="Subsection"/>
        <w:spacing w:before="180"/>
        <w:rPr>
          <w:snapToGrid w:val="0"/>
        </w:rPr>
      </w:pPr>
      <w:r>
        <w:rPr>
          <w:snapToGrid w:val="0"/>
        </w:rPr>
        <w:tab/>
        <w:t>(2)</w:t>
      </w:r>
      <w:r>
        <w:rPr>
          <w:snapToGrid w:val="0"/>
        </w:rPr>
        <w:tab/>
        <w:t>Before entering any premises for the purposes of this Act</w:t>
      </w:r>
      <w:r>
        <w:t xml:space="preserve"> or the </w:t>
      </w:r>
      <w:r>
        <w:rPr>
          <w:i/>
        </w:rPr>
        <w:t>Petroleum Retailers Rights and Liabilities Act 1982</w:t>
      </w:r>
      <w:r>
        <w:rPr>
          <w:snapToGrid w:val="0"/>
        </w:rPr>
        <w: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w:t>
      </w:r>
      <w:r>
        <w:t xml:space="preserve"> or the </w:t>
      </w:r>
      <w:r>
        <w:rPr>
          <w:i/>
        </w:rPr>
        <w:t>Petroleum Retailers Rights and Liabilities Act 1982</w:t>
      </w:r>
      <w:r>
        <w:rPr>
          <w:snapToGrid w:val="0"/>
        </w:rPr>
        <w: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w:t>
      </w:r>
      <w:r>
        <w:t xml:space="preserve"> or the </w:t>
      </w:r>
      <w:r>
        <w:rPr>
          <w:i/>
        </w:rPr>
        <w:t>Petroleum Retailers Rights and Liabilities Act 1982</w:t>
      </w:r>
      <w:r>
        <w:rPr>
          <w:snapToGrid w:val="0"/>
        </w:rPr>
        <w:t>, issue that warrant to the Commissioner or that person, as the case requires.</w:t>
      </w:r>
    </w:p>
    <w:p>
      <w:pPr>
        <w:pStyle w:val="Footnotesection"/>
      </w:pPr>
      <w:r>
        <w:tab/>
        <w:t xml:space="preserve">[Section 23 amended by No. 72 of 1983 s. 15; No. 59 of 2004 s. 141; No. 24 of 2005 s. 63; No. 28 of 2006 s. 117.] </w:t>
      </w:r>
    </w:p>
    <w:p>
      <w:pPr>
        <w:pStyle w:val="Heading5"/>
        <w:spacing w:before="240"/>
        <w:rPr>
          <w:snapToGrid w:val="0"/>
        </w:rPr>
      </w:pPr>
      <w:bookmarkStart w:id="54" w:name="_Toc401155671"/>
      <w:r>
        <w:rPr>
          <w:rStyle w:val="CharSectno"/>
        </w:rPr>
        <w:t>24</w:t>
      </w:r>
      <w:r>
        <w:rPr>
          <w:snapToGrid w:val="0"/>
        </w:rPr>
        <w:t>.</w:t>
      </w:r>
      <w:r>
        <w:rPr>
          <w:snapToGrid w:val="0"/>
        </w:rPr>
        <w:tab/>
        <w:t>Sufficient notice to be given to enable questions, etc. to be answered</w:t>
      </w:r>
      <w:bookmarkEnd w:id="54"/>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r>
        <w:t xml:space="preserve"> or the </w:t>
      </w:r>
      <w:r>
        <w:rPr>
          <w:i/>
        </w:rPr>
        <w:t>Petroleum Retailers Rights and Liabilities Act 1982</w:t>
      </w:r>
      <w:r>
        <w:rPr>
          <w:snapToGrid w:val="0"/>
        </w:rPr>
        <w:t>.</w:t>
      </w:r>
    </w:p>
    <w:p>
      <w:pPr>
        <w:pStyle w:val="Footnotesection"/>
      </w:pPr>
      <w:r>
        <w:tab/>
        <w:t>[Section 24 amended by No. 28 of 2006 s. 118.]</w:t>
      </w:r>
    </w:p>
    <w:p>
      <w:pPr>
        <w:pStyle w:val="Heading5"/>
        <w:rPr>
          <w:snapToGrid w:val="0"/>
        </w:rPr>
      </w:pPr>
      <w:bookmarkStart w:id="55" w:name="_Toc401155672"/>
      <w:r>
        <w:rPr>
          <w:rStyle w:val="CharSectno"/>
        </w:rPr>
        <w:t>25</w:t>
      </w:r>
      <w:r>
        <w:rPr>
          <w:snapToGrid w:val="0"/>
        </w:rPr>
        <w:t>.</w:t>
      </w:r>
      <w:r>
        <w:rPr>
          <w:snapToGrid w:val="0"/>
        </w:rPr>
        <w:tab/>
        <w:t>Failure to supply information</w:t>
      </w:r>
      <w:bookmarkEnd w:id="55"/>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 by No. 73 of 2000 s. 9 and 14(2); No. 11 of 2001 s. 21(2); No. 84 of 2004 s. 82.]</w:t>
      </w:r>
    </w:p>
    <w:p>
      <w:pPr>
        <w:pStyle w:val="Heading5"/>
        <w:rPr>
          <w:snapToGrid w:val="0"/>
        </w:rPr>
      </w:pPr>
      <w:bookmarkStart w:id="56" w:name="_Toc401155673"/>
      <w:r>
        <w:rPr>
          <w:rStyle w:val="CharSectno"/>
        </w:rPr>
        <w:t>26</w:t>
      </w:r>
      <w:r>
        <w:rPr>
          <w:snapToGrid w:val="0"/>
        </w:rPr>
        <w:t>.</w:t>
      </w:r>
      <w:r>
        <w:rPr>
          <w:snapToGrid w:val="0"/>
        </w:rPr>
        <w:tab/>
        <w:t>Obstructing Commissioner</w:t>
      </w:r>
      <w:bookmarkEnd w:id="56"/>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r>
        <w:t xml:space="preserve"> or the </w:t>
      </w:r>
      <w:r>
        <w:rPr>
          <w:i/>
        </w:rPr>
        <w:t>Petroleum Retailers Rights and Liabilities Act 1982</w:t>
      </w:r>
      <w:r>
        <w:rPr>
          <w:snapToGrid w:val="0"/>
        </w:rPr>
        <w:t>.</w:t>
      </w:r>
    </w:p>
    <w:p>
      <w:pPr>
        <w:pStyle w:val="Penstart"/>
        <w:rPr>
          <w:snapToGrid w:val="0"/>
        </w:rPr>
      </w:pPr>
      <w:r>
        <w:rPr>
          <w:snapToGrid w:val="0"/>
        </w:rPr>
        <w:tab/>
        <w:t>Penalty: $20 000.</w:t>
      </w:r>
    </w:p>
    <w:p>
      <w:pPr>
        <w:pStyle w:val="Footnotesection"/>
      </w:pPr>
      <w:r>
        <w:tab/>
        <w:t>[Section 26 amended by No. 73 of 2000 s. 14(2); No. 11 of 2001 s. 21(2); No. 28 of 2006 s. 119.]</w:t>
      </w:r>
    </w:p>
    <w:p>
      <w:pPr>
        <w:pStyle w:val="Heading5"/>
        <w:rPr>
          <w:snapToGrid w:val="0"/>
        </w:rPr>
      </w:pPr>
      <w:bookmarkStart w:id="57" w:name="_Toc401155674"/>
      <w:r>
        <w:rPr>
          <w:rStyle w:val="CharSectno"/>
        </w:rPr>
        <w:t>27</w:t>
      </w:r>
      <w:r>
        <w:rPr>
          <w:snapToGrid w:val="0"/>
        </w:rPr>
        <w:t>.</w:t>
      </w:r>
      <w:r>
        <w:rPr>
          <w:snapToGrid w:val="0"/>
        </w:rPr>
        <w:tab/>
        <w:t>Power of Commissioner to require returns</w:t>
      </w:r>
      <w:bookmarkEnd w:id="57"/>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 xml:space="preserve">[Section 27 amended by No. 72 of 1983 s. 15; No. 73 of 2000 s. 14(1); No. 11 of 2001 s. 21(1).] </w:t>
      </w:r>
    </w:p>
    <w:p>
      <w:pPr>
        <w:pStyle w:val="Heading5"/>
      </w:pPr>
      <w:bookmarkStart w:id="58" w:name="_Toc401155675"/>
      <w:r>
        <w:rPr>
          <w:rStyle w:val="CharSectno"/>
        </w:rPr>
        <w:t>27A</w:t>
      </w:r>
      <w:r>
        <w:t>.</w:t>
      </w:r>
      <w:r>
        <w:tab/>
        <w:t>Further powers of Commissioner to obtain information</w:t>
      </w:r>
      <w:bookmarkEnd w:id="58"/>
    </w:p>
    <w:p>
      <w:pPr>
        <w:pStyle w:val="Subsection"/>
      </w:pPr>
      <w:r>
        <w:tab/>
        <w:t>(1)</w:t>
      </w:r>
      <w:r>
        <w:tab/>
        <w:t xml:space="preserve">This section applies if the Commissioner requires information for any of the objects or purposes of this Act or the </w:t>
      </w:r>
      <w:r>
        <w:rPr>
          <w:i/>
        </w:rPr>
        <w:t>Petroleum Retailers Rights and Liabilities Act 1982</w:t>
      </w:r>
      <w:r>
        <w:t xml:space="preserve"> other than for the purposes of an inquiry or investigation under this Act or the </w:t>
      </w:r>
      <w:r>
        <w:rPr>
          <w:i/>
        </w:rPr>
        <w:t>Petroleum Retailers Rights and Liabilities Act 1982</w:t>
      </w:r>
      <w:r>
        <w: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 xml:space="preserve">A return furnished by a person under this section is not admissible in evidence in any proceedings against the person other than proceedings in respect of an offence against this Act or the </w:t>
      </w:r>
      <w:r>
        <w:rPr>
          <w:i/>
        </w:rPr>
        <w:t>Petroleum Retailers Rights and Liabilities Act 1982</w:t>
      </w:r>
      <w:r>
        <w: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 by No. 73 of 2000 s. 10; amended by No. 11 of 2001 s. 21(1); No. 28 of 2006 s. 120.]</w:t>
      </w:r>
    </w:p>
    <w:p>
      <w:pPr>
        <w:pStyle w:val="Heading5"/>
      </w:pPr>
      <w:bookmarkStart w:id="59" w:name="_Toc401155676"/>
      <w:r>
        <w:rPr>
          <w:rStyle w:val="CharSectno"/>
        </w:rPr>
        <w:t>27B</w:t>
      </w:r>
      <w:r>
        <w:t>.</w:t>
      </w:r>
      <w:r>
        <w:tab/>
        <w:t>Publication by Commissioner of information</w:t>
      </w:r>
      <w:bookmarkEnd w:id="59"/>
    </w:p>
    <w:p>
      <w:pPr>
        <w:pStyle w:val="Subsection"/>
      </w:pPr>
      <w:r>
        <w:tab/>
      </w:r>
      <w:r>
        <w:tab/>
        <w:t xml:space="preserve">If the Commissioner considers that it will assist in achieving the objects and purposes of this Act or the </w:t>
      </w:r>
      <w:r>
        <w:rPr>
          <w:i/>
        </w:rPr>
        <w:t>Petroleum Retailers Rights and Liabilities Act 1982</w:t>
      </w:r>
      <w:r>
        <w:t xml:space="preserve">, the Commissioner may publish, as the Commissioner considers appropriate, any information obtained under, or in the course of the administration of, this Act or the </w:t>
      </w:r>
      <w:r>
        <w:rPr>
          <w:i/>
        </w:rPr>
        <w:t>Petroleum Retailers Rights and Liabilities Act 1982</w:t>
      </w:r>
      <w:r>
        <w:t>.</w:t>
      </w:r>
    </w:p>
    <w:p>
      <w:pPr>
        <w:pStyle w:val="Footnotesection"/>
      </w:pPr>
      <w:r>
        <w:tab/>
        <w:t>[Section 27B inserted by No. 73 of 2000 s. 10; amended by No. 28 of 2006 s. 121.]</w:t>
      </w:r>
    </w:p>
    <w:p>
      <w:pPr>
        <w:pStyle w:val="Heading5"/>
        <w:rPr>
          <w:snapToGrid w:val="0"/>
        </w:rPr>
      </w:pPr>
      <w:bookmarkStart w:id="60" w:name="_Toc401155677"/>
      <w:r>
        <w:rPr>
          <w:rStyle w:val="CharSectno"/>
        </w:rPr>
        <w:t>28</w:t>
      </w:r>
      <w:r>
        <w:rPr>
          <w:snapToGrid w:val="0"/>
        </w:rPr>
        <w:t>.</w:t>
      </w:r>
      <w:r>
        <w:rPr>
          <w:snapToGrid w:val="0"/>
        </w:rPr>
        <w:tab/>
        <w:t>“</w:t>
      </w:r>
      <w:r>
        <w:t>Commissioner</w:t>
      </w:r>
      <w:r>
        <w:rPr>
          <w:snapToGrid w:val="0"/>
        </w:rPr>
        <w:t>” includes other officers</w:t>
      </w:r>
      <w:bookmarkEnd w:id="60"/>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approved by the Minister or the chief executive officer of the Department;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r>
        <w:t xml:space="preserve"> or the </w:t>
      </w:r>
      <w:r>
        <w:rPr>
          <w:i/>
        </w:rPr>
        <w:t>Petroleum Retailers Rights and Liabilities Act 1982</w:t>
      </w:r>
      <w:r>
        <w:rPr>
          <w:snapToGrid w:val="0"/>
        </w:rPr>
        <w:t>.</w:t>
      </w:r>
    </w:p>
    <w:p>
      <w:pPr>
        <w:pStyle w:val="Footnotesection"/>
      </w:pPr>
      <w:r>
        <w:tab/>
        <w:t xml:space="preserve">[Section 28 amended by No. 1 of 1985 s. 28; No. 57 of 1997 s. 93; No. 28 of 2006 s. 122.] </w:t>
      </w:r>
    </w:p>
    <w:p>
      <w:pPr>
        <w:pStyle w:val="Heading2"/>
      </w:pPr>
      <w:bookmarkStart w:id="61" w:name="_Toc401155449"/>
      <w:bookmarkStart w:id="62" w:name="_Toc401155678"/>
      <w:r>
        <w:rPr>
          <w:rStyle w:val="CharPartNo"/>
        </w:rPr>
        <w:t>Part V</w:t>
      </w:r>
      <w:r>
        <w:t> — </w:t>
      </w:r>
      <w:r>
        <w:rPr>
          <w:rStyle w:val="CharPartText"/>
        </w:rPr>
        <w:t>Offences and penalties</w:t>
      </w:r>
      <w:bookmarkEnd w:id="61"/>
      <w:bookmarkEnd w:id="62"/>
      <w:r>
        <w:rPr>
          <w:rStyle w:val="CharPartText"/>
        </w:rPr>
        <w:t xml:space="preserve"> </w:t>
      </w:r>
    </w:p>
    <w:p>
      <w:pPr>
        <w:pStyle w:val="Heading3"/>
        <w:spacing w:before="200"/>
        <w:rPr>
          <w:b w:val="0"/>
        </w:rPr>
      </w:pPr>
      <w:bookmarkStart w:id="63" w:name="_Toc401155450"/>
      <w:bookmarkStart w:id="64" w:name="_Toc401155679"/>
      <w:r>
        <w:rPr>
          <w:rStyle w:val="CharDivNo"/>
        </w:rPr>
        <w:t>Division 1</w:t>
      </w:r>
      <w:r>
        <w:rPr>
          <w:b w:val="0"/>
        </w:rPr>
        <w:t> — </w:t>
      </w:r>
      <w:r>
        <w:rPr>
          <w:rStyle w:val="CharDivText"/>
        </w:rPr>
        <w:t>General provisions</w:t>
      </w:r>
      <w:bookmarkEnd w:id="63"/>
      <w:bookmarkEnd w:id="64"/>
      <w:r>
        <w:rPr>
          <w:b w:val="0"/>
        </w:rPr>
        <w:t> </w:t>
      </w:r>
    </w:p>
    <w:p>
      <w:pPr>
        <w:pStyle w:val="Footnoteheading"/>
        <w:ind w:left="890"/>
      </w:pPr>
      <w:r>
        <w:tab/>
        <w:t>[Heading inserted by No. 73 of 2000 s. 11(1).]</w:t>
      </w:r>
    </w:p>
    <w:p>
      <w:pPr>
        <w:pStyle w:val="Heading5"/>
        <w:spacing w:before="180"/>
        <w:rPr>
          <w:snapToGrid w:val="0"/>
        </w:rPr>
      </w:pPr>
      <w:bookmarkStart w:id="65" w:name="_Toc401155680"/>
      <w:r>
        <w:rPr>
          <w:rStyle w:val="CharSectno"/>
        </w:rPr>
        <w:t>29</w:t>
      </w:r>
      <w:r>
        <w:rPr>
          <w:snapToGrid w:val="0"/>
        </w:rPr>
        <w:t>.</w:t>
      </w:r>
      <w:r>
        <w:rPr>
          <w:snapToGrid w:val="0"/>
        </w:rPr>
        <w:tab/>
        <w:t>Liability of officers etc., of body corporate</w:t>
      </w:r>
      <w:bookmarkEnd w:id="65"/>
      <w:r>
        <w:rPr>
          <w:snapToGrid w:val="0"/>
        </w:rPr>
        <w:t xml:space="preserve"> </w:t>
      </w:r>
    </w:p>
    <w:p>
      <w:pPr>
        <w:pStyle w:val="Subsection"/>
        <w:spacing w:before="140"/>
        <w:rPr>
          <w:snapToGrid w:val="0"/>
        </w:rPr>
      </w:pPr>
      <w:r>
        <w:rPr>
          <w:snapToGrid w:val="0"/>
        </w:rPr>
        <w:tab/>
      </w:r>
      <w:r>
        <w:rPr>
          <w:snapToGrid w:val="0"/>
        </w:rPr>
        <w:tab/>
        <w:t>If any chairman, member of the governing body, director, manager, secretary, or officer of a body corporate knowingly authorises or permits the commission of an offence against this Act</w:t>
      </w:r>
      <w:r>
        <w:t xml:space="preserve"> or the </w:t>
      </w:r>
      <w:r>
        <w:rPr>
          <w:i/>
        </w:rPr>
        <w:t>Petroleum Retailers Rights and Liabilities Act 1982</w:t>
      </w:r>
      <w:r>
        <w:rPr>
          <w:snapToGrid w:val="0"/>
        </w:rPr>
        <w:t xml:space="preserve"> by the body corporate, he shall be deemed to have committed that offence and be punishable as an individual accordingly.</w:t>
      </w:r>
    </w:p>
    <w:p>
      <w:pPr>
        <w:pStyle w:val="Footnotesection"/>
      </w:pPr>
      <w:r>
        <w:tab/>
        <w:t>[Section 29 amended by No. 28 of 2006 s. 123.]</w:t>
      </w:r>
    </w:p>
    <w:p>
      <w:pPr>
        <w:pStyle w:val="Heading5"/>
        <w:rPr>
          <w:snapToGrid w:val="0"/>
        </w:rPr>
      </w:pPr>
      <w:bookmarkStart w:id="66" w:name="_Toc401155681"/>
      <w:r>
        <w:rPr>
          <w:rStyle w:val="CharSectno"/>
        </w:rPr>
        <w:t>30</w:t>
      </w:r>
      <w:r>
        <w:rPr>
          <w:snapToGrid w:val="0"/>
        </w:rPr>
        <w:t>.</w:t>
      </w:r>
      <w:r>
        <w:rPr>
          <w:snapToGrid w:val="0"/>
        </w:rPr>
        <w:tab/>
        <w:t>Court may order refund of amount paid in excess of maximum price or rate</w:t>
      </w:r>
      <w:bookmarkEnd w:id="66"/>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 xml:space="preserve">[Section 30 amended by No. 72 of 1983 s. 15; No. 84 of 2004 s. 82.] </w:t>
      </w:r>
    </w:p>
    <w:p>
      <w:pPr>
        <w:pStyle w:val="Heading5"/>
      </w:pPr>
      <w:bookmarkStart w:id="67" w:name="_Toc401155682"/>
      <w:r>
        <w:rPr>
          <w:rStyle w:val="CharSectno"/>
        </w:rPr>
        <w:t>31</w:t>
      </w:r>
      <w:r>
        <w:t>.</w:t>
      </w:r>
      <w:r>
        <w:tab/>
        <w:t>Limitation period for prosecutions</w:t>
      </w:r>
      <w:bookmarkEnd w:id="67"/>
    </w:p>
    <w:p>
      <w:pPr>
        <w:pStyle w:val="Subsection"/>
      </w:pPr>
      <w:r>
        <w:tab/>
      </w:r>
      <w:r>
        <w:tab/>
        <w:t xml:space="preserve">A prosecution for an offence against this Act or the </w:t>
      </w:r>
      <w:r>
        <w:rPr>
          <w:i/>
        </w:rPr>
        <w:t>Petroleum Retailers Rights and Liabilities Act 1982</w:t>
      </w:r>
      <w:r>
        <w:t xml:space="preserve"> must be commenced within 12 months after the date on which the offence was allegedly committed.</w:t>
      </w:r>
    </w:p>
    <w:p>
      <w:pPr>
        <w:pStyle w:val="Footnotesection"/>
      </w:pPr>
      <w:r>
        <w:tab/>
        <w:t xml:space="preserve">[Section 31 inserted by No. 84 of 2004 s. 80; amended by No. 28 of 2006 s. 124.] </w:t>
      </w:r>
    </w:p>
    <w:p>
      <w:pPr>
        <w:pStyle w:val="Heading3"/>
      </w:pPr>
      <w:bookmarkStart w:id="68" w:name="_Toc401155454"/>
      <w:bookmarkStart w:id="69" w:name="_Toc401155683"/>
      <w:r>
        <w:rPr>
          <w:rStyle w:val="CharDivNo"/>
        </w:rPr>
        <w:t>Division 2</w:t>
      </w:r>
      <w:r>
        <w:t> — </w:t>
      </w:r>
      <w:r>
        <w:rPr>
          <w:rStyle w:val="CharDivText"/>
        </w:rPr>
        <w:t>Infringement notices</w:t>
      </w:r>
      <w:bookmarkEnd w:id="68"/>
      <w:bookmarkEnd w:id="69"/>
      <w:r>
        <w:t> </w:t>
      </w:r>
    </w:p>
    <w:p>
      <w:pPr>
        <w:pStyle w:val="Footnoteheading"/>
        <w:ind w:left="890"/>
      </w:pPr>
      <w:r>
        <w:tab/>
        <w:t>[Heading inserted by No. 73 of 2000 s. 11(2).]</w:t>
      </w:r>
    </w:p>
    <w:p>
      <w:pPr>
        <w:pStyle w:val="Heading5"/>
      </w:pPr>
      <w:bookmarkStart w:id="70" w:name="_Toc401155684"/>
      <w:r>
        <w:rPr>
          <w:rStyle w:val="CharSectno"/>
        </w:rPr>
        <w:t>31A</w:t>
      </w:r>
      <w:r>
        <w:t>.</w:t>
      </w:r>
      <w:r>
        <w:tab/>
        <w:t>Infringement notices</w:t>
      </w:r>
      <w:bookmarkEnd w:id="70"/>
    </w:p>
    <w:p>
      <w:pPr>
        <w:pStyle w:val="Subsection"/>
      </w:pPr>
      <w:r>
        <w:tab/>
      </w:r>
      <w:r>
        <w:tab/>
        <w:t>In this Division —</w:t>
      </w:r>
    </w:p>
    <w:p>
      <w:pPr>
        <w:pStyle w:val="Defstart"/>
      </w:pPr>
      <w:r>
        <w:tab/>
      </w:r>
      <w:r>
        <w:rPr>
          <w:rStyle w:val="CharDefText"/>
        </w:rPr>
        <w:t>authorised person</w:t>
      </w:r>
      <w:r>
        <w:t xml:space="preserve"> in section 31B, 31C, 31D or 31E means a person appointed under section 31H by the Commissioner to be an authorised person for the purposes of the section in which the term is used;</w:t>
      </w:r>
    </w:p>
    <w:p>
      <w:pPr>
        <w:pStyle w:val="Defstart"/>
      </w:pPr>
      <w:r>
        <w:tab/>
      </w:r>
      <w:r>
        <w:rPr>
          <w:rStyle w:val="CharDefText"/>
        </w:rPr>
        <w:t>prescribed</w:t>
      </w:r>
      <w:r>
        <w:t xml:space="preserve"> means prescribed by regulations.</w:t>
      </w:r>
    </w:p>
    <w:p>
      <w:pPr>
        <w:pStyle w:val="Footnotesection"/>
      </w:pPr>
      <w:r>
        <w:tab/>
        <w:t>[Section 31A inserted by No. 73 of 2000 s. 11(2).]</w:t>
      </w:r>
    </w:p>
    <w:p>
      <w:pPr>
        <w:pStyle w:val="Heading5"/>
      </w:pPr>
      <w:bookmarkStart w:id="71" w:name="_Toc401155685"/>
      <w:r>
        <w:rPr>
          <w:rStyle w:val="CharSectno"/>
        </w:rPr>
        <w:t>31B</w:t>
      </w:r>
      <w:r>
        <w:t>.</w:t>
      </w:r>
      <w:r>
        <w:tab/>
        <w:t>Giving of notice</w:t>
      </w:r>
      <w:bookmarkEnd w:id="71"/>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(2)</w:t>
      </w:r>
      <w:r>
        <w:tab/>
        <w:t>An offence under section 15, 16, 19, or 20 cannot be prescribed under this section.</w:t>
      </w:r>
    </w:p>
    <w:p>
      <w:pPr>
        <w:pStyle w:val="Footnotesection"/>
      </w:pPr>
      <w:r>
        <w:tab/>
        <w:t>[Section 31B inserted by No. 73 of 2000 s. 11(2).]</w:t>
      </w:r>
    </w:p>
    <w:p>
      <w:pPr>
        <w:pStyle w:val="Heading5"/>
      </w:pPr>
      <w:bookmarkStart w:id="72" w:name="_Toc401155686"/>
      <w:r>
        <w:rPr>
          <w:rStyle w:val="CharSectno"/>
        </w:rPr>
        <w:t>31C</w:t>
      </w:r>
      <w:r>
        <w:t>.</w:t>
      </w:r>
      <w:r>
        <w:tab/>
        <w:t>Content of notice</w:t>
      </w:r>
      <w:bookmarkEnd w:id="72"/>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 by No. 73 of 2000 s. 11(2); amended by No. 84 of 2004 s. 80.]</w:t>
      </w:r>
    </w:p>
    <w:p>
      <w:pPr>
        <w:pStyle w:val="Heading5"/>
      </w:pPr>
      <w:bookmarkStart w:id="73" w:name="_Toc401155687"/>
      <w:r>
        <w:rPr>
          <w:rStyle w:val="CharSectno"/>
        </w:rPr>
        <w:t>31D</w:t>
      </w:r>
      <w:r>
        <w:t>.</w:t>
      </w:r>
      <w:r>
        <w:tab/>
        <w:t>Extension of time</w:t>
      </w:r>
      <w:bookmarkEnd w:id="73"/>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 by No. 73 of 2000 s. 11(2).]</w:t>
      </w:r>
    </w:p>
    <w:p>
      <w:pPr>
        <w:pStyle w:val="Heading5"/>
      </w:pPr>
      <w:bookmarkStart w:id="74" w:name="_Toc401155688"/>
      <w:r>
        <w:rPr>
          <w:rStyle w:val="CharSectno"/>
        </w:rPr>
        <w:t>31E</w:t>
      </w:r>
      <w:r>
        <w:t>.</w:t>
      </w:r>
      <w:r>
        <w:tab/>
        <w:t>Withdrawal of notice</w:t>
      </w:r>
      <w:bookmarkEnd w:id="74"/>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31E inserted by No. 73 of 2000 s. 11(2).]</w:t>
      </w:r>
    </w:p>
    <w:p>
      <w:pPr>
        <w:pStyle w:val="Heading5"/>
      </w:pPr>
      <w:bookmarkStart w:id="75" w:name="_Toc401155689"/>
      <w:r>
        <w:rPr>
          <w:rStyle w:val="CharSectno"/>
        </w:rPr>
        <w:t>31F</w:t>
      </w:r>
      <w:r>
        <w:t>.</w:t>
      </w:r>
      <w:r>
        <w:tab/>
        <w:t>Benefit of paying modified penalty</w:t>
      </w:r>
      <w:bookmarkEnd w:id="7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 by No. 73 of 2000 s. 11(2).]</w:t>
      </w:r>
    </w:p>
    <w:p>
      <w:pPr>
        <w:pStyle w:val="Heading5"/>
      </w:pPr>
      <w:bookmarkStart w:id="76" w:name="_Toc401155690"/>
      <w:r>
        <w:rPr>
          <w:rStyle w:val="CharSectno"/>
        </w:rPr>
        <w:t>31G</w:t>
      </w:r>
      <w:r>
        <w:t>.</w:t>
      </w:r>
      <w:r>
        <w:tab/>
        <w:t>Application of penalties collected</w:t>
      </w:r>
      <w:bookmarkEnd w:id="76"/>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 by No. 73 of 2000 s. 11(2).]</w:t>
      </w:r>
    </w:p>
    <w:p>
      <w:pPr>
        <w:pStyle w:val="Heading5"/>
      </w:pPr>
      <w:bookmarkStart w:id="77" w:name="_Toc401155691"/>
      <w:r>
        <w:rPr>
          <w:rStyle w:val="CharSectno"/>
        </w:rPr>
        <w:t>31H</w:t>
      </w:r>
      <w:r>
        <w:t>.</w:t>
      </w:r>
      <w:r>
        <w:tab/>
        <w:t>Appointment of authorised persons</w:t>
      </w:r>
      <w:bookmarkEnd w:id="77"/>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r>
        <w:rPr>
          <w:rStyle w:val="CharDefText"/>
        </w:rPr>
        <w:t>officer</w:t>
      </w:r>
      <w:r>
        <w:t xml:space="preserve"> means an officer of the Department.</w:t>
      </w:r>
    </w:p>
    <w:p>
      <w:pPr>
        <w:pStyle w:val="Footnotesection"/>
      </w:pPr>
      <w:r>
        <w:tab/>
        <w:t>[Section 31H inserted by No. 73 of 2000 s. 11(2); amended by No. 28 of 2006 s. 125.]</w:t>
      </w:r>
    </w:p>
    <w:p>
      <w:pPr>
        <w:pStyle w:val="Heading2"/>
      </w:pPr>
      <w:bookmarkStart w:id="78" w:name="_Toc401155463"/>
      <w:bookmarkStart w:id="79" w:name="_Toc401155692"/>
      <w:r>
        <w:rPr>
          <w:rStyle w:val="CharPartNo"/>
        </w:rPr>
        <w:t>Part VI</w:t>
      </w:r>
      <w:r>
        <w:rPr>
          <w:rStyle w:val="CharDivNo"/>
        </w:rPr>
        <w:t> </w:t>
      </w:r>
      <w:r>
        <w:t>—</w:t>
      </w:r>
      <w:r>
        <w:rPr>
          <w:rStyle w:val="CharDivText"/>
        </w:rPr>
        <w:t> </w:t>
      </w:r>
      <w:r>
        <w:rPr>
          <w:rStyle w:val="CharPartText"/>
        </w:rPr>
        <w:t>Miscellaneous</w:t>
      </w:r>
      <w:bookmarkEnd w:id="78"/>
      <w:bookmarkEnd w:id="79"/>
      <w:r>
        <w:rPr>
          <w:rStyle w:val="CharPartText"/>
        </w:rPr>
        <w:t xml:space="preserve"> </w:t>
      </w:r>
    </w:p>
    <w:p>
      <w:pPr>
        <w:pStyle w:val="Heading5"/>
        <w:spacing w:before="240"/>
        <w:rPr>
          <w:snapToGrid w:val="0"/>
        </w:rPr>
      </w:pPr>
      <w:bookmarkStart w:id="80" w:name="_Toc401155693"/>
      <w:r>
        <w:rPr>
          <w:rStyle w:val="CharSectno"/>
        </w:rPr>
        <w:t>32</w:t>
      </w:r>
      <w:r>
        <w:rPr>
          <w:snapToGrid w:val="0"/>
        </w:rPr>
        <w:t>.</w:t>
      </w:r>
      <w:r>
        <w:rPr>
          <w:snapToGrid w:val="0"/>
        </w:rPr>
        <w:tab/>
        <w:t>Application of orders and notices</w:t>
      </w:r>
      <w:bookmarkEnd w:id="80"/>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 xml:space="preserve">[Section 32 amended by No. 72 of 1983 s. 15.] </w:t>
      </w:r>
    </w:p>
    <w:p>
      <w:pPr>
        <w:pStyle w:val="Heading5"/>
        <w:spacing w:before="240"/>
      </w:pPr>
      <w:bookmarkStart w:id="81" w:name="_Toc401155694"/>
      <w:r>
        <w:rPr>
          <w:rStyle w:val="CharSectno"/>
        </w:rPr>
        <w:t>32A</w:t>
      </w:r>
      <w:r>
        <w:t>.</w:t>
      </w:r>
      <w:r>
        <w:tab/>
        <w:t>Delegation by Commissioner</w:t>
      </w:r>
      <w:bookmarkEnd w:id="81"/>
    </w:p>
    <w:p>
      <w:pPr>
        <w:pStyle w:val="Subsection"/>
        <w:spacing w:before="180"/>
      </w:pPr>
      <w:r>
        <w:tab/>
        <w:t>(1)</w:t>
      </w:r>
      <w:r>
        <w:tab/>
        <w:t xml:space="preserve">The Commissioner may delegate to any other person employed in the Department any power or duty of the Commissioner under another provision of this Act or the </w:t>
      </w:r>
      <w:r>
        <w:rPr>
          <w:i/>
        </w:rPr>
        <w:t>Petroleum Retailers Rights and Liabilities Act 1982</w:t>
      </w:r>
      <w:r>
        <w:t>.</w:t>
      </w:r>
    </w:p>
    <w:p>
      <w:pPr>
        <w:pStyle w:val="Subsection"/>
        <w:spacing w:before="180"/>
      </w:pPr>
      <w:r>
        <w:tab/>
        <w:t>(2)</w:t>
      </w:r>
      <w:r>
        <w:tab/>
        <w:t>The delegation must be in writing signed by the Commissioner.</w:t>
      </w:r>
    </w:p>
    <w:p>
      <w:pPr>
        <w:pStyle w:val="Subsection"/>
        <w:spacing w:before="180"/>
      </w:pPr>
      <w:r>
        <w:tab/>
        <w:t>(3)</w:t>
      </w:r>
      <w:r>
        <w:tab/>
        <w:t>A person to whom a power or duty is delegated under this section cannot delegate that power or duty.</w:t>
      </w:r>
    </w:p>
    <w:p>
      <w:pPr>
        <w:pStyle w:val="Subsection"/>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32A inserted by No. 28 of 2006 s. 126.]</w:t>
      </w:r>
    </w:p>
    <w:p>
      <w:pPr>
        <w:pStyle w:val="Heading5"/>
      </w:pPr>
      <w:bookmarkStart w:id="82" w:name="_Toc401155695"/>
      <w:r>
        <w:rPr>
          <w:rStyle w:val="CharSectno"/>
        </w:rPr>
        <w:t>32B</w:t>
      </w:r>
      <w:r>
        <w:t>.</w:t>
      </w:r>
      <w:r>
        <w:tab/>
        <w:t>Protection from liability for wrongdoing</w:t>
      </w:r>
      <w:bookmarkEnd w:id="82"/>
    </w:p>
    <w:p>
      <w:pPr>
        <w:pStyle w:val="Subsection"/>
      </w:pPr>
      <w:r>
        <w:tab/>
        <w:t>(1)</w:t>
      </w:r>
      <w:r>
        <w:tab/>
        <w:t xml:space="preserve">A person is not liable for anything that the person has, in good faith, done in the performance or purported performance of a function under this Act or the </w:t>
      </w:r>
      <w:r>
        <w:rPr>
          <w:i/>
        </w:rPr>
        <w:t>Petroleum Retailers Rights and Liabilities Act 1982</w:t>
      </w:r>
      <w:r>
        <w: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 xml:space="preserve">The protection given by this section applies even though the thing done as described in subsection (1) may have been capable of being done whether or not this Act or the </w:t>
      </w:r>
      <w:r>
        <w:rPr>
          <w:i/>
        </w:rPr>
        <w:t>Petroleum Retailers Rights and Liabilities Act 1982</w:t>
      </w:r>
      <w:r>
        <w:t xml:space="preserve"> had been enacted.</w:t>
      </w:r>
    </w:p>
    <w:p>
      <w:pPr>
        <w:pStyle w:val="Subsection"/>
      </w:pPr>
      <w:r>
        <w:tab/>
        <w:t>(4)</w:t>
      </w:r>
      <w:r>
        <w:tab/>
        <w:t>In this section, a reference to the doing of anything includes a reference to an omission to do anything.</w:t>
      </w:r>
    </w:p>
    <w:p>
      <w:pPr>
        <w:pStyle w:val="Footnotesection"/>
      </w:pPr>
      <w:r>
        <w:tab/>
        <w:t>[Section 32B inserted by No. 28 of 2006 s. 126.]</w:t>
      </w:r>
    </w:p>
    <w:p>
      <w:pPr>
        <w:pStyle w:val="Heading5"/>
        <w:rPr>
          <w:snapToGrid w:val="0"/>
        </w:rPr>
      </w:pPr>
      <w:bookmarkStart w:id="83" w:name="_Toc401155696"/>
      <w:r>
        <w:rPr>
          <w:rStyle w:val="CharSectno"/>
        </w:rPr>
        <w:t>32C</w:t>
      </w:r>
      <w:r>
        <w:rPr>
          <w:snapToGrid w:val="0"/>
        </w:rPr>
        <w:t>.</w:t>
      </w:r>
      <w:r>
        <w:rPr>
          <w:snapToGrid w:val="0"/>
        </w:rPr>
        <w:tab/>
      </w:r>
      <w:r>
        <w:t>Judicial</w:t>
      </w:r>
      <w:r>
        <w:rPr>
          <w:snapToGrid w:val="0"/>
        </w:rPr>
        <w:t xml:space="preserve"> notice</w:t>
      </w:r>
      <w:bookmarkEnd w:id="83"/>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32C inserted by No. 28 of 2006 s. 126.]</w:t>
      </w:r>
    </w:p>
    <w:p>
      <w:pPr>
        <w:pStyle w:val="Heading5"/>
        <w:rPr>
          <w:snapToGrid w:val="0"/>
        </w:rPr>
      </w:pPr>
      <w:bookmarkStart w:id="84" w:name="_Toc401155697"/>
      <w:r>
        <w:rPr>
          <w:rStyle w:val="CharSectno"/>
        </w:rPr>
        <w:t>33</w:t>
      </w:r>
      <w:r>
        <w:rPr>
          <w:snapToGrid w:val="0"/>
        </w:rPr>
        <w:t>.</w:t>
      </w:r>
      <w:r>
        <w:rPr>
          <w:snapToGrid w:val="0"/>
        </w:rPr>
        <w:tab/>
        <w:t>Secrecy</w:t>
      </w:r>
      <w:bookmarkEnd w:id="84"/>
      <w:r>
        <w:rPr>
          <w:snapToGrid w:val="0"/>
        </w:rPr>
        <w:t xml:space="preserve"> </w:t>
      </w:r>
    </w:p>
    <w:p>
      <w:pPr>
        <w:pStyle w:val="Subsection"/>
        <w:rPr>
          <w:snapToGrid w:val="0"/>
        </w:rPr>
      </w:pPr>
      <w:r>
        <w:rPr>
          <w:snapToGrid w:val="0"/>
        </w:rPr>
        <w:tab/>
        <w:t>(1)</w:t>
      </w:r>
      <w:r>
        <w:rPr>
          <w:snapToGrid w:val="0"/>
        </w:rPr>
        <w:tab/>
        <w:t xml:space="preserve">Subject to subsection (2), the Minister, the Commissioner, </w:t>
      </w:r>
      <w:r>
        <w:t>an officer of the Department</w:t>
      </w:r>
      <w:r>
        <w:rPr>
          <w:snapToGrid w:val="0"/>
        </w:rPr>
        <w:t>,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r>
        <w:t xml:space="preserve"> or the </w:t>
      </w:r>
      <w:r>
        <w:rPr>
          <w:i/>
        </w:rPr>
        <w:t>Petroleum Retailers Rights and Liabilities Act 1982</w:t>
      </w:r>
      <w:r>
        <w:rPr>
          <w:snapToGrid w:val="0"/>
        </w:rPr>
        <w:t>.</w:t>
      </w:r>
    </w:p>
    <w:p>
      <w:pPr>
        <w:pStyle w:val="Penstart"/>
        <w:spacing w:before="100"/>
        <w:rPr>
          <w:snapToGrid w:val="0"/>
        </w:rPr>
      </w:pPr>
      <w:r>
        <w:rPr>
          <w:snapToGrid w:val="0"/>
        </w:rPr>
        <w:tab/>
        <w:t>Penalty: $20 000.</w:t>
      </w:r>
    </w:p>
    <w:p>
      <w:pPr>
        <w:pStyle w:val="Subsection"/>
        <w:spacing w:before="180"/>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w:t>
      </w:r>
      <w:r>
        <w:t xml:space="preserve"> or the </w:t>
      </w:r>
      <w:r>
        <w:rPr>
          <w:i/>
        </w:rPr>
        <w:t xml:space="preserve">Petroleum Retailers Rights and Liabilities Act 1982 </w:t>
      </w:r>
      <w:r>
        <w:rPr>
          <w:snapToGrid w:val="0"/>
        </w:rPr>
        <w:t>or any proceedings under this Act</w:t>
      </w:r>
      <w:r>
        <w:t xml:space="preserve"> or the </w:t>
      </w:r>
      <w:r>
        <w:rPr>
          <w:i/>
        </w:rPr>
        <w:t>Petroleum Retailers Rights and Liabilities Act 1982</w:t>
      </w:r>
      <w:r>
        <w:rPr>
          <w:snapToGrid w:val="0"/>
        </w:rPr>
        <w: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in the case of a person who also exercises powers or performs duties or functions under</w:t>
      </w:r>
      <w:r>
        <w:t xml:space="preserve"> another Act administered by the Minister</w:t>
      </w:r>
      <w:r>
        <w:rPr>
          <w:snapToGrid w:val="0"/>
        </w:rPr>
        <w:t>, in the course of the exercise of his powers or performance of his duties or functions under that Act.</w:t>
      </w:r>
    </w:p>
    <w:p>
      <w:pPr>
        <w:pStyle w:val="Footnotesection"/>
      </w:pPr>
      <w:r>
        <w:tab/>
        <w:t>[Section 33 amended by No. 79 of 1995 s. 69(2); No. 73 of 2000 s. 14(2); No. 11 of 2001 s. 21(2); No. 28 of 2006 s. 127.]</w:t>
      </w:r>
    </w:p>
    <w:p>
      <w:pPr>
        <w:pStyle w:val="Heading5"/>
        <w:spacing w:before="240"/>
        <w:rPr>
          <w:snapToGrid w:val="0"/>
        </w:rPr>
      </w:pPr>
      <w:bookmarkStart w:id="85" w:name="_Toc401155698"/>
      <w:r>
        <w:rPr>
          <w:rStyle w:val="CharSectno"/>
        </w:rPr>
        <w:t>34</w:t>
      </w:r>
      <w:r>
        <w:rPr>
          <w:snapToGrid w:val="0"/>
        </w:rPr>
        <w:t>.</w:t>
      </w:r>
      <w:r>
        <w:rPr>
          <w:snapToGrid w:val="0"/>
        </w:rPr>
        <w:tab/>
        <w:t>Regulations</w:t>
      </w:r>
      <w:bookmarkEnd w:id="85"/>
      <w:r>
        <w:rPr>
          <w:snapToGrid w:val="0"/>
        </w:rPr>
        <w:t xml:space="preserve"> </w:t>
      </w:r>
    </w:p>
    <w:p>
      <w:pPr>
        <w:pStyle w:val="Subsection"/>
        <w:spacing w:before="180"/>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 by No. 73 of 2000 s. 14(3); No. 11 of 2001 s. 21(3).]</w:t>
      </w:r>
    </w:p>
    <w:p>
      <w:pPr>
        <w:pStyle w:val="Ednotesection"/>
      </w:pPr>
      <w:r>
        <w:t>[</w:t>
      </w:r>
      <w:r>
        <w:rPr>
          <w:b/>
        </w:rPr>
        <w:t>35.</w:t>
      </w:r>
      <w:r>
        <w:rPr>
          <w:b/>
        </w:rPr>
        <w:tab/>
      </w:r>
      <w:r>
        <w:t xml:space="preserve">Deleted by No. 72 of 1983 s. 14.]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86" w:name="_Toc401155470"/>
      <w:bookmarkStart w:id="87" w:name="_Toc401155699"/>
      <w:r>
        <w:rPr>
          <w:rStyle w:val="CharSchNo"/>
        </w:rPr>
        <w:t>Schedule 1</w:t>
      </w:r>
      <w:r>
        <w:t xml:space="preserve"> — </w:t>
      </w:r>
      <w:r>
        <w:rPr>
          <w:rStyle w:val="CharSchText"/>
        </w:rPr>
        <w:t>Certain exclusions from definition of “petroleum product”</w:t>
      </w:r>
      <w:bookmarkEnd w:id="86"/>
      <w:bookmarkEnd w:id="87"/>
    </w:p>
    <w:p>
      <w:pPr>
        <w:pStyle w:val="yShoulderClause"/>
      </w:pPr>
      <w:r>
        <w:t>[s. 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Industrial 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Synthetic resins and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keepNext/>
        <w:spacing w:before="120" w:after="120"/>
        <w:rPr>
          <w:b/>
          <w:i/>
        </w:rPr>
      </w:pPr>
      <w:r>
        <w:rPr>
          <w:b/>
          <w:i/>
        </w:rPr>
        <w:t>Organic industrial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smartTag w:uri="urn:schemas-microsoft-com:office:smarttags" w:element="place">
        <w:r>
          <w:t>Lake</w:t>
        </w:r>
      </w:smartTag>
      <w:r>
        <w:t xml:space="preserv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Inorganic industrial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smartTag w:uri="urn:schemas-microsoft-com:office:smarttags" w:element="City">
        <w:smartTag w:uri="urn:schemas-microsoft-com:office:smarttags" w:element="place">
          <w:r>
            <w:t>Sulphur</w:t>
          </w:r>
        </w:smartTag>
      </w:smartTag>
      <w:r>
        <w:t xml:space="preserve"> compounds</w:t>
      </w:r>
    </w:p>
    <w:p>
      <w:pPr>
        <w:pStyle w:val="yMiscellaneousBody"/>
        <w:spacing w:before="0"/>
      </w:pPr>
      <w:smartTag w:uri="urn:schemas-microsoft-com:office:smarttags" w:element="City">
        <w:smartTag w:uri="urn:schemas-microsoft-com:office:smarttags" w:element="place">
          <w:r>
            <w:t>Sulphur</w:t>
          </w:r>
        </w:smartTag>
      </w:smartTag>
      <w:r>
        <w:t xml:space="preserve">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r>
        <w:tab/>
        <w:t>[Schedule 1 inserted by No. 73 of 2000 s. 12.]</w:t>
      </w:r>
    </w:p>
    <w:p>
      <w:pPr>
        <w:rPr>
          <w:rStyle w:val="CharDivText"/>
        </w:rPr>
        <w:sectPr>
          <w:headerReference w:type="even" r:id="rId25"/>
          <w:headerReference w:type="default" r:id="rId26"/>
          <w:headerReference w:type="first" r:id="rId27"/>
          <w:pgSz w:w="11906" w:h="16838" w:code="9"/>
          <w:pgMar w:top="2381" w:right="2410" w:bottom="3544" w:left="2410" w:header="720" w:footer="3380" w:gutter="0"/>
          <w:cols w:space="720"/>
          <w:noEndnote/>
          <w:docGrid w:linePitch="326"/>
        </w:sectPr>
      </w:pPr>
    </w:p>
    <w:p>
      <w:pPr>
        <w:pStyle w:val="nHeading2"/>
      </w:pPr>
      <w:bookmarkStart w:id="88" w:name="_Toc401155471"/>
      <w:bookmarkStart w:id="89" w:name="_Toc401155700"/>
      <w:r>
        <w:t>Notes</w:t>
      </w:r>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Act 1983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0" w:name="_Toc401155701"/>
      <w:r>
        <w:rPr>
          <w:snapToGrid w:val="0"/>
        </w:rPr>
        <w:t>Compilation table</w:t>
      </w:r>
      <w:bookmarkEnd w:id="90"/>
    </w:p>
    <w:tbl>
      <w:tblPr>
        <w:tblW w:w="0" w:type="auto"/>
        <w:tblInd w:w="71" w:type="dxa"/>
        <w:tblLayout w:type="fixed"/>
        <w:tblCellMar>
          <w:left w:w="57" w:type="dxa"/>
          <w:right w:w="57" w:type="dxa"/>
        </w:tblCellMar>
        <w:tblLook w:val="0000" w:firstRow="0" w:lastRow="0" w:firstColumn="0" w:lastColumn="0" w:noHBand="0" w:noVBand="0"/>
      </w:tblPr>
      <w:tblGrid>
        <w:gridCol w:w="12"/>
        <w:gridCol w:w="2242"/>
        <w:gridCol w:w="26"/>
        <w:gridCol w:w="1108"/>
        <w:gridCol w:w="26"/>
        <w:gridCol w:w="1108"/>
        <w:gridCol w:w="26"/>
        <w:gridCol w:w="2551"/>
      </w:tblGrid>
      <w:tr>
        <w:trPr>
          <w:gridBefore w:val="1"/>
          <w:wBefore w:w="12"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2" w:type="dxa"/>
          <w:cantSplit/>
        </w:trPr>
        <w:tc>
          <w:tcPr>
            <w:tcW w:w="2268" w:type="dxa"/>
            <w:gridSpan w:val="2"/>
          </w:tcPr>
          <w:p>
            <w:pPr>
              <w:pStyle w:val="nTable"/>
              <w:spacing w:after="40"/>
              <w:ind w:right="113"/>
              <w:rPr>
                <w:sz w:val="19"/>
                <w:vertAlign w:val="superscript"/>
              </w:rPr>
            </w:pPr>
            <w:r>
              <w:rPr>
                <w:i/>
                <w:sz w:val="19"/>
              </w:rPr>
              <w:t>Prevention of Excessive Prices Act 1983</w:t>
            </w:r>
            <w:r>
              <w:rPr>
                <w:i/>
                <w:sz w:val="19"/>
                <w:vertAlign w:val="superscript"/>
              </w:rPr>
              <w:t> </w:t>
            </w:r>
            <w:r>
              <w:rPr>
                <w:sz w:val="19"/>
                <w:vertAlign w:val="superscript"/>
              </w:rPr>
              <w:t>2</w:t>
            </w:r>
          </w:p>
        </w:tc>
        <w:tc>
          <w:tcPr>
            <w:tcW w:w="1134" w:type="dxa"/>
            <w:gridSpan w:val="2"/>
          </w:tcPr>
          <w:p>
            <w:pPr>
              <w:pStyle w:val="nTable"/>
              <w:spacing w:after="40"/>
              <w:rPr>
                <w:sz w:val="19"/>
              </w:rPr>
            </w:pPr>
            <w:r>
              <w:rPr>
                <w:sz w:val="19"/>
              </w:rPr>
              <w:t>1 of 1983</w:t>
            </w:r>
          </w:p>
        </w:tc>
        <w:tc>
          <w:tcPr>
            <w:tcW w:w="1134" w:type="dxa"/>
            <w:gridSpan w:val="2"/>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gridBefore w:val="1"/>
          <w:wBefore w:w="12" w:type="dxa"/>
          <w:cantSplit/>
        </w:trPr>
        <w:tc>
          <w:tcPr>
            <w:tcW w:w="2268" w:type="dxa"/>
            <w:gridSpan w:val="2"/>
          </w:tcPr>
          <w:p>
            <w:pPr>
              <w:pStyle w:val="nTable"/>
              <w:spacing w:after="40"/>
              <w:ind w:right="113"/>
              <w:rPr>
                <w:sz w:val="19"/>
              </w:rPr>
            </w:pPr>
            <w:r>
              <w:rPr>
                <w:i/>
                <w:sz w:val="19"/>
              </w:rPr>
              <w:t xml:space="preserve">Acts Amendment (Prevention of Excessive Prices) Act (No. 2) 1983 </w:t>
            </w:r>
            <w:r>
              <w:rPr>
                <w:sz w:val="19"/>
              </w:rPr>
              <w:t>Pt. III</w:t>
            </w:r>
          </w:p>
        </w:tc>
        <w:tc>
          <w:tcPr>
            <w:tcW w:w="1134" w:type="dxa"/>
            <w:gridSpan w:val="2"/>
          </w:tcPr>
          <w:p>
            <w:pPr>
              <w:pStyle w:val="nTable"/>
              <w:spacing w:after="40"/>
              <w:rPr>
                <w:sz w:val="19"/>
              </w:rPr>
            </w:pPr>
            <w:r>
              <w:rPr>
                <w:sz w:val="19"/>
              </w:rPr>
              <w:t>72 of 1983</w:t>
            </w:r>
          </w:p>
        </w:tc>
        <w:tc>
          <w:tcPr>
            <w:tcW w:w="1134" w:type="dxa"/>
            <w:gridSpan w:val="2"/>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2(b))</w:t>
            </w:r>
          </w:p>
        </w:tc>
      </w:tr>
      <w:tr>
        <w:trPr>
          <w:gridBefore w:val="1"/>
          <w:wBefore w:w="12" w:type="dxa"/>
          <w:cantSplit/>
        </w:trPr>
        <w:tc>
          <w:tcPr>
            <w:tcW w:w="2268" w:type="dxa"/>
            <w:gridSpan w:val="2"/>
          </w:tcPr>
          <w:p>
            <w:pPr>
              <w:pStyle w:val="nTable"/>
              <w:spacing w:after="40"/>
              <w:ind w:right="113"/>
              <w:rPr>
                <w:sz w:val="19"/>
              </w:rPr>
            </w:pPr>
            <w:r>
              <w:rPr>
                <w:i/>
                <w:sz w:val="19"/>
              </w:rPr>
              <w:t xml:space="preserve">Acts Amendment (Consumer Affairs) Act 1985 </w:t>
            </w:r>
            <w:r>
              <w:rPr>
                <w:sz w:val="19"/>
              </w:rPr>
              <w:t>Pt. VI</w:t>
            </w:r>
          </w:p>
        </w:tc>
        <w:tc>
          <w:tcPr>
            <w:tcW w:w="1134" w:type="dxa"/>
            <w:gridSpan w:val="2"/>
          </w:tcPr>
          <w:p>
            <w:pPr>
              <w:pStyle w:val="nTable"/>
              <w:spacing w:after="40"/>
              <w:rPr>
                <w:sz w:val="19"/>
              </w:rPr>
            </w:pPr>
            <w:r>
              <w:rPr>
                <w:sz w:val="19"/>
              </w:rPr>
              <w:t>1 of 1985</w:t>
            </w:r>
          </w:p>
        </w:tc>
        <w:tc>
          <w:tcPr>
            <w:tcW w:w="1134" w:type="dxa"/>
            <w:gridSpan w:val="2"/>
          </w:tcPr>
          <w:p>
            <w:pPr>
              <w:pStyle w:val="nTable"/>
              <w:spacing w:after="40"/>
              <w:rPr>
                <w:sz w:val="19"/>
              </w:rPr>
            </w:pPr>
            <w:r>
              <w:rPr>
                <w:sz w:val="19"/>
              </w:rPr>
              <w:t>8 Mar 1985</w:t>
            </w:r>
          </w:p>
        </w:tc>
        <w:tc>
          <w:tcPr>
            <w:tcW w:w="2551" w:type="dxa"/>
          </w:tcPr>
          <w:p>
            <w:pPr>
              <w:pStyle w:val="nTable"/>
              <w:spacing w:after="40"/>
              <w:rPr>
                <w:sz w:val="19"/>
              </w:rPr>
            </w:pPr>
            <w:r>
              <w:rPr>
                <w:sz w:val="19"/>
              </w:rPr>
              <w:t>8 Mar 1985 (see s. 2(3))</w:t>
            </w:r>
          </w:p>
        </w:tc>
      </w:tr>
      <w:tr>
        <w:trPr>
          <w:gridBefore w:val="1"/>
          <w:wBefore w:w="12" w:type="dxa"/>
          <w:cantSplit/>
        </w:trPr>
        <w:tc>
          <w:tcPr>
            <w:tcW w:w="2268"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2"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12" w:type="dxa"/>
          <w:cantSplit/>
        </w:trPr>
        <w:tc>
          <w:tcPr>
            <w:tcW w:w="2268" w:type="dxa"/>
            <w:gridSpan w:val="2"/>
          </w:tcPr>
          <w:p>
            <w:pPr>
              <w:pStyle w:val="nTable"/>
              <w:spacing w:after="40"/>
              <w:ind w:right="113"/>
              <w:rPr>
                <w:sz w:val="19"/>
              </w:rPr>
            </w:pPr>
            <w:r>
              <w:rPr>
                <w:i/>
                <w:sz w:val="19"/>
              </w:rPr>
              <w:t xml:space="preserve">Industrial Relations Legislation Amendment and Repeal Act 1995 </w:t>
            </w:r>
            <w:r>
              <w:rPr>
                <w:sz w:val="19"/>
              </w:rPr>
              <w:t>s. 69(2)</w:t>
            </w:r>
          </w:p>
        </w:tc>
        <w:tc>
          <w:tcPr>
            <w:tcW w:w="1134" w:type="dxa"/>
            <w:gridSpan w:val="2"/>
          </w:tcPr>
          <w:p>
            <w:pPr>
              <w:pStyle w:val="nTable"/>
              <w:spacing w:after="40"/>
              <w:rPr>
                <w:sz w:val="19"/>
              </w:rPr>
            </w:pPr>
            <w:r>
              <w:rPr>
                <w:sz w:val="19"/>
              </w:rPr>
              <w:t>79 of 1995</w:t>
            </w:r>
          </w:p>
        </w:tc>
        <w:tc>
          <w:tcPr>
            <w:tcW w:w="1134"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gridBefore w:val="1"/>
          <w:wBefore w:w="12"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Before w:val="1"/>
          <w:wBefore w:w="12"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 and 93</w:t>
            </w:r>
          </w:p>
        </w:tc>
        <w:tc>
          <w:tcPr>
            <w:tcW w:w="1134" w:type="dxa"/>
            <w:gridSpan w:val="2"/>
          </w:tcPr>
          <w:p>
            <w:pPr>
              <w:pStyle w:val="nTable"/>
              <w:keepNext/>
              <w:keepLines/>
              <w:spacing w:after="40"/>
              <w:rPr>
                <w:sz w:val="19"/>
              </w:rPr>
            </w:pPr>
            <w:r>
              <w:rPr>
                <w:sz w:val="19"/>
              </w:rPr>
              <w:t>57 of 1997</w:t>
            </w:r>
          </w:p>
        </w:tc>
        <w:tc>
          <w:tcPr>
            <w:tcW w:w="1134" w:type="dxa"/>
            <w:gridSpan w:val="2"/>
          </w:tcPr>
          <w:p>
            <w:pPr>
              <w:pStyle w:val="nTable"/>
              <w:keepNext/>
              <w:keepLines/>
              <w:spacing w:after="40"/>
              <w:rPr>
                <w:sz w:val="19"/>
              </w:rPr>
            </w:pPr>
            <w:r>
              <w:rPr>
                <w:sz w:val="19"/>
              </w:rPr>
              <w:t>15 Dec 1997</w:t>
            </w:r>
          </w:p>
        </w:tc>
        <w:tc>
          <w:tcPr>
            <w:tcW w:w="2551" w:type="dxa"/>
          </w:tcPr>
          <w:p>
            <w:pPr>
              <w:pStyle w:val="nTable"/>
              <w:keepNext/>
              <w:keepLines/>
              <w:spacing w:after="40"/>
              <w:rPr>
                <w:sz w:val="19"/>
              </w:rPr>
            </w:pPr>
            <w:r>
              <w:rPr>
                <w:sz w:val="19"/>
              </w:rPr>
              <w:t>15 Dec 1997 (see s. 2(1))</w:t>
            </w:r>
          </w:p>
        </w:tc>
      </w:tr>
      <w:tr>
        <w:trPr>
          <w:gridBefore w:val="1"/>
          <w:wBefore w:w="12" w:type="dxa"/>
          <w:cantSplit/>
        </w:trPr>
        <w:tc>
          <w:tcPr>
            <w:tcW w:w="2268" w:type="dxa"/>
            <w:gridSpan w:val="2"/>
          </w:tcPr>
          <w:p>
            <w:pPr>
              <w:pStyle w:val="nTable"/>
              <w:spacing w:after="40"/>
              <w:ind w:right="113"/>
              <w:rPr>
                <w:i/>
                <w:sz w:val="19"/>
              </w:rPr>
            </w:pPr>
            <w:r>
              <w:rPr>
                <w:i/>
                <w:sz w:val="19"/>
              </w:rPr>
              <w:t>Petroleum Products Pricing Amendment Act 2000</w:t>
            </w:r>
          </w:p>
        </w:tc>
        <w:tc>
          <w:tcPr>
            <w:tcW w:w="1134" w:type="dxa"/>
            <w:gridSpan w:val="2"/>
          </w:tcPr>
          <w:p>
            <w:pPr>
              <w:pStyle w:val="nTable"/>
              <w:spacing w:after="40"/>
              <w:rPr>
                <w:sz w:val="19"/>
              </w:rPr>
            </w:pPr>
            <w:r>
              <w:rPr>
                <w:sz w:val="19"/>
              </w:rPr>
              <w:t>73 of 2000</w:t>
            </w:r>
          </w:p>
        </w:tc>
        <w:tc>
          <w:tcPr>
            <w:tcW w:w="1134" w:type="dxa"/>
            <w:gridSpan w:val="2"/>
          </w:tcPr>
          <w:p>
            <w:pPr>
              <w:pStyle w:val="nTable"/>
              <w:spacing w:after="40"/>
              <w:rPr>
                <w:sz w:val="19"/>
              </w:rPr>
            </w:pPr>
            <w:r>
              <w:rPr>
                <w:sz w:val="19"/>
              </w:rPr>
              <w:t>4 Dec 2000</w:t>
            </w:r>
          </w:p>
        </w:tc>
        <w:tc>
          <w:tcPr>
            <w:tcW w:w="2551" w:type="dxa"/>
          </w:tcPr>
          <w:p>
            <w:pPr>
              <w:pStyle w:val="nTable"/>
              <w:spacing w:after="40"/>
              <w:rPr>
                <w:sz w:val="19"/>
              </w:rPr>
            </w:pPr>
            <w:r>
              <w:rPr>
                <w:sz w:val="19"/>
              </w:rPr>
              <w:t>1 Jan 2001</w:t>
            </w:r>
          </w:p>
        </w:tc>
      </w:tr>
      <w:tr>
        <w:trPr>
          <w:gridBefore w:val="1"/>
          <w:wBefore w:w="12" w:type="dxa"/>
          <w:cantSplit/>
        </w:trPr>
        <w:tc>
          <w:tcPr>
            <w:tcW w:w="2268" w:type="dxa"/>
            <w:gridSpan w:val="2"/>
          </w:tcPr>
          <w:p>
            <w:pPr>
              <w:pStyle w:val="nTable"/>
              <w:spacing w:after="40"/>
              <w:ind w:right="113"/>
              <w:rPr>
                <w:sz w:val="19"/>
              </w:rPr>
            </w:pPr>
            <w:r>
              <w:rPr>
                <w:i/>
                <w:sz w:val="19"/>
              </w:rPr>
              <w:t>Petroleum Legislation Amendment Act 2001</w:t>
            </w:r>
            <w:r>
              <w:rPr>
                <w:sz w:val="19"/>
              </w:rPr>
              <w:t xml:space="preserve"> Pt. 3</w:t>
            </w:r>
          </w:p>
        </w:tc>
        <w:tc>
          <w:tcPr>
            <w:tcW w:w="1134" w:type="dxa"/>
            <w:gridSpan w:val="2"/>
          </w:tcPr>
          <w:p>
            <w:pPr>
              <w:pStyle w:val="nTable"/>
              <w:keepNext/>
              <w:keepLines/>
              <w:spacing w:after="40"/>
              <w:rPr>
                <w:sz w:val="19"/>
              </w:rPr>
            </w:pPr>
            <w:r>
              <w:rPr>
                <w:sz w:val="19"/>
              </w:rPr>
              <w:t>11 of 2001</w:t>
            </w:r>
          </w:p>
        </w:tc>
        <w:tc>
          <w:tcPr>
            <w:tcW w:w="1134" w:type="dxa"/>
            <w:gridSpan w:val="2"/>
          </w:tcPr>
          <w:p>
            <w:pPr>
              <w:pStyle w:val="nTable"/>
              <w:keepNext/>
              <w:keepLines/>
              <w:spacing w:after="40"/>
              <w:rPr>
                <w:sz w:val="19"/>
              </w:rPr>
            </w:pPr>
            <w:r>
              <w:rPr>
                <w:sz w:val="19"/>
              </w:rPr>
              <w:t>13 Jul 2001</w:t>
            </w:r>
          </w:p>
        </w:tc>
        <w:tc>
          <w:tcPr>
            <w:tcW w:w="2551" w:type="dxa"/>
          </w:tcPr>
          <w:p>
            <w:pPr>
              <w:pStyle w:val="nTable"/>
              <w:keepNext/>
              <w:keepLines/>
              <w:spacing w:after="40"/>
              <w:rPr>
                <w:sz w:val="19"/>
                <w:vertAlign w:val="superscript"/>
              </w:rPr>
            </w:pPr>
            <w:r>
              <w:rPr>
                <w:sz w:val="19"/>
              </w:rPr>
              <w:t xml:space="preserve">s. 20: 24 Aug 2001 (see s. 2(2) and </w:t>
            </w:r>
            <w:r>
              <w:rPr>
                <w:i/>
                <w:sz w:val="19"/>
              </w:rPr>
              <w:t>Gazette</w:t>
            </w:r>
            <w:r>
              <w:rPr>
                <w:sz w:val="19"/>
              </w:rPr>
              <w:t xml:space="preserve"> 23 Aug 2001 p. 4377);</w:t>
            </w:r>
            <w:r>
              <w:rPr>
                <w:sz w:val="19"/>
              </w:rPr>
              <w:br/>
              <w:t xml:space="preserve">balance: 1 Jan 2002 (see s. 2(1) and </w:t>
            </w:r>
            <w:r>
              <w:rPr>
                <w:i/>
                <w:sz w:val="19"/>
              </w:rPr>
              <w:t>Gazette</w:t>
            </w:r>
            <w:r>
              <w:rPr>
                <w:sz w:val="19"/>
              </w:rPr>
              <w:t xml:space="preserve"> 31 Dec 2001 p. 6761)</w:t>
            </w:r>
          </w:p>
        </w:tc>
      </w:tr>
      <w:tr>
        <w:trPr>
          <w:gridBefore w:val="1"/>
          <w:wBefore w:w="12" w:type="dxa"/>
          <w:cantSplit/>
        </w:trPr>
        <w:tc>
          <w:tcPr>
            <w:tcW w:w="7087" w:type="dxa"/>
            <w:gridSpan w:val="7"/>
          </w:tcPr>
          <w:p>
            <w:pPr>
              <w:pStyle w:val="nTable"/>
              <w:spacing w:after="40"/>
              <w:rPr>
                <w:sz w:val="19"/>
              </w:rPr>
            </w:pPr>
            <w:r>
              <w:rPr>
                <w:b/>
                <w:sz w:val="19"/>
              </w:rPr>
              <w:t xml:space="preserve">Reprint of the </w:t>
            </w:r>
            <w:r>
              <w:rPr>
                <w:b/>
                <w:i/>
                <w:sz w:val="19"/>
              </w:rPr>
              <w:t>Petroleum Products Pricing Act 1983</w:t>
            </w:r>
            <w:r>
              <w:rPr>
                <w:b/>
                <w:sz w:val="19"/>
              </w:rPr>
              <w:t xml:space="preserve"> as at 11 Jan 2002</w:t>
            </w:r>
            <w:r>
              <w:rPr>
                <w:b/>
                <w:sz w:val="19"/>
              </w:rPr>
              <w:br/>
            </w:r>
            <w:r>
              <w:rPr>
                <w:sz w:val="19"/>
              </w:rPr>
              <w:t xml:space="preserve">(includes amendments listed above)  (correction in </w:t>
            </w:r>
            <w:r>
              <w:rPr>
                <w:i/>
                <w:sz w:val="19"/>
              </w:rPr>
              <w:t>Gazette</w:t>
            </w:r>
            <w:r>
              <w:rPr>
                <w:sz w:val="19"/>
              </w:rPr>
              <w:t xml:space="preserve"> 20 Sep 2002 p. 4693)</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snapToGrid w:val="0"/>
                <w:sz w:val="19"/>
              </w:rPr>
            </w:pPr>
            <w:r>
              <w:rPr>
                <w:i/>
                <w:snapToGrid w:val="0"/>
                <w:sz w:val="19"/>
              </w:rPr>
              <w:t>Courts Legislation Amendment and Repeal Act 2004</w:t>
            </w:r>
            <w:r>
              <w:rPr>
                <w:snapToGrid w:val="0"/>
                <w:sz w:val="19"/>
              </w:rPr>
              <w:t xml:space="preserve"> s. 141</w:t>
            </w:r>
          </w:p>
        </w:tc>
        <w:tc>
          <w:tcPr>
            <w:tcW w:w="1134" w:type="dxa"/>
            <w:gridSpan w:val="2"/>
            <w:tcBorders>
              <w:top w:val="nil"/>
              <w:bottom w:val="nil"/>
            </w:tcBorders>
          </w:tcPr>
          <w:p>
            <w:pPr>
              <w:pStyle w:val="nTable"/>
              <w:spacing w:after="40"/>
              <w:rPr>
                <w:snapToGrid w:val="0"/>
                <w:sz w:val="19"/>
              </w:rPr>
            </w:pPr>
            <w:r>
              <w:rPr>
                <w:snapToGrid w:val="0"/>
                <w:sz w:val="19"/>
              </w:rPr>
              <w:t>59 of 2004</w:t>
            </w:r>
          </w:p>
        </w:tc>
        <w:tc>
          <w:tcPr>
            <w:tcW w:w="1134" w:type="dxa"/>
            <w:gridSpan w:val="2"/>
            <w:tcBorders>
              <w:top w:val="nil"/>
              <w:bottom w:val="nil"/>
            </w:tcBorders>
          </w:tcPr>
          <w:p>
            <w:pPr>
              <w:pStyle w:val="nTable"/>
              <w:spacing w:after="40"/>
              <w:rPr>
                <w:snapToGrid w:val="0"/>
                <w:sz w:val="19"/>
              </w:rPr>
            </w:pPr>
            <w:r>
              <w:rPr>
                <w:sz w:val="19"/>
              </w:rPr>
              <w:t>23 Nov 2004</w:t>
            </w:r>
          </w:p>
        </w:tc>
        <w:tc>
          <w:tcPr>
            <w:tcW w:w="2551"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2"/>
            <w:tcBorders>
              <w:top w:val="nil"/>
              <w:bottom w:val="nil"/>
            </w:tcBorders>
          </w:tcPr>
          <w:p>
            <w:pPr>
              <w:pStyle w:val="nTable"/>
              <w:spacing w:after="40"/>
              <w:rPr>
                <w:snapToGrid w:val="0"/>
                <w:sz w:val="19"/>
              </w:rPr>
            </w:pPr>
            <w:r>
              <w:rPr>
                <w:snapToGrid w:val="0"/>
                <w:sz w:val="19"/>
              </w:rPr>
              <w:t>84 of 2004</w:t>
            </w:r>
          </w:p>
        </w:tc>
        <w:tc>
          <w:tcPr>
            <w:tcW w:w="1134" w:type="dxa"/>
            <w:gridSpan w:val="2"/>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sz w:val="19"/>
              </w:rPr>
            </w:pPr>
            <w:r>
              <w:rPr>
                <w:i/>
                <w:sz w:val="19"/>
              </w:rPr>
              <w:t>Oaths, Affidavits and Statutory Declarations (Consequential Provisions) Act 2005</w:t>
            </w:r>
            <w:r>
              <w:rPr>
                <w:sz w:val="19"/>
              </w:rPr>
              <w:t xml:space="preserve"> s. 63</w:t>
            </w:r>
          </w:p>
        </w:tc>
        <w:tc>
          <w:tcPr>
            <w:tcW w:w="1134" w:type="dxa"/>
            <w:gridSpan w:val="2"/>
            <w:tcBorders>
              <w:top w:val="nil"/>
              <w:bottom w:val="nil"/>
            </w:tcBorders>
          </w:tcPr>
          <w:p>
            <w:pPr>
              <w:pStyle w:val="nTable"/>
              <w:spacing w:after="40"/>
              <w:rPr>
                <w:snapToGrid w:val="0"/>
                <w:sz w:val="19"/>
              </w:rPr>
            </w:pPr>
            <w:r>
              <w:rPr>
                <w:sz w:val="19"/>
              </w:rPr>
              <w:t>24 of 2005</w:t>
            </w:r>
          </w:p>
        </w:tc>
        <w:tc>
          <w:tcPr>
            <w:tcW w:w="1134" w:type="dxa"/>
            <w:gridSpan w:val="2"/>
            <w:tcBorders>
              <w:top w:val="nil"/>
              <w:bottom w:val="nil"/>
            </w:tcBorders>
          </w:tcPr>
          <w:p>
            <w:pPr>
              <w:pStyle w:val="nTable"/>
              <w:spacing w:after="40"/>
              <w:rPr>
                <w:sz w:val="19"/>
              </w:rPr>
            </w:pPr>
            <w:r>
              <w:rPr>
                <w:sz w:val="19"/>
              </w:rPr>
              <w:t>2 Dec 2005</w:t>
            </w:r>
          </w:p>
        </w:tc>
        <w:tc>
          <w:tcPr>
            <w:tcW w:w="2551" w:type="dxa"/>
            <w:tcBorders>
              <w:top w:val="nil"/>
              <w:bottom w:val="nil"/>
            </w:tcBorders>
          </w:tcPr>
          <w:p>
            <w:pPr>
              <w:pStyle w:val="nTable"/>
              <w:spacing w:after="40"/>
              <w:rPr>
                <w:snapToGrid w:val="0"/>
                <w:sz w:val="19"/>
              </w:rPr>
            </w:pPr>
            <w:r>
              <w:rPr>
                <w:sz w:val="19"/>
              </w:rPr>
              <w:t xml:space="preserve">1 Jan 2006 (see s. 2(1) and </w:t>
            </w:r>
            <w:r>
              <w:rPr>
                <w:i/>
                <w:sz w:val="19"/>
              </w:rPr>
              <w:t>Gazette</w:t>
            </w:r>
            <w:r>
              <w:rPr>
                <w:sz w:val="19"/>
              </w:rPr>
              <w:t xml:space="preserve"> 23 Dec 2005 p. 6244)</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sz w:val="19"/>
              </w:rPr>
            </w:pPr>
            <w:r>
              <w:rPr>
                <w:i/>
                <w:snapToGrid w:val="0"/>
                <w:sz w:val="19"/>
              </w:rPr>
              <w:t xml:space="preserve">Machinery of Government (Miscellaneous Amendments) Act 2006 </w:t>
            </w:r>
            <w:r>
              <w:rPr>
                <w:snapToGrid w:val="0"/>
                <w:sz w:val="19"/>
              </w:rPr>
              <w:t xml:space="preserve">Pt. 4 Div. 17 </w:t>
            </w:r>
            <w:r>
              <w:rPr>
                <w:snapToGrid w:val="0"/>
                <w:sz w:val="19"/>
                <w:vertAlign w:val="superscript"/>
              </w:rPr>
              <w:t>3</w:t>
            </w:r>
          </w:p>
        </w:tc>
        <w:tc>
          <w:tcPr>
            <w:tcW w:w="1134" w:type="dxa"/>
            <w:gridSpan w:val="2"/>
            <w:tcBorders>
              <w:top w:val="nil"/>
              <w:bottom w:val="nil"/>
            </w:tcBorders>
          </w:tcPr>
          <w:p>
            <w:pPr>
              <w:pStyle w:val="nTable"/>
              <w:spacing w:after="40"/>
              <w:rPr>
                <w:snapToGrid w:val="0"/>
                <w:sz w:val="19"/>
              </w:rPr>
            </w:pPr>
            <w:r>
              <w:rPr>
                <w:snapToGrid w:val="0"/>
                <w:sz w:val="19"/>
              </w:rPr>
              <w:t>28 of 2006</w:t>
            </w:r>
          </w:p>
        </w:tc>
        <w:tc>
          <w:tcPr>
            <w:tcW w:w="1134" w:type="dxa"/>
            <w:gridSpan w:val="2"/>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gridBefore w:val="1"/>
          <w:wBefore w:w="12" w:type="dxa"/>
          <w:cantSplit/>
        </w:trPr>
        <w:tc>
          <w:tcPr>
            <w:tcW w:w="7087" w:type="dxa"/>
            <w:gridSpan w:val="7"/>
            <w:tcBorders>
              <w:top w:val="nil"/>
              <w:bottom w:val="nil"/>
            </w:tcBorders>
          </w:tcPr>
          <w:p>
            <w:pPr>
              <w:pStyle w:val="nTable"/>
              <w:spacing w:after="40"/>
              <w:rPr>
                <w:snapToGrid w:val="0"/>
                <w:sz w:val="19"/>
              </w:rPr>
            </w:pPr>
            <w:r>
              <w:rPr>
                <w:b/>
                <w:sz w:val="19"/>
              </w:rPr>
              <w:t xml:space="preserve">Reprint 2:  The </w:t>
            </w:r>
            <w:r>
              <w:rPr>
                <w:b/>
                <w:i/>
                <w:sz w:val="19"/>
              </w:rPr>
              <w:t>Petroleum Products Pricing Act 1983</w:t>
            </w:r>
            <w:r>
              <w:rPr>
                <w:b/>
                <w:sz w:val="19"/>
              </w:rPr>
              <w:t xml:space="preserve"> as at 13 Oct 2006</w:t>
            </w:r>
            <w:r>
              <w:rPr>
                <w:b/>
                <w:sz w:val="19"/>
              </w:rPr>
              <w:br/>
            </w:r>
            <w:r>
              <w:rPr>
                <w:sz w:val="19"/>
              </w:rPr>
              <w:t xml:space="preserve">(includes amendments listed above) </w:t>
            </w:r>
          </w:p>
        </w:tc>
      </w:tr>
      <w:tr>
        <w:tblPrEx>
          <w:tblBorders>
            <w:top w:val="single" w:sz="4" w:space="0" w:color="auto"/>
            <w:bottom w:val="single" w:sz="4" w:space="0" w:color="auto"/>
            <w:insideH w:val="single" w:sz="4" w:space="0" w:color="auto"/>
          </w:tblBorders>
        </w:tblPrEx>
        <w:trPr>
          <w:gridBefore w:val="1"/>
          <w:wBefore w:w="12" w:type="dxa"/>
        </w:trPr>
        <w:tc>
          <w:tcPr>
            <w:tcW w:w="2268" w:type="dxa"/>
            <w:gridSpan w:val="2"/>
            <w:tcBorders>
              <w:top w:val="nil"/>
              <w:bottom w:val="nil"/>
            </w:tcBorders>
          </w:tcPr>
          <w:p>
            <w:pPr>
              <w:pStyle w:val="nTable"/>
              <w:spacing w:after="40"/>
              <w:rPr>
                <w:i/>
                <w:snapToGrid w:val="0"/>
                <w:sz w:val="19"/>
              </w:rPr>
            </w:pPr>
            <w:r>
              <w:rPr>
                <w:i/>
                <w:snapToGrid w:val="0"/>
                <w:sz w:val="19"/>
              </w:rPr>
              <w:t xml:space="preserve">Financial Legislation Amendment and Repeal Act 2006 </w:t>
            </w:r>
            <w:r>
              <w:rPr>
                <w:snapToGrid w:val="0"/>
                <w:sz w:val="19"/>
              </w:rPr>
              <w:t>s. 17</w:t>
            </w:r>
            <w:r>
              <w:rPr>
                <w:snapToGrid w:val="0"/>
                <w:sz w:val="19"/>
                <w:vertAlign w:val="superscript"/>
              </w:rPr>
              <w:t> 4</w:t>
            </w:r>
          </w:p>
        </w:tc>
        <w:tc>
          <w:tcPr>
            <w:tcW w:w="1134" w:type="dxa"/>
            <w:gridSpan w:val="2"/>
            <w:tcBorders>
              <w:top w:val="nil"/>
              <w:bottom w:val="nil"/>
            </w:tcBorders>
          </w:tcPr>
          <w:p>
            <w:pPr>
              <w:pStyle w:val="nTable"/>
              <w:spacing w:after="40"/>
              <w:rPr>
                <w:snapToGrid w:val="0"/>
                <w:sz w:val="19"/>
              </w:rPr>
            </w:pPr>
            <w:r>
              <w:rPr>
                <w:snapToGrid w:val="0"/>
                <w:sz w:val="19"/>
              </w:rPr>
              <w:t xml:space="preserve">77 of 2006 </w:t>
            </w:r>
          </w:p>
        </w:tc>
        <w:tc>
          <w:tcPr>
            <w:tcW w:w="1134" w:type="dxa"/>
            <w:gridSpan w:val="2"/>
            <w:tcBorders>
              <w:top w:val="nil"/>
              <w:bottom w:val="nil"/>
            </w:tcBorders>
          </w:tcPr>
          <w:p>
            <w:pPr>
              <w:pStyle w:val="nTable"/>
              <w:spacing w:after="40"/>
              <w:rPr>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 and </w:t>
            </w:r>
            <w:r>
              <w:rPr>
                <w:i/>
                <w:snapToGrid w:val="0"/>
                <w:sz w:val="19"/>
              </w:rPr>
              <w:t>Gazette</w:t>
            </w:r>
            <w:r>
              <w:rPr>
                <w:snapToGrid w:val="0"/>
                <w:sz w:val="19"/>
              </w:rPr>
              <w:t xml:space="preserve"> 19 Jan 2007 p. 137)</w:t>
            </w:r>
          </w:p>
        </w:tc>
      </w:tr>
      <w:tr>
        <w:tblPrEx>
          <w:tblCellMar>
            <w:left w:w="56" w:type="dxa"/>
            <w:right w:w="56" w:type="dxa"/>
          </w:tblCellMar>
        </w:tblPrEx>
        <w:trPr>
          <w:cantSplit/>
        </w:trPr>
        <w:tc>
          <w:tcPr>
            <w:tcW w:w="2254"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66</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77" w:type="dxa"/>
            <w:gridSpan w:val="2"/>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91" w:name="_Toc401155702"/>
      <w:r>
        <w:t>Provisions that have not come into operation</w:t>
      </w:r>
      <w:bookmarkEnd w:id="91"/>
    </w:p>
    <w:tbl>
      <w:tblPr>
        <w:tblW w:w="715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551"/>
        <w:gridCol w:w="64"/>
      </w:tblGrid>
      <w:tr>
        <w:tc>
          <w:tcPr>
            <w:tcW w:w="2268" w:type="dxa"/>
            <w:tcBorders>
              <w:bottom w:val="single" w:sz="4" w:space="0" w:color="auto"/>
            </w:tcBorders>
          </w:tcPr>
          <w:p>
            <w:pPr>
              <w:pStyle w:val="nTable"/>
              <w:keepNext/>
              <w:keepLines/>
              <w:spacing w:after="40"/>
              <w:rPr>
                <w:b/>
                <w:snapToGrid w:val="0"/>
                <w:sz w:val="19"/>
              </w:rPr>
            </w:pPr>
            <w:r>
              <w:rPr>
                <w:b/>
                <w:snapToGrid w:val="0"/>
                <w:sz w:val="19"/>
              </w:rPr>
              <w:t>Short title</w:t>
            </w:r>
          </w:p>
        </w:tc>
        <w:tc>
          <w:tcPr>
            <w:tcW w:w="1134" w:type="dxa"/>
            <w:tcBorders>
              <w:bottom w:val="single" w:sz="4" w:space="0" w:color="auto"/>
            </w:tcBorders>
          </w:tcPr>
          <w:p>
            <w:pPr>
              <w:pStyle w:val="nTable"/>
              <w:keepNext/>
              <w:keepLines/>
              <w:spacing w:after="40"/>
              <w:rPr>
                <w:b/>
                <w:snapToGrid w:val="0"/>
                <w:sz w:val="19"/>
              </w:rPr>
            </w:pPr>
            <w:r>
              <w:rPr>
                <w:b/>
                <w:snapToGrid w:val="0"/>
                <w:sz w:val="19"/>
              </w:rPr>
              <w:t>Number and year</w:t>
            </w:r>
          </w:p>
        </w:tc>
        <w:tc>
          <w:tcPr>
            <w:tcW w:w="1134" w:type="dxa"/>
            <w:tcBorders>
              <w:bottom w:val="single" w:sz="4" w:space="0" w:color="auto"/>
            </w:tcBorders>
          </w:tcPr>
          <w:p>
            <w:pPr>
              <w:pStyle w:val="nTable"/>
              <w:keepNext/>
              <w:keepLines/>
              <w:spacing w:after="40"/>
              <w:rPr>
                <w:b/>
                <w:snapToGrid w:val="0"/>
                <w:sz w:val="19"/>
              </w:rPr>
            </w:pPr>
            <w:r>
              <w:rPr>
                <w:b/>
                <w:snapToGrid w:val="0"/>
                <w:sz w:val="19"/>
              </w:rPr>
              <w:t>Assent</w:t>
            </w:r>
          </w:p>
        </w:tc>
        <w:tc>
          <w:tcPr>
            <w:tcW w:w="2615" w:type="dxa"/>
            <w:gridSpan w:val="2"/>
            <w:tcBorders>
              <w:bottom w:val="single" w:sz="4" w:space="0" w:color="auto"/>
            </w:tcBorders>
          </w:tcPr>
          <w:p>
            <w:pPr>
              <w:pStyle w:val="nTable"/>
              <w:keepNext/>
              <w:keepLines/>
              <w:spacing w:after="40"/>
              <w:rPr>
                <w:b/>
                <w:snapToGrid w:val="0"/>
                <w:sz w:val="19"/>
              </w:rPr>
            </w:pPr>
            <w:r>
              <w:rPr>
                <w:b/>
                <w:snapToGrid w:val="0"/>
                <w:sz w:val="19"/>
              </w:rPr>
              <w:t>Commencement</w:t>
            </w:r>
          </w:p>
        </w:tc>
      </w:tr>
      <w:tr>
        <w:tc>
          <w:tcPr>
            <w:tcW w:w="2268" w:type="dxa"/>
            <w:tcBorders>
              <w:top w:val="single" w:sz="4" w:space="0" w:color="auto"/>
              <w:bottom w:val="nil"/>
            </w:tcBorders>
          </w:tcPr>
          <w:p>
            <w:pPr>
              <w:pStyle w:val="nTable"/>
              <w:keepNext/>
              <w:keepLines/>
              <w:spacing w:after="40"/>
              <w:rPr>
                <w:snapToGrid w:val="0"/>
                <w:sz w:val="19"/>
                <w:vertAlign w:val="superscript"/>
              </w:rPr>
            </w:pPr>
            <w:r>
              <w:rPr>
                <w:i/>
                <w:snapToGrid w:val="0"/>
                <w:sz w:val="19"/>
              </w:rPr>
              <w:t xml:space="preserve">Road Traffic Legislation Amendment Act 2012 </w:t>
            </w:r>
            <w:r>
              <w:rPr>
                <w:snapToGrid w:val="0"/>
                <w:sz w:val="19"/>
              </w:rPr>
              <w:t>Pt. 4 Div. 40</w:t>
            </w:r>
            <w:r>
              <w:rPr>
                <w:snapToGrid w:val="0"/>
                <w:sz w:val="19"/>
                <w:vertAlign w:val="superscript"/>
              </w:rPr>
              <w:t> 6</w:t>
            </w:r>
          </w:p>
        </w:tc>
        <w:tc>
          <w:tcPr>
            <w:tcW w:w="1134" w:type="dxa"/>
            <w:tcBorders>
              <w:top w:val="single" w:sz="4" w:space="0" w:color="auto"/>
              <w:bottom w:val="nil"/>
            </w:tcBorders>
          </w:tcPr>
          <w:p>
            <w:pPr>
              <w:pStyle w:val="nTable"/>
              <w:keepNext/>
              <w:keepLines/>
              <w:spacing w:after="40"/>
              <w:rPr>
                <w:snapToGrid w:val="0"/>
                <w:sz w:val="19"/>
              </w:rPr>
            </w:pPr>
            <w:r>
              <w:rPr>
                <w:snapToGrid w:val="0"/>
                <w:sz w:val="19"/>
              </w:rPr>
              <w:t>8 of 2012</w:t>
            </w:r>
          </w:p>
        </w:tc>
        <w:tc>
          <w:tcPr>
            <w:tcW w:w="1134" w:type="dxa"/>
            <w:tcBorders>
              <w:top w:val="single" w:sz="4" w:space="0" w:color="auto"/>
              <w:bottom w:val="nil"/>
            </w:tcBorders>
          </w:tcPr>
          <w:p>
            <w:pPr>
              <w:pStyle w:val="nTable"/>
              <w:keepNext/>
              <w:keepLines/>
              <w:spacing w:after="40"/>
              <w:rPr>
                <w:snapToGrid w:val="0"/>
                <w:sz w:val="19"/>
              </w:rPr>
            </w:pPr>
            <w:r>
              <w:rPr>
                <w:sz w:val="19"/>
              </w:rPr>
              <w:t>21 May 2012</w:t>
            </w:r>
          </w:p>
        </w:tc>
        <w:tc>
          <w:tcPr>
            <w:tcW w:w="2615" w:type="dxa"/>
            <w:gridSpan w:val="2"/>
            <w:tcBorders>
              <w:top w:val="single" w:sz="4" w:space="0" w:color="auto"/>
              <w:bottom w:val="nil"/>
            </w:tcBorders>
          </w:tcPr>
          <w:p>
            <w:pPr>
              <w:pStyle w:val="nTable"/>
              <w:keepNext/>
              <w:keepLines/>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blPrEx>
          <w:tblCellMar>
            <w:left w:w="56" w:type="dxa"/>
            <w:right w:w="56" w:type="dxa"/>
          </w:tblCellMar>
        </w:tblPrEx>
        <w:trPr>
          <w:gridAfter w:val="1"/>
          <w:wAfter w:w="64" w:type="dxa"/>
          <w:cantSplit/>
        </w:trPr>
        <w:tc>
          <w:tcPr>
            <w:tcW w:w="2273" w:type="dxa"/>
            <w:tcBorders>
              <w:top w:val="nil"/>
              <w:bottom w:val="single" w:sz="4" w:space="0" w:color="auto"/>
            </w:tcBorders>
          </w:tcPr>
          <w:p>
            <w:pPr>
              <w:pStyle w:val="nTable"/>
              <w:spacing w:before="60" w:after="60"/>
              <w:ind w:right="113"/>
              <w:rPr>
                <w:sz w:val="19"/>
                <w:szCs w:val="19"/>
                <w:vertAlign w:val="superscript"/>
              </w:rPr>
            </w:pPr>
            <w:r>
              <w:rPr>
                <w:i/>
                <w:snapToGrid w:val="0"/>
                <w:sz w:val="19"/>
                <w:szCs w:val="19"/>
              </w:rPr>
              <w:t xml:space="preserve">Consumer Protection Legislation Amendment Act 2014 </w:t>
            </w:r>
            <w:r>
              <w:rPr>
                <w:snapToGrid w:val="0"/>
                <w:sz w:val="19"/>
                <w:szCs w:val="19"/>
              </w:rPr>
              <w:t>Pt. 9 </w:t>
            </w:r>
            <w:r>
              <w:rPr>
                <w:snapToGrid w:val="0"/>
                <w:sz w:val="19"/>
                <w:szCs w:val="19"/>
                <w:vertAlign w:val="superscript"/>
              </w:rPr>
              <w:t>7</w:t>
            </w:r>
          </w:p>
        </w:tc>
        <w:tc>
          <w:tcPr>
            <w:tcW w:w="1134" w:type="dxa"/>
            <w:tcBorders>
              <w:top w:val="nil"/>
              <w:bottom w:val="single" w:sz="4" w:space="0" w:color="auto"/>
            </w:tcBorders>
          </w:tcPr>
          <w:p>
            <w:pPr>
              <w:pStyle w:val="nTable"/>
              <w:spacing w:before="60" w:after="60"/>
              <w:rPr>
                <w:sz w:val="19"/>
                <w:szCs w:val="19"/>
              </w:rPr>
            </w:pPr>
            <w:r>
              <w:rPr>
                <w:sz w:val="19"/>
                <w:szCs w:val="19"/>
              </w:rPr>
              <w:t>23 of 2014</w:t>
            </w:r>
          </w:p>
        </w:tc>
        <w:tc>
          <w:tcPr>
            <w:tcW w:w="1134" w:type="dxa"/>
            <w:tcBorders>
              <w:top w:val="nil"/>
              <w:bottom w:val="single" w:sz="4" w:space="0" w:color="auto"/>
            </w:tcBorders>
          </w:tcPr>
          <w:p>
            <w:pPr>
              <w:pStyle w:val="nTable"/>
              <w:spacing w:before="60" w:after="60"/>
              <w:rPr>
                <w:sz w:val="19"/>
                <w:szCs w:val="19"/>
              </w:rPr>
            </w:pPr>
            <w:r>
              <w:rPr>
                <w:sz w:val="19"/>
                <w:szCs w:val="19"/>
              </w:rPr>
              <w:t>9 Oct 2014</w:t>
            </w:r>
          </w:p>
        </w:tc>
        <w:tc>
          <w:tcPr>
            <w:tcW w:w="2551" w:type="dxa"/>
            <w:tcBorders>
              <w:top w:val="nil"/>
              <w:bottom w:val="single" w:sz="4" w:space="0" w:color="auto"/>
            </w:tcBorders>
          </w:tcPr>
          <w:p>
            <w:pPr>
              <w:pStyle w:val="nTable"/>
              <w:spacing w:before="60" w:after="60"/>
              <w:rPr>
                <w:sz w:val="19"/>
                <w:szCs w:val="19"/>
              </w:rPr>
            </w:pPr>
            <w:r>
              <w:rPr>
                <w:sz w:val="19"/>
                <w:szCs w:val="19"/>
              </w:rPr>
              <w:t>To be proclaimed (see s. 2(b))</w:t>
            </w:r>
          </w:p>
        </w:tc>
      </w:tr>
    </w:tbl>
    <w:p>
      <w:pPr>
        <w:pStyle w:val="nSubsection"/>
        <w:spacing w:before="160"/>
      </w:pPr>
      <w:r>
        <w:rPr>
          <w:vertAlign w:val="superscript"/>
        </w:rPr>
        <w:t>2</w:t>
      </w:r>
      <w:r>
        <w:tab/>
        <w:t xml:space="preserve">Now known as the </w:t>
      </w:r>
      <w:r>
        <w:rPr>
          <w:i/>
        </w:rPr>
        <w:t>Petroleum Products Pricing Act 1983</w:t>
      </w:r>
      <w:r>
        <w:t>; short title changed (see note under s. 1).</w:t>
      </w:r>
    </w:p>
    <w:p>
      <w:pPr>
        <w:pStyle w:val="nSubsection"/>
        <w:keepNext/>
      </w:pPr>
      <w:r>
        <w:rPr>
          <w:vertAlign w:val="superscript"/>
        </w:rPr>
        <w:t>3</w:t>
      </w:r>
      <w:r>
        <w:tab/>
        <w:t xml:space="preserve">The </w:t>
      </w:r>
      <w:r>
        <w:rPr>
          <w:i/>
        </w:rPr>
        <w:t>Machinery of Government (Miscellaneous Amendments) Act 2006</w:t>
      </w:r>
      <w:r>
        <w:t xml:space="preserve"> Pt. 4 Div. 23 reads as follows:</w:t>
      </w:r>
    </w:p>
    <w:p>
      <w:pPr>
        <w:pStyle w:val="MiscOpen"/>
        <w:spacing w:before="0"/>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t>
      </w:r>
      <w:smartTag w:uri="urn:schemas-microsoft-com:office:smarttags" w:element="State">
        <w:smartTag w:uri="urn:schemas-microsoft-com:office:smarttags" w:element="place">
          <w:r>
            <w:rPr>
              <w:i/>
            </w:rPr>
            <w:t>Western Australia</w:t>
          </w:r>
        </w:smartTag>
      </w:smartTag>
      <w:r>
        <w:rPr>
          <w:i/>
        </w:rPr>
        <w:t>)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pPr>
      <w:r>
        <w:rPr>
          <w:vertAlign w:val="superscript"/>
        </w:rPr>
        <w:t>4</w:t>
      </w:r>
      <w:r>
        <w:tab/>
        <w:t xml:space="preserve">The amendment to s. 7(5) in the </w:t>
      </w:r>
      <w:r>
        <w:rPr>
          <w:i/>
          <w:iCs/>
        </w:rPr>
        <w:t xml:space="preserve">Financial Legislation Amendment and Repeal Act 2006 </w:t>
      </w:r>
      <w:r>
        <w:t xml:space="preserve">s. 17, which gives effect to Sch. 1 cl.126, is not included because the subsection it sought to amend was repealed by the </w:t>
      </w:r>
      <w:r>
        <w:rPr>
          <w:i/>
          <w:iCs/>
        </w:rPr>
        <w:t>Machinery of Government (Miscellaneous Amendments) Act 2006</w:t>
      </w:r>
      <w:r>
        <w:t xml:space="preserve"> s. 116(3).</w:t>
      </w:r>
    </w:p>
    <w:p>
      <w:pPr>
        <w:pStyle w:val="nSubsection"/>
      </w:pPr>
      <w:r>
        <w:rPr>
          <w:vertAlign w:val="superscript"/>
        </w:rPr>
        <w:t>5</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p>
    <w:p>
      <w:pPr>
        <w:pStyle w:val="nSubsection"/>
        <w:keepNext/>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40 had not come into operation.  It reads as follows:</w:t>
      </w:r>
    </w:p>
    <w:p>
      <w:pPr>
        <w:pStyle w:val="BlankOpen"/>
        <w:rPr>
          <w:snapToGrid w:val="0"/>
        </w:rPr>
      </w:pPr>
    </w:p>
    <w:p>
      <w:pPr>
        <w:pStyle w:val="nzHeading3"/>
      </w:pPr>
      <w:r>
        <w:rPr>
          <w:rStyle w:val="CharDivNo"/>
        </w:rPr>
        <w:t>Division 40</w:t>
      </w:r>
      <w:r>
        <w:t> — </w:t>
      </w:r>
      <w:r>
        <w:rPr>
          <w:rStyle w:val="CharDivText"/>
          <w:i/>
          <w:iCs/>
        </w:rPr>
        <w:t>Petroleum Products Pricing Act 1983</w:t>
      </w:r>
      <w:r>
        <w:rPr>
          <w:rStyle w:val="CharDivText"/>
        </w:rPr>
        <w:t xml:space="preserve"> amended</w:t>
      </w:r>
    </w:p>
    <w:p>
      <w:pPr>
        <w:pStyle w:val="nzHeading5"/>
        <w:rPr>
          <w:snapToGrid w:val="0"/>
        </w:rPr>
      </w:pPr>
      <w:r>
        <w:rPr>
          <w:rStyle w:val="CharSectno"/>
        </w:rPr>
        <w:t>158</w:t>
      </w:r>
      <w:r>
        <w:rPr>
          <w:snapToGrid w:val="0"/>
        </w:rPr>
        <w:t>.</w:t>
      </w:r>
      <w:r>
        <w:rPr>
          <w:snapToGrid w:val="0"/>
        </w:rPr>
        <w:tab/>
        <w:t>Act amended</w:t>
      </w:r>
    </w:p>
    <w:p>
      <w:pPr>
        <w:pStyle w:val="nzSubsection"/>
      </w:pPr>
      <w:r>
        <w:tab/>
      </w:r>
      <w:r>
        <w:tab/>
        <w:t xml:space="preserve">This Division amends the </w:t>
      </w:r>
      <w:r>
        <w:rPr>
          <w:i/>
        </w:rPr>
        <w:t>Petroleum Products Pricing Act 1983</w:t>
      </w:r>
      <w:r>
        <w:t>.</w:t>
      </w:r>
    </w:p>
    <w:p>
      <w:pPr>
        <w:pStyle w:val="nzHeading5"/>
      </w:pPr>
      <w:r>
        <w:rPr>
          <w:rStyle w:val="CharSectno"/>
        </w:rPr>
        <w:t>159</w:t>
      </w:r>
      <w:r>
        <w:t>.</w:t>
      </w:r>
      <w:r>
        <w:tab/>
        <w:t>Section 3 amended</w:t>
      </w:r>
    </w:p>
    <w:p>
      <w:pPr>
        <w:pStyle w:val="nzSubsection"/>
      </w:pPr>
      <w:r>
        <w:tab/>
      </w:r>
      <w:r>
        <w:tab/>
        <w:t xml:space="preserve">In section 3(1) in the definition of </w:t>
      </w:r>
      <w:r>
        <w:rPr>
          <w:b/>
          <w:bCs/>
          <w:i/>
          <w:iCs/>
        </w:rPr>
        <w:t>motor vehicle</w:t>
      </w:r>
      <w:r>
        <w:t xml:space="preserve"> delete “section 5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4;</w:t>
      </w:r>
    </w:p>
    <w:p>
      <w:pPr>
        <w:pStyle w:val="BlankClose"/>
      </w:pPr>
    </w:p>
    <w:p>
      <w:pPr>
        <w:pStyle w:val="BlankClose"/>
      </w:pP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9 had not come into operation.  It reads as follows:</w:t>
      </w:r>
    </w:p>
    <w:p>
      <w:pPr>
        <w:pStyle w:val="BlankClose"/>
      </w:pPr>
    </w:p>
    <w:p>
      <w:pPr>
        <w:pStyle w:val="nzHeading2"/>
      </w:pPr>
      <w:bookmarkStart w:id="92" w:name="_Toc370214242"/>
      <w:bookmarkStart w:id="93" w:name="_Toc370214400"/>
      <w:bookmarkStart w:id="94" w:name="_Toc370214558"/>
      <w:bookmarkStart w:id="95" w:name="_Toc370214716"/>
      <w:bookmarkStart w:id="96" w:name="_Toc370214874"/>
      <w:bookmarkStart w:id="97" w:name="_Toc370215698"/>
      <w:bookmarkStart w:id="98" w:name="_Toc370296553"/>
      <w:bookmarkStart w:id="99" w:name="_Toc370296711"/>
      <w:bookmarkStart w:id="100" w:name="_Toc370301856"/>
      <w:bookmarkStart w:id="101" w:name="_Toc370306279"/>
      <w:bookmarkStart w:id="102" w:name="_Toc399494820"/>
      <w:bookmarkStart w:id="103" w:name="_Toc401136892"/>
      <w:bookmarkStart w:id="104" w:name="_Toc401137552"/>
      <w:r>
        <w:rPr>
          <w:rStyle w:val="CharPartNo"/>
        </w:rPr>
        <w:t>Part 9</w:t>
      </w:r>
      <w:r>
        <w:rPr>
          <w:rStyle w:val="CharDivNo"/>
        </w:rPr>
        <w:t> </w:t>
      </w:r>
      <w:r>
        <w:t>—</w:t>
      </w:r>
      <w:r>
        <w:rPr>
          <w:rStyle w:val="CharDivText"/>
        </w:rPr>
        <w:t> </w:t>
      </w:r>
      <w:r>
        <w:rPr>
          <w:rStyle w:val="CharPartText"/>
          <w:i/>
        </w:rPr>
        <w:t>Petroleum Products Pricing Act 1983</w:t>
      </w:r>
      <w:r>
        <w:rPr>
          <w:rStyle w:val="CharPartText"/>
        </w:rPr>
        <w:t> amended</w:t>
      </w:r>
      <w:bookmarkEnd w:id="92"/>
      <w:bookmarkEnd w:id="93"/>
      <w:bookmarkEnd w:id="94"/>
      <w:bookmarkEnd w:id="95"/>
      <w:bookmarkEnd w:id="96"/>
      <w:bookmarkEnd w:id="97"/>
      <w:bookmarkEnd w:id="98"/>
      <w:bookmarkEnd w:id="99"/>
      <w:bookmarkEnd w:id="100"/>
      <w:bookmarkEnd w:id="101"/>
      <w:bookmarkEnd w:id="102"/>
      <w:bookmarkEnd w:id="103"/>
      <w:bookmarkEnd w:id="104"/>
    </w:p>
    <w:p>
      <w:pPr>
        <w:pStyle w:val="nzHeading5"/>
      </w:pPr>
      <w:bookmarkStart w:id="105" w:name="_Toc401136893"/>
      <w:bookmarkStart w:id="106" w:name="_Toc401137553"/>
      <w:r>
        <w:rPr>
          <w:rStyle w:val="CharSectno"/>
        </w:rPr>
        <w:t>63</w:t>
      </w:r>
      <w:r>
        <w:t>.</w:t>
      </w:r>
      <w:r>
        <w:tab/>
        <w:t>Act amended</w:t>
      </w:r>
      <w:bookmarkEnd w:id="105"/>
      <w:bookmarkEnd w:id="106"/>
    </w:p>
    <w:p>
      <w:pPr>
        <w:pStyle w:val="nzSubsection"/>
      </w:pPr>
      <w:r>
        <w:tab/>
      </w:r>
      <w:r>
        <w:tab/>
        <w:t xml:space="preserve">This Part amends the </w:t>
      </w:r>
      <w:r>
        <w:rPr>
          <w:i/>
        </w:rPr>
        <w:t>Petroleum Products Pricing Act 1983</w:t>
      </w:r>
      <w:r>
        <w:t>.</w:t>
      </w:r>
    </w:p>
    <w:p>
      <w:pPr>
        <w:pStyle w:val="nzHeading5"/>
      </w:pPr>
      <w:bookmarkStart w:id="107" w:name="_Toc401136894"/>
      <w:bookmarkStart w:id="108" w:name="_Toc401137554"/>
      <w:r>
        <w:rPr>
          <w:rStyle w:val="CharSectno"/>
        </w:rPr>
        <w:t>64</w:t>
      </w:r>
      <w:r>
        <w:t>.</w:t>
      </w:r>
      <w:r>
        <w:tab/>
        <w:t>Section 22A amended</w:t>
      </w:r>
      <w:bookmarkEnd w:id="107"/>
      <w:bookmarkEnd w:id="108"/>
    </w:p>
    <w:p>
      <w:pPr>
        <w:pStyle w:val="nzSubsection"/>
      </w:pPr>
      <w:r>
        <w:tab/>
        <w:t>(1)</w:t>
      </w:r>
      <w:r>
        <w:tab/>
        <w:t xml:space="preserve">In section 22A(1) delete the definition of </w:t>
      </w:r>
      <w:r>
        <w:rPr>
          <w:b/>
          <w:i/>
        </w:rPr>
        <w:t>displayed price</w:t>
      </w:r>
      <w:r>
        <w:t>.</w:t>
      </w:r>
    </w:p>
    <w:p>
      <w:pPr>
        <w:pStyle w:val="nzSubsection"/>
      </w:pPr>
      <w:r>
        <w:tab/>
        <w:t>(2)</w:t>
      </w:r>
      <w:r>
        <w:tab/>
        <w:t>In section 22A(1) insert in alphabetical order:</w:t>
      </w:r>
    </w:p>
    <w:p>
      <w:pPr>
        <w:pStyle w:val="BlankOpen"/>
      </w:pPr>
    </w:p>
    <w:p>
      <w:pPr>
        <w:pStyle w:val="nzDefstart"/>
      </w:pPr>
      <w:r>
        <w:tab/>
      </w:r>
      <w:r>
        <w:rPr>
          <w:rStyle w:val="CharDefText"/>
        </w:rPr>
        <w:t>relevant price</w:t>
      </w:r>
      <w:r>
        <w:t xml:space="preserve">, for a kind of motor fuel, means the price for that kind of motor fuel that would apply if a supplier of the motor fuel from a declared terminal were to make a wholesale sale of the motor fuel to a reseller who — </w:t>
      </w:r>
    </w:p>
    <w:p>
      <w:pPr>
        <w:pStyle w:val="nzDefpara"/>
      </w:pPr>
      <w:r>
        <w:tab/>
        <w:t>(a)</w:t>
      </w:r>
      <w:r>
        <w:tab/>
        <w:t>was not the subject of any agreement or arrangement affecting price; and</w:t>
      </w:r>
    </w:p>
    <w:p>
      <w:pPr>
        <w:pStyle w:val="nzDefpara"/>
      </w:pPr>
      <w:r>
        <w:tab/>
        <w:t>(b)</w:t>
      </w:r>
      <w:r>
        <w:tab/>
        <w:t>took delivery of the motor fuel at the terminal from which it was supplied;</w:t>
      </w:r>
    </w:p>
    <w:p>
      <w:pPr>
        <w:pStyle w:val="BlankClose"/>
      </w:pPr>
    </w:p>
    <w:p>
      <w:pPr>
        <w:pStyle w:val="nzHeading5"/>
      </w:pPr>
      <w:bookmarkStart w:id="109" w:name="_Toc401136895"/>
      <w:bookmarkStart w:id="110" w:name="_Toc401137555"/>
      <w:r>
        <w:rPr>
          <w:rStyle w:val="CharSectno"/>
        </w:rPr>
        <w:t>65</w:t>
      </w:r>
      <w:r>
        <w:t>.</w:t>
      </w:r>
      <w:r>
        <w:tab/>
        <w:t>Section 22B replaced</w:t>
      </w:r>
      <w:bookmarkEnd w:id="109"/>
      <w:bookmarkEnd w:id="110"/>
    </w:p>
    <w:p>
      <w:pPr>
        <w:pStyle w:val="nzSubsection"/>
      </w:pPr>
      <w:r>
        <w:tab/>
      </w:r>
      <w:r>
        <w:tab/>
        <w:t>Delete section 22B and insert:</w:t>
      </w:r>
    </w:p>
    <w:p>
      <w:pPr>
        <w:pStyle w:val="BlankOpen"/>
      </w:pPr>
    </w:p>
    <w:p>
      <w:pPr>
        <w:pStyle w:val="nzHeading5"/>
      </w:pPr>
      <w:bookmarkStart w:id="111" w:name="_Toc401136896"/>
      <w:bookmarkStart w:id="112" w:name="_Toc401137556"/>
      <w:r>
        <w:t>22B.</w:t>
      </w:r>
      <w:r>
        <w:tab/>
        <w:t>Commissioner to be notified of proposed price changes</w:t>
      </w:r>
      <w:bookmarkEnd w:id="111"/>
      <w:bookmarkEnd w:id="112"/>
    </w:p>
    <w:p>
      <w:pPr>
        <w:pStyle w:val="nzSubsection"/>
      </w:pPr>
      <w:r>
        <w:tab/>
      </w:r>
      <w:r>
        <w:tab/>
        <w:t xml:space="preserve">Whenever the relevant price for a kind of motor fuel supplied from a declared terminal is proposed to be changed, the supplier of the motor fuel is required to notify the Commissioner of the proposed price change — </w:t>
      </w:r>
    </w:p>
    <w:p>
      <w:pPr>
        <w:pStyle w:val="nzIndenta"/>
      </w:pPr>
      <w:r>
        <w:tab/>
        <w:t>(a)</w:t>
      </w:r>
      <w:r>
        <w:tab/>
        <w:t>before the proposed price change has effect; and</w:t>
      </w:r>
    </w:p>
    <w:p>
      <w:pPr>
        <w:pStyle w:val="nzIndenta"/>
      </w:pPr>
      <w:r>
        <w:tab/>
        <w:t>(b)</w:t>
      </w:r>
      <w:r>
        <w:tab/>
        <w:t>in accordance with the provisions of any regulations that apply to that notification.</w:t>
      </w:r>
    </w:p>
    <w:p>
      <w:pPr>
        <w:pStyle w:val="nzPenstart"/>
      </w:pPr>
      <w:r>
        <w:tab/>
        <w:t>Penalty: a fine of $20 000.</w:t>
      </w:r>
    </w:p>
    <w:p>
      <w:pPr>
        <w:pStyle w:val="BlankClose"/>
      </w:pPr>
    </w:p>
    <w:p>
      <w:pPr>
        <w:pStyle w:val="nzHeading5"/>
      </w:pPr>
      <w:bookmarkStart w:id="113" w:name="_Toc401136897"/>
      <w:bookmarkStart w:id="114" w:name="_Toc401137557"/>
      <w:r>
        <w:rPr>
          <w:rStyle w:val="CharSectno"/>
        </w:rPr>
        <w:t>66</w:t>
      </w:r>
      <w:r>
        <w:t>.</w:t>
      </w:r>
      <w:r>
        <w:tab/>
        <w:t>Sections 22C and 22D deleted</w:t>
      </w:r>
      <w:bookmarkEnd w:id="113"/>
      <w:bookmarkEnd w:id="114"/>
    </w:p>
    <w:p>
      <w:pPr>
        <w:pStyle w:val="nzSubsection"/>
      </w:pPr>
      <w:r>
        <w:tab/>
      </w:r>
      <w:r>
        <w:tab/>
        <w:t>Delete sections 22C and 22D.</w:t>
      </w:r>
    </w:p>
    <w:p>
      <w:pPr>
        <w:pStyle w:val="nzHeading5"/>
      </w:pPr>
      <w:bookmarkStart w:id="115" w:name="_Toc401136898"/>
      <w:bookmarkStart w:id="116" w:name="_Toc401137558"/>
      <w:r>
        <w:rPr>
          <w:rStyle w:val="CharSectno"/>
        </w:rPr>
        <w:t>67</w:t>
      </w:r>
      <w:r>
        <w:t>.</w:t>
      </w:r>
      <w:r>
        <w:tab/>
        <w:t>Section 22E amended</w:t>
      </w:r>
      <w:bookmarkEnd w:id="115"/>
      <w:bookmarkEnd w:id="116"/>
    </w:p>
    <w:p>
      <w:pPr>
        <w:pStyle w:val="nzSubsection"/>
      </w:pPr>
      <w:r>
        <w:tab/>
      </w:r>
      <w:r>
        <w:tab/>
        <w:t>In section 22E(1)(c), (2)(a) and (c) and (4) delete “displayed” (each occurrence) and insert:</w:t>
      </w:r>
    </w:p>
    <w:p>
      <w:pPr>
        <w:pStyle w:val="BlankOpen"/>
      </w:pPr>
    </w:p>
    <w:p>
      <w:pPr>
        <w:pStyle w:val="nzSubsection"/>
      </w:pPr>
      <w:r>
        <w:tab/>
      </w:r>
      <w:r>
        <w:tab/>
        <w:t>relevant</w:t>
      </w:r>
    </w:p>
    <w:p>
      <w:pPr>
        <w:pStyle w:val="BlankClose"/>
      </w:pPr>
    </w:p>
    <w:p>
      <w:pPr>
        <w:pStyle w:val="BlankClose"/>
      </w:pPr>
    </w:p>
    <w:p>
      <w:pPr>
        <w:rPr>
          <w:sz w:val="20"/>
        </w:rPr>
      </w:pPr>
    </w:p>
    <w:p>
      <w:pPr>
        <w:rPr>
          <w:sz w:val="20"/>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rPr>
          <w:sz w:val="28"/>
        </w:rPr>
      </w:pPr>
      <w:bookmarkStart w:id="117" w:name="_Toc401155474"/>
      <w:bookmarkStart w:id="118" w:name="_Toc401155703"/>
      <w:r>
        <w:rPr>
          <w:sz w:val="28"/>
        </w:rPr>
        <w:t>Defined terms</w:t>
      </w:r>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8" w:space="1" w:color="auto"/>
        </w:pBdr>
        <w:tabs>
          <w:tab w:val="right" w:pos="7070"/>
        </w:tabs>
        <w:ind w:left="578"/>
        <w:rPr>
          <w:b/>
          <w:sz w:val="20"/>
        </w:rPr>
      </w:pPr>
      <w:r>
        <w:rPr>
          <w:b/>
          <w:sz w:val="20"/>
        </w:rPr>
        <w:t>Defined Term</w:t>
      </w:r>
      <w:r>
        <w:rPr>
          <w:b/>
          <w:sz w:val="20"/>
        </w:rPr>
        <w:tab/>
        <w:t>Provision(s)</w:t>
      </w:r>
    </w:p>
    <w:p>
      <w:pPr>
        <w:pStyle w:val="DefinedTerms"/>
      </w:pPr>
      <w:bookmarkStart w:id="119" w:name="DefinedTerms"/>
      <w:bookmarkEnd w:id="119"/>
      <w:r>
        <w:t>authorised person</w:t>
      </w:r>
      <w:r>
        <w:tab/>
        <w:t>31A</w:t>
      </w:r>
    </w:p>
    <w:p>
      <w:pPr>
        <w:pStyle w:val="DefinedTerms"/>
      </w:pPr>
      <w:r>
        <w:t>calendar month</w:t>
      </w:r>
      <w:r>
        <w:tab/>
        <w:t>22C(2)</w:t>
      </w:r>
    </w:p>
    <w:p>
      <w:pPr>
        <w:pStyle w:val="DefinedTerms"/>
      </w:pPr>
      <w:r>
        <w:t>Commissioner</w:t>
      </w:r>
      <w:r>
        <w:tab/>
        <w:t>3(1)</w:t>
      </w:r>
    </w:p>
    <w:p>
      <w:pPr>
        <w:pStyle w:val="DefinedTerms"/>
      </w:pPr>
      <w:r>
        <w:t>committee</w:t>
      </w:r>
      <w:r>
        <w:tab/>
        <w:t>3(1)</w:t>
      </w:r>
    </w:p>
    <w:p>
      <w:pPr>
        <w:pStyle w:val="DefinedTerms"/>
      </w:pPr>
      <w:r>
        <w:t>consumer representative</w:t>
      </w:r>
      <w:r>
        <w:tab/>
        <w:t>8(7)</w:t>
      </w:r>
    </w:p>
    <w:p>
      <w:pPr>
        <w:pStyle w:val="DefinedTerms"/>
      </w:pPr>
      <w:r>
        <w:t>controlled petroleum product</w:t>
      </w:r>
      <w:r>
        <w:tab/>
        <w:t>3(1)</w:t>
      </w:r>
    </w:p>
    <w:p>
      <w:pPr>
        <w:pStyle w:val="DefinedTerms"/>
      </w:pPr>
      <w:r>
        <w:t>controlled petroleum service</w:t>
      </w:r>
      <w:r>
        <w:tab/>
        <w:t>3(1)</w:t>
      </w:r>
    </w:p>
    <w:p>
      <w:pPr>
        <w:pStyle w:val="DefinedTerms"/>
      </w:pPr>
      <w:r>
        <w:t>date of fixation</w:t>
      </w:r>
      <w:r>
        <w:tab/>
        <w:t>16(4)</w:t>
      </w:r>
    </w:p>
    <w:p>
      <w:pPr>
        <w:pStyle w:val="DefinedTerms"/>
      </w:pPr>
      <w:r>
        <w:t>declared petroleum product</w:t>
      </w:r>
      <w:r>
        <w:tab/>
        <w:t>3(1)</w:t>
      </w:r>
    </w:p>
    <w:p>
      <w:pPr>
        <w:pStyle w:val="DefinedTerms"/>
      </w:pPr>
      <w:r>
        <w:t>declared petroleum service</w:t>
      </w:r>
      <w:r>
        <w:tab/>
        <w:t>3(1)</w:t>
      </w:r>
    </w:p>
    <w:p>
      <w:pPr>
        <w:pStyle w:val="DefinedTerms"/>
      </w:pPr>
      <w:r>
        <w:t>declared terminal</w:t>
      </w:r>
      <w:r>
        <w:tab/>
        <w:t>22A(1)</w:t>
      </w:r>
    </w:p>
    <w:p>
      <w:pPr>
        <w:pStyle w:val="DefinedTerms"/>
      </w:pPr>
      <w:r>
        <w:t>Department</w:t>
      </w:r>
      <w:r>
        <w:tab/>
        <w:t>3(1)</w:t>
      </w:r>
    </w:p>
    <w:p>
      <w:pPr>
        <w:pStyle w:val="DefinedTerms"/>
      </w:pPr>
      <w:r>
        <w:t>dispensing equipment</w:t>
      </w:r>
      <w:r>
        <w:tab/>
        <w:t>3(1)</w:t>
      </w:r>
    </w:p>
    <w:p>
      <w:pPr>
        <w:pStyle w:val="DefinedTerms"/>
      </w:pPr>
      <w:r>
        <w:t>displayed price</w:t>
      </w:r>
      <w:r>
        <w:tab/>
        <w:t>22A(1)</w:t>
      </w:r>
    </w:p>
    <w:p>
      <w:pPr>
        <w:pStyle w:val="DefinedTerms"/>
      </w:pPr>
      <w:r>
        <w:t>documents</w:t>
      </w:r>
      <w:r>
        <w:tab/>
        <w:t>3(1)</w:t>
      </w:r>
    </w:p>
    <w:p>
      <w:pPr>
        <w:pStyle w:val="DefinedTerms"/>
      </w:pPr>
      <w:r>
        <w:t>executive officer</w:t>
      </w:r>
      <w:r>
        <w:tab/>
        <w:t>5(3)</w:t>
      </w:r>
    </w:p>
    <w:p>
      <w:pPr>
        <w:pStyle w:val="DefinedTerms"/>
      </w:pPr>
      <w:r>
        <w:t>franchise agreement</w:t>
      </w:r>
      <w:r>
        <w:tab/>
        <w:t>3(1)</w:t>
      </w:r>
    </w:p>
    <w:p>
      <w:pPr>
        <w:pStyle w:val="DefinedTerms"/>
      </w:pPr>
      <w:r>
        <w:t>kind of motor fuel</w:t>
      </w:r>
      <w:r>
        <w:tab/>
        <w:t>22A(1), 22H</w:t>
      </w:r>
    </w:p>
    <w:p>
      <w:pPr>
        <w:pStyle w:val="DefinedTerms"/>
      </w:pPr>
      <w:r>
        <w:t>landed cost</w:t>
      </w:r>
      <w:r>
        <w:tab/>
        <w:t>3(1)</w:t>
      </w:r>
    </w:p>
    <w:p>
      <w:pPr>
        <w:pStyle w:val="DefinedTerms"/>
      </w:pPr>
      <w:r>
        <w:t>LPG</w:t>
      </w:r>
      <w:r>
        <w:tab/>
        <w:t>3(1)</w:t>
      </w:r>
    </w:p>
    <w:p>
      <w:pPr>
        <w:pStyle w:val="DefinedTerms"/>
      </w:pPr>
      <w:r>
        <w:t>motor fuel</w:t>
      </w:r>
      <w:r>
        <w:tab/>
        <w:t>3(1)</w:t>
      </w:r>
    </w:p>
    <w:p>
      <w:pPr>
        <w:pStyle w:val="DefinedTerms"/>
      </w:pPr>
      <w:r>
        <w:t>motor vehicle</w:t>
      </w:r>
      <w:r>
        <w:tab/>
        <w:t>3(1)</w:t>
      </w:r>
    </w:p>
    <w:p>
      <w:pPr>
        <w:pStyle w:val="DefinedTerms"/>
      </w:pPr>
      <w:r>
        <w:t>offer</w:t>
      </w:r>
      <w:r>
        <w:tab/>
        <w:t>22A(1)</w:t>
      </w:r>
    </w:p>
    <w:p>
      <w:pPr>
        <w:pStyle w:val="DefinedTerms"/>
      </w:pPr>
      <w:r>
        <w:t>officer</w:t>
      </w:r>
      <w:r>
        <w:tab/>
        <w:t>31H(3)</w:t>
      </w:r>
    </w:p>
    <w:p>
      <w:pPr>
        <w:pStyle w:val="DefinedTerms"/>
      </w:pPr>
      <w:r>
        <w:t>order</w:t>
      </w:r>
      <w:r>
        <w:tab/>
        <w:t>3(1)</w:t>
      </w:r>
    </w:p>
    <w:p>
      <w:pPr>
        <w:pStyle w:val="DefinedTerms"/>
      </w:pPr>
      <w:r>
        <w:t>paragraph</w:t>
      </w:r>
      <w:r>
        <w:tab/>
        <w:t>3(1)</w:t>
      </w:r>
    </w:p>
    <w:p>
      <w:pPr>
        <w:pStyle w:val="DefinedTerms"/>
      </w:pPr>
      <w:r>
        <w:t>Part</w:t>
      </w:r>
      <w:r>
        <w:tab/>
        <w:t>3(1)</w:t>
      </w:r>
    </w:p>
    <w:p>
      <w:pPr>
        <w:pStyle w:val="DefinedTerms"/>
      </w:pPr>
      <w:r>
        <w:t>petroleum</w:t>
      </w:r>
      <w:r>
        <w:tab/>
        <w:t>3(1)</w:t>
      </w:r>
    </w:p>
    <w:p>
      <w:pPr>
        <w:pStyle w:val="DefinedTerms"/>
      </w:pPr>
      <w:r>
        <w:t>petroleum product</w:t>
      </w:r>
      <w:r>
        <w:tab/>
        <w:t>3(1)</w:t>
      </w:r>
    </w:p>
    <w:p>
      <w:pPr>
        <w:pStyle w:val="DefinedTerms"/>
      </w:pPr>
      <w:r>
        <w:t>petroleum service</w:t>
      </w:r>
      <w:r>
        <w:tab/>
        <w:t>3(1)</w:t>
      </w:r>
    </w:p>
    <w:p>
      <w:pPr>
        <w:pStyle w:val="DefinedTerms"/>
      </w:pPr>
      <w:r>
        <w:t>prescribed</w:t>
      </w:r>
      <w:r>
        <w:tab/>
        <w:t>31A</w:t>
      </w:r>
    </w:p>
    <w:p>
      <w:pPr>
        <w:pStyle w:val="DefinedTerms"/>
      </w:pPr>
      <w:r>
        <w:t>previous month</w:t>
      </w:r>
      <w:r>
        <w:tab/>
        <w:t>22C(2)</w:t>
      </w:r>
    </w:p>
    <w:p>
      <w:pPr>
        <w:pStyle w:val="DefinedTerms"/>
      </w:pPr>
      <w:r>
        <w:t>price</w:t>
      </w:r>
      <w:r>
        <w:tab/>
        <w:t>3(1)</w:t>
      </w:r>
    </w:p>
    <w:p>
      <w:pPr>
        <w:pStyle w:val="DefinedTerms"/>
      </w:pPr>
      <w:r>
        <w:t>rate</w:t>
      </w:r>
      <w:r>
        <w:tab/>
        <w:t>3(1)</w:t>
      </w:r>
    </w:p>
    <w:p>
      <w:pPr>
        <w:pStyle w:val="DefinedTerms"/>
      </w:pPr>
      <w:r>
        <w:t>relevant supply</w:t>
      </w:r>
      <w:r>
        <w:tab/>
        <w:t>22E(1)</w:t>
      </w:r>
    </w:p>
    <w:p>
      <w:pPr>
        <w:pStyle w:val="DefinedTerms"/>
      </w:pPr>
      <w:r>
        <w:t>section</w:t>
      </w:r>
      <w:r>
        <w:tab/>
        <w:t>3(1)</w:t>
      </w:r>
    </w:p>
    <w:p>
      <w:pPr>
        <w:pStyle w:val="DefinedTerms"/>
      </w:pPr>
      <w:r>
        <w:t>services</w:t>
      </w:r>
      <w:r>
        <w:tab/>
        <w:t>3(1)</w:t>
      </w:r>
    </w:p>
    <w:p>
      <w:pPr>
        <w:pStyle w:val="DefinedTerms"/>
      </w:pPr>
      <w:r>
        <w:t>standard retail price</w:t>
      </w:r>
      <w:r>
        <w:tab/>
        <w:t>22H</w:t>
      </w:r>
    </w:p>
    <w:p>
      <w:pPr>
        <w:pStyle w:val="DefinedTerms"/>
      </w:pPr>
      <w:r>
        <w:t>subsection</w:t>
      </w:r>
      <w:r>
        <w:tab/>
        <w:t>3(1)</w:t>
      </w:r>
    </w:p>
    <w:p>
      <w:pPr>
        <w:pStyle w:val="DefinedTerms"/>
      </w:pPr>
      <w:r>
        <w:t>supplier</w:t>
      </w:r>
      <w:r>
        <w:tab/>
        <w:t>22A(1)</w:t>
      </w:r>
    </w:p>
    <w:p>
      <w:pPr>
        <w:pStyle w:val="DefinedTerms"/>
      </w:pPr>
      <w:r>
        <w:t>terminal</w:t>
      </w:r>
      <w:r>
        <w:tab/>
        <w:t>22A(1)</w:t>
      </w:r>
    </w:p>
    <w:p>
      <w:pPr>
        <w:pStyle w:val="DefinedTerms"/>
      </w:pPr>
      <w:r>
        <w:t>the aggrieved person</w:t>
      </w:r>
      <w:r>
        <w:tab/>
        <w:t>22G(2)</w:t>
      </w:r>
    </w:p>
    <w:p>
      <w:pPr>
        <w:pStyle w:val="DefinedTerms"/>
      </w:pPr>
      <w:r>
        <w:t>the impost rate</w:t>
      </w:r>
      <w:r>
        <w:tab/>
        <w:t>12(4a)</w:t>
      </w:r>
    </w:p>
    <w:p>
      <w:pPr>
        <w:pStyle w:val="DefinedTerms"/>
      </w:pPr>
      <w:r>
        <w:t>the new impost</w:t>
      </w:r>
      <w:r>
        <w:tab/>
        <w:t>12(4a)</w:t>
      </w:r>
    </w:p>
    <w:p>
      <w:pPr>
        <w:pStyle w:val="DefinedTerms"/>
      </w:pPr>
      <w:r>
        <w:t>the vendor</w:t>
      </w:r>
      <w:r>
        <w:tab/>
        <w:t>18(1)</w:t>
      </w:r>
    </w:p>
    <w:p>
      <w:pPr>
        <w:pStyle w:val="DefinedTerms"/>
      </w:pPr>
      <w:r>
        <w:t>trade representative</w:t>
      </w:r>
      <w:r>
        <w:tab/>
        <w:t>8(7)</w:t>
      </w:r>
    </w:p>
    <w:p>
      <w:pPr>
        <w:pStyle w:val="DefinedTerms"/>
      </w:pPr>
      <w:r>
        <w:t>working day</w:t>
      </w:r>
      <w:r>
        <w:tab/>
        <w:t>11(3)</w:t>
      </w:r>
    </w:p>
    <w:p>
      <w:pPr>
        <w:pStyle w:val="DefinedTerms"/>
        <w:sectPr>
          <w:headerReference w:type="even" r:id="rId31"/>
          <w:headerReference w:type="default" r:id="rId32"/>
          <w:footerReference w:type="even" r:id="rId33"/>
          <w:footerReference w:type="default" r:id="rId34"/>
          <w:headerReference w:type="first" r:id="rId35"/>
          <w:footerReference w:type="first" r:id="rId36"/>
          <w:pgSz w:w="11906" w:h="16838" w:code="9"/>
          <w:pgMar w:top="2381" w:right="2409" w:bottom="3543" w:left="2409" w:header="720" w:footer="3380" w:gutter="0"/>
          <w:cols w:space="720"/>
          <w:noEndnote/>
          <w:docGrid w:linePitch="326"/>
        </w:sectPr>
      </w:pPr>
    </w:p>
    <w:p>
      <w:pPr>
        <w:rPr>
          <w:sz w:val="20"/>
        </w:rPr>
      </w:pPr>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Products Pricing Act 1983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253"/>
    <w:docVar w:name="WAFER_20140110160817" w:val="RemoveTocBookmarks,RemoveUnusedBookmarks,RemoveLanguageTags,UsedStyles,ResetPageSize,UpdateArrangement"/>
    <w:docVar w:name="WAFER_20140110160817_GUID" w:val="5931abab-7cbc-41f5-b806-daba4926eaf5"/>
    <w:docVar w:name="WAFER_20140110161022" w:val="RemoveTocBookmarks,RunningHeaders"/>
    <w:docVar w:name="WAFER_20140110161022_GUID" w:val="a6619bb9-4a35-4f74-bed3-b46fa010fe2e"/>
    <w:docVar w:name="WAFER_20141015123253" w:val="RemoveTocBookmarks,RemoveUnusedBookmarks,RemoveLanguageTags,UsedStyles,ResetPageSize,UpdateArrangement"/>
    <w:docVar w:name="WAFER_20141015123253_GUID" w:val="6cae16d4-10f1-47c6-81ce-0582613ffa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16260</Words>
  <Characters>79029</Characters>
  <Application>Microsoft Office Word</Application>
  <DocSecurity>0</DocSecurity>
  <Lines>2324</Lines>
  <Paragraphs>1401</Paragraphs>
  <ScaleCrop>false</ScaleCrop>
  <HeadingPairs>
    <vt:vector size="2" baseType="variant">
      <vt:variant>
        <vt:lpstr>Title</vt:lpstr>
      </vt:variant>
      <vt:variant>
        <vt:i4>1</vt:i4>
      </vt:variant>
    </vt:vector>
  </HeadingPairs>
  <TitlesOfParts>
    <vt:vector size="1" baseType="lpstr">
      <vt:lpstr>Petroleum Products Pricing Act 1983</vt:lpstr>
    </vt:vector>
  </TitlesOfParts>
  <Manager/>
  <Company/>
  <LinksUpToDate>false</LinksUpToDate>
  <CharactersWithSpaces>93888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1983 - 02-e0-00</dc:title>
  <dc:subject/>
  <dc:creator/>
  <cp:keywords/>
  <dc:description/>
  <cp:lastModifiedBy>svcMRProcess</cp:lastModifiedBy>
  <cp:revision>4</cp:revision>
  <cp:lastPrinted>2006-10-12T07:03:00Z</cp:lastPrinted>
  <dcterms:created xsi:type="dcterms:W3CDTF">2018-09-06T07:37:00Z</dcterms:created>
  <dcterms:modified xsi:type="dcterms:W3CDTF">2018-09-06T07:37:00Z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598</vt:i4>
  </property>
  <property fmtid="{D5CDD505-2E9C-101B-9397-08002B2CF9AE}" pid="6" name="AsAtDate">
    <vt:lpwstr>09 Oct 2014</vt:lpwstr>
  </property>
  <property fmtid="{D5CDD505-2E9C-101B-9397-08002B2CF9AE}" pid="7" name="Suffix">
    <vt:lpwstr>02-e0-00</vt:lpwstr>
  </property>
</Properties>
</file>