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Travel Agents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Travel Agents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_Toc429399262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_Toc429399263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_Toc429399264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Business as travel agent</w:t>
      </w:r>
      <w:r>
        <w:tab/>
      </w:r>
      <w:r>
        <w:fldChar w:fldCharType="begin"/>
      </w:r>
      <w:r>
        <w:instrText xml:space="preserve"> PAGEREF _Toc429399265 \h </w:instrText>
      </w:r>
      <w:r>
        <w:fldChar w:fldCharType="separate"/>
      </w:r>
      <w:r>
        <w:t>4</w:t>
      </w:r>
      <w:r>
        <w:fldChar w:fldCharType="end"/>
      </w:r>
    </w:p>
    <w:p>
      <w:pPr>
        <w:pStyle w:val="TOC8"/>
        <w:rPr>
          <w:rFonts w:asciiTheme="minorHAnsi" w:eastAsiaTheme="minorEastAsia" w:hAnsiTheme="minorHAnsi" w:cstheme="minorBidi"/>
          <w:szCs w:val="22"/>
        </w:rPr>
      </w:pPr>
      <w:r>
        <w:t>5A.</w:t>
      </w:r>
      <w:r>
        <w:tab/>
        <w:t>Application of Act limited</w:t>
      </w:r>
      <w:r>
        <w:tab/>
      </w:r>
      <w:r>
        <w:fldChar w:fldCharType="begin"/>
      </w:r>
      <w:r>
        <w:instrText xml:space="preserve"> PAGEREF _Toc429399266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 to Crown</w:t>
      </w:r>
      <w:r>
        <w:tab/>
      </w:r>
      <w:r>
        <w:fldChar w:fldCharType="begin"/>
      </w:r>
      <w:r>
        <w:instrText xml:space="preserve"> PAGEREF _Toc429399267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Variation of application of Act</w:t>
      </w:r>
      <w:r>
        <w:tab/>
      </w:r>
      <w:r>
        <w:fldChar w:fldCharType="begin"/>
      </w:r>
      <w:r>
        <w:instrText xml:space="preserve"> PAGEREF _Toc429399268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Requirement to be licensed</w:t>
      </w:r>
    </w:p>
    <w:p>
      <w:pPr>
        <w:pStyle w:val="TOC8"/>
        <w:rPr>
          <w:rFonts w:asciiTheme="minorHAnsi" w:eastAsiaTheme="minorEastAsia" w:hAnsiTheme="minorHAnsi" w:cstheme="minorBidi"/>
          <w:szCs w:val="22"/>
        </w:rPr>
      </w:pPr>
      <w:r>
        <w:t>7</w:t>
      </w:r>
      <w:r>
        <w:rPr>
          <w:snapToGrid w:val="0"/>
        </w:rPr>
        <w:t>.</w:t>
      </w:r>
      <w:r>
        <w:rPr>
          <w:snapToGrid w:val="0"/>
        </w:rPr>
        <w:tab/>
        <w:t>Travel agent to be licensed</w:t>
      </w:r>
      <w:r>
        <w:tab/>
      </w:r>
      <w:r>
        <w:fldChar w:fldCharType="begin"/>
      </w:r>
      <w:r>
        <w:instrText xml:space="preserve"> PAGEREF _Toc429399271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Unauthorised use of licence</w:t>
      </w:r>
      <w:r>
        <w:tab/>
      </w:r>
      <w:r>
        <w:fldChar w:fldCharType="begin"/>
      </w:r>
      <w:r>
        <w:instrText xml:space="preserve"> PAGEREF _Toc429399272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Licensing provisions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_Toc429399274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Investigation of application</w:t>
      </w:r>
      <w:r>
        <w:tab/>
      </w:r>
      <w:r>
        <w:fldChar w:fldCharType="begin"/>
      </w:r>
      <w:r>
        <w:instrText xml:space="preserve"> PAGEREF _Toc429399275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Objection to application</w:t>
      </w:r>
      <w:r>
        <w:tab/>
      </w:r>
      <w:r>
        <w:fldChar w:fldCharType="begin"/>
      </w:r>
      <w:r>
        <w:instrText xml:space="preserve"> PAGEREF _Toc429399276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or refusal of licence</w:t>
      </w:r>
      <w:r>
        <w:tab/>
      </w:r>
      <w:r>
        <w:fldChar w:fldCharType="begin"/>
      </w:r>
      <w:r>
        <w:instrText xml:space="preserve"> PAGEREF _Toc429399277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Conditions of licence</w:t>
      </w:r>
      <w:r>
        <w:tab/>
      </w:r>
      <w:r>
        <w:fldChar w:fldCharType="begin"/>
      </w:r>
      <w:r>
        <w:instrText xml:space="preserve"> PAGEREF _Toc429399278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Name under which licensee may operate</w:t>
      </w:r>
      <w:r>
        <w:tab/>
      </w:r>
      <w:r>
        <w:fldChar w:fldCharType="begin"/>
      </w:r>
      <w:r>
        <w:instrText xml:space="preserve"> PAGEREF _Toc429399279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Form of licence and replacement of licence</w:t>
      </w:r>
      <w:r>
        <w:tab/>
      </w:r>
      <w:r>
        <w:fldChar w:fldCharType="begin"/>
      </w:r>
      <w:r>
        <w:instrText xml:space="preserve"> PAGEREF _Toc429399280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Change of address of licensee</w:t>
      </w:r>
      <w:r>
        <w:tab/>
      </w:r>
      <w:r>
        <w:fldChar w:fldCharType="begin"/>
      </w:r>
      <w:r>
        <w:instrText xml:space="preserve"> PAGEREF _Toc429399281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Register of licensees</w:t>
      </w:r>
      <w:r>
        <w:tab/>
      </w:r>
      <w:r>
        <w:fldChar w:fldCharType="begin"/>
      </w:r>
      <w:r>
        <w:instrText xml:space="preserve"> PAGEREF _Toc429399282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 of, and authority conferred by, licence</w:t>
      </w:r>
      <w:r>
        <w:tab/>
      </w:r>
      <w:r>
        <w:fldChar w:fldCharType="begin"/>
      </w:r>
      <w:r>
        <w:instrText xml:space="preserve"> PAGEREF _Toc429399283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to be paid, and statements to be lodged, for the prescribed period</w:t>
      </w:r>
      <w:r>
        <w:tab/>
      </w:r>
      <w:r>
        <w:fldChar w:fldCharType="begin"/>
      </w:r>
      <w:r>
        <w:instrText xml:space="preserve"> PAGEREF _Toc429399284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Surrender of licence</w:t>
      </w:r>
      <w:r>
        <w:tab/>
      </w:r>
      <w:r>
        <w:fldChar w:fldCharType="begin"/>
      </w:r>
      <w:r>
        <w:instrText xml:space="preserve"> PAGEREF _Toc429399285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action</w:t>
      </w:r>
    </w:p>
    <w:p>
      <w:pPr>
        <w:pStyle w:val="TOC8"/>
        <w:rPr>
          <w:rFonts w:asciiTheme="minorHAnsi" w:eastAsiaTheme="minorEastAsia" w:hAnsiTheme="minorHAnsi" w:cstheme="minorBidi"/>
          <w:szCs w:val="22"/>
        </w:rPr>
      </w:pPr>
      <w:r>
        <w:t>21</w:t>
      </w:r>
      <w:r>
        <w:rPr>
          <w:snapToGrid w:val="0"/>
        </w:rPr>
        <w:t>.</w:t>
      </w:r>
      <w:r>
        <w:rPr>
          <w:snapToGrid w:val="0"/>
        </w:rPr>
        <w:tab/>
        <w:t>Objection to holding of licence, and inquiry</w:t>
      </w:r>
      <w:r>
        <w:tab/>
      </w:r>
      <w:r>
        <w:fldChar w:fldCharType="begin"/>
      </w:r>
      <w:r>
        <w:instrText xml:space="preserve"> PAGEREF _Toc429399287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Disciplinary action following inquiry</w:t>
      </w:r>
      <w:r>
        <w:tab/>
      </w:r>
      <w:r>
        <w:fldChar w:fldCharType="begin"/>
      </w:r>
      <w:r>
        <w:instrText xml:space="preserve"> PAGEREF _Toc429399288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w:t>
      </w:r>
    </w:p>
    <w:p>
      <w:pPr>
        <w:pStyle w:val="TOC8"/>
        <w:rPr>
          <w:rFonts w:asciiTheme="minorHAnsi" w:eastAsiaTheme="minorEastAsia" w:hAnsiTheme="minorHAnsi" w:cstheme="minorBidi"/>
          <w:szCs w:val="22"/>
        </w:rPr>
      </w:pPr>
      <w:r>
        <w:t>23.</w:t>
      </w:r>
      <w:r>
        <w:tab/>
        <w:t>Application for review</w:t>
      </w:r>
      <w:r>
        <w:tab/>
      </w:r>
      <w:r>
        <w:fldChar w:fldCharType="begin"/>
      </w:r>
      <w:r>
        <w:instrText xml:space="preserve"> PAGEREF _Toc429399290 \h </w:instrText>
      </w:r>
      <w:r>
        <w:fldChar w:fldCharType="separate"/>
      </w:r>
      <w:r>
        <w:t>29</w:t>
      </w:r>
      <w:r>
        <w:fldChar w:fldCharType="end"/>
      </w:r>
    </w:p>
    <w:p>
      <w:pPr>
        <w:pStyle w:val="TOC8"/>
        <w:rPr>
          <w:rFonts w:asciiTheme="minorHAnsi" w:eastAsiaTheme="minorEastAsia" w:hAnsiTheme="minorHAnsi" w:cstheme="minorBidi"/>
          <w:szCs w:val="22"/>
        </w:rPr>
      </w:pPr>
      <w:r>
        <w:t>24.</w:t>
      </w:r>
      <w:r>
        <w:tab/>
        <w:t>Decisions about participation in the Compensation Scheme</w:t>
      </w:r>
      <w:r>
        <w:tab/>
      </w:r>
      <w:r>
        <w:fldChar w:fldCharType="begin"/>
      </w:r>
      <w:r>
        <w:instrText xml:space="preserve"> PAGEREF _Toc429399291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Conduct of business</w:t>
      </w:r>
    </w:p>
    <w:p>
      <w:pPr>
        <w:pStyle w:val="TOC8"/>
        <w:rPr>
          <w:rFonts w:asciiTheme="minorHAnsi" w:eastAsiaTheme="minorEastAsia" w:hAnsiTheme="minorHAnsi" w:cstheme="minorBidi"/>
          <w:szCs w:val="22"/>
        </w:rPr>
      </w:pPr>
      <w:r>
        <w:t>26</w:t>
      </w:r>
      <w:r>
        <w:rPr>
          <w:snapToGrid w:val="0"/>
        </w:rPr>
        <w:t>.</w:t>
      </w:r>
      <w:r>
        <w:rPr>
          <w:snapToGrid w:val="0"/>
        </w:rPr>
        <w:tab/>
        <w:t>Certain particulars to be displayed</w:t>
      </w:r>
      <w:r>
        <w:tab/>
      </w:r>
      <w:r>
        <w:fldChar w:fldCharType="begin"/>
      </w:r>
      <w:r>
        <w:instrText xml:space="preserve"> PAGEREF _Toc429399293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Advertisements</w:t>
      </w:r>
      <w:r>
        <w:tab/>
      </w:r>
      <w:r>
        <w:fldChar w:fldCharType="begin"/>
      </w:r>
      <w:r>
        <w:instrText xml:space="preserve"> PAGEREF _Toc429399294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Name to appear on documents</w:t>
      </w:r>
      <w:r>
        <w:tab/>
      </w:r>
      <w:r>
        <w:fldChar w:fldCharType="begin"/>
      </w:r>
      <w:r>
        <w:instrText xml:space="preserve"> PAGEREF _Toc429399295 \h </w:instrText>
      </w:r>
      <w:r>
        <w:fldChar w:fldCharType="separate"/>
      </w:r>
      <w:r>
        <w:t>31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Supervision of conduct of business</w:t>
      </w:r>
      <w:r>
        <w:tab/>
      </w:r>
      <w:r>
        <w:fldChar w:fldCharType="begin"/>
      </w:r>
      <w:r>
        <w:instrText xml:space="preserve"> PAGEREF _Toc429399296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Employment of disqualified person</w:t>
      </w:r>
      <w:r>
        <w:tab/>
      </w:r>
      <w:r>
        <w:fldChar w:fldCharType="begin"/>
      </w:r>
      <w:r>
        <w:instrText xml:space="preserve"> PAGEREF _Toc429399297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fees etc. not recoverable</w:t>
      </w:r>
      <w:r>
        <w:tab/>
      </w:r>
      <w:r>
        <w:fldChar w:fldCharType="begin"/>
      </w:r>
      <w:r>
        <w:instrText xml:space="preserve"> PAGEREF _Toc429399298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Forfeiture of illegal profits</w:t>
      </w:r>
      <w:r>
        <w:tab/>
      </w:r>
      <w:r>
        <w:fldChar w:fldCharType="begin"/>
      </w:r>
      <w:r>
        <w:instrText xml:space="preserve"> PAGEREF _Toc429399299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Licences generally</w:t>
      </w:r>
    </w:p>
    <w:p>
      <w:pPr>
        <w:pStyle w:val="TOC8"/>
        <w:rPr>
          <w:rFonts w:asciiTheme="minorHAnsi" w:eastAsiaTheme="minorEastAsia" w:hAnsiTheme="minorHAnsi" w:cstheme="minorBidi"/>
          <w:szCs w:val="22"/>
        </w:rPr>
      </w:pPr>
      <w:r>
        <w:t>33</w:t>
      </w:r>
      <w:r>
        <w:rPr>
          <w:snapToGrid w:val="0"/>
        </w:rPr>
        <w:t>.</w:t>
      </w:r>
      <w:r>
        <w:rPr>
          <w:snapToGrid w:val="0"/>
        </w:rPr>
        <w:tab/>
        <w:t>Death of licensee</w:t>
      </w:r>
      <w:r>
        <w:tab/>
      </w:r>
      <w:r>
        <w:fldChar w:fldCharType="begin"/>
      </w:r>
      <w:r>
        <w:instrText xml:space="preserve"> PAGEREF _Toc429399301 \h </w:instrText>
      </w:r>
      <w:r>
        <w:fldChar w:fldCharType="separate"/>
      </w:r>
      <w:r>
        <w:t>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legal representatives temporarily exempted from licensing</w:t>
      </w:r>
      <w:r>
        <w:tab/>
      </w:r>
      <w:r>
        <w:fldChar w:fldCharType="begin"/>
      </w:r>
      <w:r>
        <w:instrText xml:space="preserve"> PAGEREF _Toc429399302 \h </w:instrText>
      </w:r>
      <w:r>
        <w:fldChar w:fldCharType="separate"/>
      </w:r>
      <w:r>
        <w:t>36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Endorsement of conditions etc. of licence</w:t>
      </w:r>
      <w:r>
        <w:tab/>
      </w:r>
      <w:r>
        <w:fldChar w:fldCharType="begin"/>
      </w:r>
      <w:r>
        <w:instrText xml:space="preserve"> PAGEREF _Toc429399303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III — Unjust conduct by travel agents</w:t>
      </w:r>
    </w:p>
    <w:p>
      <w:pPr>
        <w:pStyle w:val="TOC8"/>
        <w:rPr>
          <w:rFonts w:asciiTheme="minorHAnsi" w:eastAsiaTheme="minorEastAsia" w:hAnsiTheme="minorHAnsi" w:cstheme="minorBidi"/>
          <w:szCs w:val="22"/>
        </w:rPr>
      </w:pPr>
      <w:r>
        <w:t>36</w:t>
      </w:r>
      <w:r>
        <w:rPr>
          <w:snapToGrid w:val="0"/>
        </w:rPr>
        <w:t>.</w:t>
      </w:r>
      <w:r>
        <w:rPr>
          <w:snapToGrid w:val="0"/>
        </w:rPr>
        <w:tab/>
        <w:t>Interpretation</w:t>
      </w:r>
      <w:r>
        <w:tab/>
      </w:r>
      <w:r>
        <w:fldChar w:fldCharType="begin"/>
      </w:r>
      <w:r>
        <w:instrText xml:space="preserve"> PAGEREF _Toc429399305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Undertakings by travel agent</w:t>
      </w:r>
      <w:r>
        <w:tab/>
      </w:r>
      <w:r>
        <w:fldChar w:fldCharType="begin"/>
      </w:r>
      <w:r>
        <w:instrText xml:space="preserve"> PAGEREF _Toc429399306 \h </w:instrText>
      </w:r>
      <w:r>
        <w:fldChar w:fldCharType="separate"/>
      </w:r>
      <w:r>
        <w:t>38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Register of Undertakings</w:t>
      </w:r>
      <w:r>
        <w:tab/>
      </w:r>
      <w:r>
        <w:fldChar w:fldCharType="begin"/>
      </w:r>
      <w:r>
        <w:instrText xml:space="preserve"> PAGEREF _Toc429399307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Restraint of unjust conduct</w:t>
      </w:r>
      <w:r>
        <w:tab/>
      </w:r>
      <w:r>
        <w:fldChar w:fldCharType="begin"/>
      </w:r>
      <w:r>
        <w:instrText xml:space="preserve"> PAGEREF _Toc429399308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Variation or discharge of restraining order</w:t>
      </w:r>
      <w:r>
        <w:tab/>
      </w:r>
      <w:r>
        <w:fldChar w:fldCharType="begin"/>
      </w:r>
      <w:r>
        <w:instrText xml:space="preserve"> PAGEREF _Toc429399309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41</w:t>
      </w:r>
      <w:r>
        <w:rPr>
          <w:snapToGrid w:val="0"/>
        </w:rPr>
        <w:t>.</w:t>
      </w:r>
      <w:r>
        <w:rPr>
          <w:snapToGrid w:val="0"/>
        </w:rPr>
        <w:tab/>
        <w:t>Accounts and records to be kept by travel agent</w:t>
      </w:r>
      <w:r>
        <w:tab/>
      </w:r>
      <w:r>
        <w:fldChar w:fldCharType="begin"/>
      </w:r>
      <w:r>
        <w:instrText xml:space="preserve"> PAGEREF _Toc429399311 \h </w:instrText>
      </w:r>
      <w:r>
        <w:fldChar w:fldCharType="separate"/>
      </w:r>
      <w:r>
        <w:t>42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rights and remedies not affected by this Act</w:t>
      </w:r>
      <w:r>
        <w:tab/>
      </w:r>
      <w:r>
        <w:fldChar w:fldCharType="begin"/>
      </w:r>
      <w:r>
        <w:instrText xml:space="preserve"> PAGEREF _Toc429399312 \h </w:instrText>
      </w:r>
      <w:r>
        <w:fldChar w:fldCharType="separate"/>
      </w:r>
      <w:r>
        <w:t>43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Compensation Trustees to have certain rights by subrogation and otherwise</w:t>
      </w:r>
      <w:r>
        <w:tab/>
      </w:r>
      <w:r>
        <w:fldChar w:fldCharType="begin"/>
      </w:r>
      <w:r>
        <w:instrText xml:space="preserve"> PAGEREF _Toc429399313 \h </w:instrText>
      </w:r>
      <w:r>
        <w:fldChar w:fldCharType="separate"/>
      </w:r>
      <w:r>
        <w:t>43</w:t>
      </w:r>
      <w:r>
        <w:fldChar w:fldCharType="end"/>
      </w:r>
    </w:p>
    <w:p>
      <w:pPr>
        <w:pStyle w:val="TOC8"/>
        <w:rPr>
          <w:rFonts w:asciiTheme="minorHAnsi" w:eastAsiaTheme="minorEastAsia" w:hAnsiTheme="minorHAnsi" w:cstheme="minorBidi"/>
          <w:szCs w:val="22"/>
        </w:rPr>
      </w:pPr>
      <w:r>
        <w:t>49A.</w:t>
      </w:r>
      <w:r>
        <w:tab/>
        <w:t>Commissioner</w:t>
      </w:r>
      <w:r>
        <w:tab/>
      </w:r>
      <w:r>
        <w:fldChar w:fldCharType="begin"/>
      </w:r>
      <w:r>
        <w:instrText xml:space="preserve"> PAGEREF _Toc429399314 \h </w:instrText>
      </w:r>
      <w:r>
        <w:fldChar w:fldCharType="separate"/>
      </w:r>
      <w:r>
        <w:t>44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Delegation</w:t>
      </w:r>
      <w:r>
        <w:tab/>
      </w:r>
      <w:r>
        <w:fldChar w:fldCharType="begin"/>
      </w:r>
      <w:r>
        <w:instrText xml:space="preserve"> PAGEREF _Toc429399315 \h </w:instrText>
      </w:r>
      <w:r>
        <w:fldChar w:fldCharType="separate"/>
      </w:r>
      <w:r>
        <w:t>44</w:t>
      </w:r>
      <w:r>
        <w:fldChar w:fldCharType="end"/>
      </w:r>
    </w:p>
    <w:p>
      <w:pPr>
        <w:pStyle w:val="TOC8"/>
        <w:rPr>
          <w:rFonts w:asciiTheme="minorHAnsi" w:eastAsiaTheme="minorEastAsia" w:hAnsiTheme="minorHAnsi" w:cstheme="minorBidi"/>
          <w:szCs w:val="22"/>
        </w:rPr>
      </w:pPr>
      <w:r>
        <w:t>50A.</w:t>
      </w:r>
      <w:r>
        <w:tab/>
        <w:t>Protection from liability for wrongdoing</w:t>
      </w:r>
      <w:r>
        <w:tab/>
      </w:r>
      <w:r>
        <w:fldChar w:fldCharType="begin"/>
      </w:r>
      <w:r>
        <w:instrText xml:space="preserve"> PAGEREF _Toc429399316 \h </w:instrText>
      </w:r>
      <w:r>
        <w:fldChar w:fldCharType="separate"/>
      </w:r>
      <w:r>
        <w:t>45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Legal action by Compensation Trustees</w:t>
      </w:r>
      <w:r>
        <w:tab/>
      </w:r>
      <w:r>
        <w:fldChar w:fldCharType="begin"/>
      </w:r>
      <w:r>
        <w:instrText xml:space="preserve"> PAGEREF _Toc429399317 \h </w:instrText>
      </w:r>
      <w:r>
        <w:fldChar w:fldCharType="separate"/>
      </w:r>
      <w:r>
        <w:t>45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Secrecy</w:t>
      </w:r>
      <w:r>
        <w:tab/>
      </w:r>
      <w:r>
        <w:fldChar w:fldCharType="begin"/>
      </w:r>
      <w:r>
        <w:instrText xml:space="preserve"> PAGEREF _Toc429399318 \h </w:instrText>
      </w:r>
      <w:r>
        <w:fldChar w:fldCharType="separate"/>
      </w:r>
      <w:r>
        <w:t>45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Injunctions</w:t>
      </w:r>
      <w:r>
        <w:tab/>
      </w:r>
      <w:r>
        <w:fldChar w:fldCharType="begin"/>
      </w:r>
      <w:r>
        <w:instrText xml:space="preserve"> PAGEREF _Toc429399319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Limitation period for prosecutions</w:t>
      </w:r>
      <w:r>
        <w:tab/>
      </w:r>
      <w:r>
        <w:fldChar w:fldCharType="begin"/>
      </w:r>
      <w:r>
        <w:instrText xml:space="preserve"> PAGEREF _Toc429399320 \h </w:instrText>
      </w:r>
      <w:r>
        <w:fldChar w:fldCharType="separate"/>
      </w:r>
      <w:r>
        <w:t>48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_Toc429399321 \h </w:instrText>
      </w:r>
      <w:r>
        <w:fldChar w:fldCharType="separate"/>
      </w:r>
      <w:r>
        <w:t>49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Liability of directors and others when offence committed by body corporate</w:t>
      </w:r>
      <w:r>
        <w:tab/>
      </w:r>
      <w:r>
        <w:fldChar w:fldCharType="begin"/>
      </w:r>
      <w:r>
        <w:instrText xml:space="preserve"> PAGEREF _Toc429399322 \h </w:instrText>
      </w:r>
      <w:r>
        <w:fldChar w:fldCharType="separate"/>
      </w:r>
      <w:r>
        <w:t>49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Annual report</w:t>
      </w:r>
      <w:r>
        <w:tab/>
      </w:r>
      <w:r>
        <w:fldChar w:fldCharType="begin"/>
      </w:r>
      <w:r>
        <w:instrText xml:space="preserve"> PAGEREF _Toc429399323 \h </w:instrText>
      </w:r>
      <w:r>
        <w:fldChar w:fldCharType="separate"/>
      </w:r>
      <w:r>
        <w:t>49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_Toc429399324 \h </w:instrText>
      </w:r>
      <w:r>
        <w:fldChar w:fldCharType="separate"/>
      </w:r>
      <w:r>
        <w:t>50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Amendment of Schedule</w:t>
      </w:r>
      <w:r>
        <w:tab/>
      </w:r>
      <w:r>
        <w:fldChar w:fldCharType="begin"/>
      </w:r>
      <w:r>
        <w:instrText xml:space="preserve"> PAGEREF _Toc429399325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w:t>
      </w:r>
      <w:r>
        <w:rPr>
          <w:b w:val="0"/>
        </w:rPr>
        <w:t> </w:t>
      </w:r>
      <w:r>
        <w:t>—</w:t>
      </w:r>
      <w:r>
        <w:rPr>
          <w:b w:val="0"/>
        </w:rPr>
        <w:t> </w:t>
      </w:r>
      <w:r>
        <w:t>Expiry of Act and related transitional arrangements</w:t>
      </w:r>
    </w:p>
    <w:p>
      <w:pPr>
        <w:pStyle w:val="TOC4"/>
        <w:tabs>
          <w:tab w:val="right" w:leader="dot" w:pos="7077"/>
        </w:tabs>
        <w:rPr>
          <w:rFonts w:asciiTheme="minorHAnsi" w:eastAsiaTheme="minorEastAsia" w:hAnsiTheme="minorHAnsi" w:cstheme="minorBidi"/>
          <w:b w:val="0"/>
          <w:szCs w:val="22"/>
        </w:rPr>
      </w:pPr>
      <w:r>
        <w:t>Division 1 — Expiry of Act</w:t>
      </w:r>
    </w:p>
    <w:p>
      <w:pPr>
        <w:pStyle w:val="TOC8"/>
        <w:rPr>
          <w:rFonts w:asciiTheme="minorHAnsi" w:eastAsiaTheme="minorEastAsia" w:hAnsiTheme="minorHAnsi" w:cstheme="minorBidi"/>
          <w:szCs w:val="22"/>
        </w:rPr>
      </w:pPr>
      <w:r>
        <w:t>61.</w:t>
      </w:r>
      <w:r>
        <w:tab/>
        <w:t>When Act to expire</w:t>
      </w:r>
      <w:r>
        <w:tab/>
      </w:r>
      <w:r>
        <w:fldChar w:fldCharType="begin"/>
      </w:r>
      <w:r>
        <w:instrText xml:space="preserve"> PAGEREF _Toc429399328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Transitional arrangements on and after transition day</w:t>
      </w:r>
    </w:p>
    <w:p>
      <w:pPr>
        <w:pStyle w:val="TOC8"/>
        <w:rPr>
          <w:rFonts w:asciiTheme="minorHAnsi" w:eastAsiaTheme="minorEastAsia" w:hAnsiTheme="minorHAnsi" w:cstheme="minorBidi"/>
          <w:szCs w:val="22"/>
        </w:rPr>
      </w:pPr>
      <w:r>
        <w:t>62.</w:t>
      </w:r>
      <w:r>
        <w:tab/>
        <w:t>Purposes for which Act continues to apply</w:t>
      </w:r>
      <w:r>
        <w:tab/>
      </w:r>
      <w:r>
        <w:fldChar w:fldCharType="begin"/>
      </w:r>
      <w:r>
        <w:instrText xml:space="preserve"> PAGEREF _Toc429399330 \h </w:instrText>
      </w:r>
      <w:r>
        <w:fldChar w:fldCharType="separate"/>
      </w:r>
      <w:r>
        <w:t>53</w:t>
      </w:r>
      <w:r>
        <w:fldChar w:fldCharType="end"/>
      </w:r>
    </w:p>
    <w:p>
      <w:pPr>
        <w:pStyle w:val="TOC8"/>
        <w:rPr>
          <w:rFonts w:asciiTheme="minorHAnsi" w:eastAsiaTheme="minorEastAsia" w:hAnsiTheme="minorHAnsi" w:cstheme="minorBidi"/>
          <w:szCs w:val="22"/>
        </w:rPr>
      </w:pPr>
      <w:r>
        <w:t>63.</w:t>
      </w:r>
      <w:r>
        <w:tab/>
        <w:t>Refund of licence fees</w:t>
      </w:r>
      <w:r>
        <w:tab/>
      </w:r>
      <w:r>
        <w:fldChar w:fldCharType="begin"/>
      </w:r>
      <w:r>
        <w:instrText xml:space="preserve"> PAGEREF _Toc429399331 \h </w:instrText>
      </w:r>
      <w:r>
        <w:fldChar w:fldCharType="separate"/>
      </w:r>
      <w:r>
        <w:t>54</w:t>
      </w:r>
      <w:r>
        <w:fldChar w:fldCharType="end"/>
      </w:r>
    </w:p>
    <w:p>
      <w:pPr>
        <w:pStyle w:val="TOC8"/>
        <w:rPr>
          <w:rFonts w:asciiTheme="minorHAnsi" w:eastAsiaTheme="minorEastAsia" w:hAnsiTheme="minorHAnsi" w:cstheme="minorBidi"/>
          <w:szCs w:val="22"/>
        </w:rPr>
      </w:pPr>
      <w:r>
        <w:t>64.</w:t>
      </w:r>
      <w:r>
        <w:tab/>
        <w:t>Refund of application fees</w:t>
      </w:r>
      <w:r>
        <w:tab/>
      </w:r>
      <w:r>
        <w:fldChar w:fldCharType="begin"/>
      </w:r>
      <w:r>
        <w:instrText xml:space="preserve"> PAGEREF _Toc429399332 \h </w:instrText>
      </w:r>
      <w:r>
        <w:fldChar w:fldCharType="separate"/>
      </w:r>
      <w:r>
        <w:t>55</w:t>
      </w:r>
      <w:r>
        <w:fldChar w:fldCharType="end"/>
      </w:r>
    </w:p>
    <w:p>
      <w:pPr>
        <w:pStyle w:val="TOC8"/>
        <w:rPr>
          <w:rFonts w:asciiTheme="minorHAnsi" w:eastAsiaTheme="minorEastAsia" w:hAnsiTheme="minorHAnsi" w:cstheme="minorBidi"/>
          <w:szCs w:val="22"/>
        </w:rPr>
      </w:pPr>
      <w:r>
        <w:t>65.</w:t>
      </w:r>
      <w:r>
        <w:tab/>
        <w:t>Transitional regulations</w:t>
      </w:r>
      <w:r>
        <w:tab/>
      </w:r>
      <w:r>
        <w:fldChar w:fldCharType="begin"/>
      </w:r>
      <w:r>
        <w:instrText xml:space="preserve"> PAGEREF _Toc429399333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 Specified Licensing or Registration Acts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_Toc429399336 \h </w:instrText>
      </w:r>
      <w:r>
        <w:fldChar w:fldCharType="separate"/>
      </w:r>
      <w:r>
        <w:t>59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_Toc429399337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00" w:after="1200"/>
      </w:pPr>
      <w:r>
        <w:t xml:space="preserve">Travel Agents Act 1985 </w:t>
      </w:r>
    </w:p>
    <w:p>
      <w:pPr>
        <w:pStyle w:val="LongTitle"/>
        <w:rPr>
          <w:snapToGrid w:val="0"/>
        </w:rPr>
      </w:pPr>
      <w:r>
        <w:t>An Act relating to the regulation of the travel industry.</w:t>
      </w:r>
    </w:p>
    <w:p>
      <w:pPr>
        <w:pStyle w:val="Footnotelongtitle"/>
      </w:pPr>
      <w:r>
        <w:tab/>
        <w:t>[Long title inserted by No. 21 of 2014 s. 4.]</w:t>
      </w:r>
    </w:p>
    <w:p>
      <w:pPr>
        <w:pStyle w:val="Heading2"/>
      </w:pPr>
      <w:bookmarkStart w:id="3" w:name="_Toc401156719"/>
      <w:bookmarkStart w:id="4" w:name="_Toc424557203"/>
      <w:bookmarkStart w:id="5" w:name="_Toc429399261"/>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01156720"/>
      <w:bookmarkStart w:id="7" w:name="_Toc429399262"/>
      <w:r>
        <w:rPr>
          <w:rStyle w:val="CharSectno"/>
        </w:rPr>
        <w:t>1</w:t>
      </w:r>
      <w:r>
        <w:rPr>
          <w:snapToGrid w:val="0"/>
        </w:rPr>
        <w:t>.</w:t>
      </w:r>
      <w:r>
        <w:rPr>
          <w:snapToGrid w:val="0"/>
        </w:rPr>
        <w:tab/>
        <w:t>Short title</w:t>
      </w:r>
      <w:bookmarkEnd w:id="6"/>
      <w:bookmarkEnd w:id="7"/>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8" w:name="_Toc401156721"/>
      <w:bookmarkStart w:id="9" w:name="_Toc42939926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180"/>
        <w:rPr>
          <w:snapToGrid w:val="0"/>
        </w:rPr>
      </w:pPr>
      <w:bookmarkStart w:id="10" w:name="_Toc401156722"/>
      <w:bookmarkStart w:id="11" w:name="_Toc429399264"/>
      <w:r>
        <w:rPr>
          <w:rStyle w:val="CharSectno"/>
        </w:rPr>
        <w:t>3</w:t>
      </w:r>
      <w:r>
        <w:rPr>
          <w:snapToGrid w:val="0"/>
        </w:rPr>
        <w:t>.</w:t>
      </w:r>
      <w:r>
        <w:rPr>
          <w:snapToGrid w:val="0"/>
        </w:rPr>
        <w:tab/>
        <w:t>Terms used</w:t>
      </w:r>
      <w:bookmarkEnd w:id="10"/>
      <w:bookmarkEnd w:id="1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tab/>
      </w:r>
      <w:r>
        <w:rPr>
          <w:rStyle w:val="CharDefText"/>
        </w:rPr>
        <w:t>Compensation Scheme</w:t>
      </w:r>
      <w:r>
        <w:t xml:space="preserve"> means the scheme for compensating persons who suffer loss by reason of an act or omission by a person who carries on, or carried on, business as a travel agent that is set out in the Trust Deed;</w:t>
      </w:r>
    </w:p>
    <w:p>
      <w:pPr>
        <w:pStyle w:val="PermNoteHeading"/>
      </w:pPr>
      <w:r>
        <w:tab/>
        <w:t>Note for this definition:</w:t>
      </w:r>
    </w:p>
    <w:p>
      <w:pPr>
        <w:pStyle w:val="PermNoteText"/>
      </w:pPr>
      <w:r>
        <w:tab/>
      </w:r>
      <w:r>
        <w:tab/>
        <w:t>A copy of the Trust Deed can be found on the Travel Compensation Fund’s website at &lt;http://www.tcf.org.au&gt;.</w:t>
      </w:r>
    </w:p>
    <w:p>
      <w:pPr>
        <w:pStyle w:val="Defstart"/>
        <w:rPr>
          <w:b/>
        </w:rPr>
      </w:pPr>
      <w:r>
        <w:rPr>
          <w:b/>
        </w:rPr>
        <w:tab/>
      </w:r>
      <w:r>
        <w:rPr>
          <w:rStyle w:val="CharDefText"/>
        </w:rPr>
        <w:t>Compensation Trustees</w:t>
      </w:r>
      <w:r>
        <w:t xml:space="preserve"> means the trustees by whom the Compensation Scheme is administered;</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tab/>
      </w:r>
      <w:r>
        <w:rPr>
          <w:rStyle w:val="CharDefText"/>
        </w:rPr>
        <w:t>transition day</w:t>
      </w:r>
      <w:r>
        <w:t xml:space="preserve"> means the day on which the </w:t>
      </w:r>
      <w:r>
        <w:rPr>
          <w:i/>
        </w:rPr>
        <w:t>Travel Agents Amendment and Expiry Act 2014</w:t>
      </w:r>
      <w:r>
        <w:t xml:space="preserve"> section 6 comes into operation;</w:t>
      </w:r>
    </w:p>
    <w:p>
      <w:pPr>
        <w:pStyle w:val="Defstart"/>
      </w:pPr>
      <w:r>
        <w:tab/>
      </w:r>
      <w:r>
        <w:rPr>
          <w:rStyle w:val="CharDefText"/>
        </w:rPr>
        <w:t>Trust Deed</w:t>
      </w:r>
      <w:r>
        <w:t xml:space="preserve"> means the Travel Compensation Fund Substitution Trust Deed (which was executed by the Minister for and on behalf of the State and which came into effect on 1 July 2013) as amended and in force from time to time.</w:t>
      </w:r>
    </w:p>
    <w:p>
      <w:pPr>
        <w:pStyle w:val="Subsection"/>
        <w:keepNext/>
      </w:pPr>
      <w:r>
        <w:rPr>
          <w:b/>
        </w:rPr>
        <w:tab/>
      </w:r>
      <w:r>
        <w:tab/>
        <w:t>(2)</w:t>
      </w:r>
      <w: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Subsection"/>
      </w:pPr>
      <w:r>
        <w:tab/>
        <w:t>(3)</w:t>
      </w:r>
      <w:r>
        <w:tab/>
        <w:t>A note set out at the foot of a provision of this Act does not form part of this Act.</w:t>
      </w:r>
    </w:p>
    <w:p>
      <w:pPr>
        <w:pStyle w:val="Footnotesection"/>
        <w:keepLines w:val="0"/>
        <w:ind w:left="890" w:hanging="890"/>
      </w:pPr>
      <w:r>
        <w:tab/>
        <w:t>[Section 3 amended by No. 57 of 1997 s. 39(10); No. 26 of 1999 s. 107; No. 10 of 2001 s. 221; No. 55 of 2004 s. 1235; No. 28 of 2006 s. 146; No. 21 of 2014 s. 5.]</w:t>
      </w:r>
    </w:p>
    <w:p>
      <w:pPr>
        <w:pStyle w:val="Heading5"/>
        <w:rPr>
          <w:snapToGrid w:val="0"/>
        </w:rPr>
      </w:pPr>
      <w:bookmarkStart w:id="12" w:name="_Toc401156723"/>
      <w:bookmarkStart w:id="13" w:name="_Toc429399265"/>
      <w:r>
        <w:rPr>
          <w:rStyle w:val="CharSectno"/>
        </w:rPr>
        <w:t>4</w:t>
      </w:r>
      <w:r>
        <w:rPr>
          <w:snapToGrid w:val="0"/>
        </w:rPr>
        <w:t>.</w:t>
      </w:r>
      <w:r>
        <w:rPr>
          <w:snapToGrid w:val="0"/>
        </w:rPr>
        <w:tab/>
        <w:t>Business as travel agent</w:t>
      </w:r>
      <w:bookmarkEnd w:id="12"/>
      <w:bookmarkEnd w:id="13"/>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 or</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r>
      <w:smartTag w:uri="urn:schemas-microsoft-com:office:smarttags" w:element="State">
        <w:smartTag w:uri="urn:schemas-microsoft-com:office:smarttags" w:element="place">
          <w:r>
            <w:rPr>
              <w:snapToGrid w:val="0"/>
            </w:rPr>
            <w:t>Western Australia</w:t>
          </w:r>
        </w:smartTag>
      </w:smartTag>
      <w:r>
        <w:rPr>
          <w:snapToGrid w:val="0"/>
        </w:rPr>
        <w:t>; or</w:t>
      </w:r>
    </w:p>
    <w:p>
      <w:pPr>
        <w:pStyle w:val="Indenta"/>
        <w:rPr>
          <w:snapToGrid w:val="0"/>
        </w:rPr>
      </w:pPr>
      <w:r>
        <w:rPr>
          <w:snapToGrid w:val="0"/>
        </w:rPr>
        <w:tab/>
        <w:t>(c)</w:t>
      </w:r>
      <w:r>
        <w:rPr>
          <w:snapToGrid w:val="0"/>
        </w:rPr>
        <w:tab/>
        <w:t>purchasing for resale the rights of passage on conveyances which are not prescribed conveyances; or</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 or</w:t>
      </w:r>
    </w:p>
    <w:p>
      <w:pPr>
        <w:pStyle w:val="Indenta"/>
        <w:keepNext/>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 or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pPr>
      <w:bookmarkStart w:id="14" w:name="_Toc401156724"/>
      <w:bookmarkStart w:id="15" w:name="_Toc429399266"/>
      <w:r>
        <w:rPr>
          <w:rStyle w:val="CharSectno"/>
        </w:rPr>
        <w:t>5A</w:t>
      </w:r>
      <w:r>
        <w:t>.</w:t>
      </w:r>
      <w:r>
        <w:tab/>
        <w:t>Application of Act limited</w:t>
      </w:r>
      <w:bookmarkEnd w:id="14"/>
      <w:bookmarkEnd w:id="15"/>
    </w:p>
    <w:p>
      <w:pPr>
        <w:pStyle w:val="Subsection"/>
      </w:pPr>
      <w:r>
        <w:tab/>
      </w:r>
      <w:r>
        <w:tab/>
        <w:t>This Act does not apply on or after transition day except as provided by Part V.</w:t>
      </w:r>
    </w:p>
    <w:p>
      <w:pPr>
        <w:pStyle w:val="Footnotesection"/>
      </w:pPr>
      <w:r>
        <w:tab/>
        <w:t>[Section 5A inserted by No. 21 of 2014 s. 6.]</w:t>
      </w:r>
    </w:p>
    <w:p>
      <w:pPr>
        <w:pStyle w:val="Heading5"/>
        <w:rPr>
          <w:snapToGrid w:val="0"/>
        </w:rPr>
      </w:pPr>
      <w:bookmarkStart w:id="16" w:name="_Toc401156725"/>
      <w:bookmarkStart w:id="17" w:name="_Toc429399267"/>
      <w:r>
        <w:rPr>
          <w:rStyle w:val="CharSectno"/>
        </w:rPr>
        <w:t>5</w:t>
      </w:r>
      <w:r>
        <w:rPr>
          <w:snapToGrid w:val="0"/>
        </w:rPr>
        <w:t>.</w:t>
      </w:r>
      <w:r>
        <w:rPr>
          <w:snapToGrid w:val="0"/>
        </w:rPr>
        <w:tab/>
        <w:t>Application of Act to Crown</w:t>
      </w:r>
      <w:bookmarkEnd w:id="16"/>
      <w:bookmarkEnd w:id="17"/>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 or</w:t>
      </w:r>
    </w:p>
    <w:p>
      <w:pPr>
        <w:pStyle w:val="Indenta"/>
        <w:rPr>
          <w:snapToGrid w:val="0"/>
        </w:rPr>
      </w:pPr>
      <w:r>
        <w:rPr>
          <w:snapToGrid w:val="0"/>
        </w:rPr>
        <w:tab/>
        <w:t>(b)</w:t>
      </w:r>
      <w:r>
        <w:rPr>
          <w:snapToGrid w:val="0"/>
        </w:rPr>
        <w:tab/>
        <w:t>any department of the Government; or</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r>
        <w:tab/>
        <w:t>[Section 5 amended by No. 69 of 2006 s. 38.]</w:t>
      </w:r>
    </w:p>
    <w:p>
      <w:pPr>
        <w:pStyle w:val="Heading5"/>
        <w:rPr>
          <w:snapToGrid w:val="0"/>
        </w:rPr>
      </w:pPr>
      <w:bookmarkStart w:id="18" w:name="_Toc401156726"/>
      <w:bookmarkStart w:id="19" w:name="_Toc429399268"/>
      <w:r>
        <w:rPr>
          <w:rStyle w:val="CharSectno"/>
        </w:rPr>
        <w:t>6</w:t>
      </w:r>
      <w:r>
        <w:rPr>
          <w:snapToGrid w:val="0"/>
        </w:rPr>
        <w:t>.</w:t>
      </w:r>
      <w:r>
        <w:rPr>
          <w:snapToGrid w:val="0"/>
        </w:rPr>
        <w:tab/>
        <w:t>Variation of application of Act</w:t>
      </w:r>
      <w:bookmarkEnd w:id="18"/>
      <w:bookmarkEnd w:id="19"/>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to a specified class of transactions or matters; or</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20" w:name="_Toc401156727"/>
      <w:bookmarkStart w:id="21" w:name="_Toc424557211"/>
      <w:bookmarkStart w:id="22" w:name="_Toc429399269"/>
      <w:r>
        <w:rPr>
          <w:rStyle w:val="CharPartNo"/>
        </w:rPr>
        <w:t>Part II</w:t>
      </w:r>
      <w:r>
        <w:t> — </w:t>
      </w:r>
      <w:r>
        <w:rPr>
          <w:rStyle w:val="CharPartText"/>
        </w:rPr>
        <w:t>Licences</w:t>
      </w:r>
      <w:bookmarkEnd w:id="20"/>
      <w:bookmarkEnd w:id="21"/>
      <w:bookmarkEnd w:id="22"/>
      <w:r>
        <w:rPr>
          <w:rStyle w:val="CharPartText"/>
        </w:rPr>
        <w:t xml:space="preserve"> </w:t>
      </w:r>
    </w:p>
    <w:p>
      <w:pPr>
        <w:pStyle w:val="Heading3"/>
        <w:rPr>
          <w:snapToGrid w:val="0"/>
        </w:rPr>
      </w:pPr>
      <w:bookmarkStart w:id="23" w:name="_Toc401156728"/>
      <w:bookmarkStart w:id="24" w:name="_Toc424557212"/>
      <w:bookmarkStart w:id="25" w:name="_Toc429399270"/>
      <w:r>
        <w:rPr>
          <w:rStyle w:val="CharDivNo"/>
        </w:rPr>
        <w:t>Division 1</w:t>
      </w:r>
      <w:r>
        <w:rPr>
          <w:snapToGrid w:val="0"/>
        </w:rPr>
        <w:t> — </w:t>
      </w:r>
      <w:r>
        <w:rPr>
          <w:rStyle w:val="CharDivText"/>
        </w:rPr>
        <w:t>Requirement to be licensed</w:t>
      </w:r>
      <w:bookmarkEnd w:id="23"/>
      <w:bookmarkEnd w:id="24"/>
      <w:bookmarkEnd w:id="25"/>
      <w:r>
        <w:rPr>
          <w:rStyle w:val="CharDivText"/>
        </w:rPr>
        <w:t xml:space="preserve"> </w:t>
      </w:r>
    </w:p>
    <w:p>
      <w:pPr>
        <w:pStyle w:val="Heading5"/>
        <w:spacing w:before="180"/>
        <w:rPr>
          <w:snapToGrid w:val="0"/>
        </w:rPr>
      </w:pPr>
      <w:bookmarkStart w:id="26" w:name="_Toc401156729"/>
      <w:bookmarkStart w:id="27" w:name="_Toc429399271"/>
      <w:r>
        <w:rPr>
          <w:rStyle w:val="CharSectno"/>
        </w:rPr>
        <w:t>7</w:t>
      </w:r>
      <w:r>
        <w:rPr>
          <w:snapToGrid w:val="0"/>
        </w:rPr>
        <w:t>.</w:t>
      </w:r>
      <w:r>
        <w:rPr>
          <w:snapToGrid w:val="0"/>
        </w:rPr>
        <w:tab/>
        <w:t>Travel agent to be licensed</w:t>
      </w:r>
      <w:bookmarkEnd w:id="26"/>
      <w:bookmarkEnd w:id="27"/>
      <w:r>
        <w:rPr>
          <w:snapToGrid w:val="0"/>
        </w:rPr>
        <w:t xml:space="preserve"> </w:t>
      </w:r>
    </w:p>
    <w:p>
      <w:pPr>
        <w:pStyle w:val="Subsection"/>
        <w:spacing w:before="120"/>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spacing w:before="120"/>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spacing w:before="180"/>
        <w:rPr>
          <w:snapToGrid w:val="0"/>
        </w:rPr>
      </w:pPr>
      <w:bookmarkStart w:id="28" w:name="_Toc401156730"/>
      <w:bookmarkStart w:id="29" w:name="_Toc429399272"/>
      <w:r>
        <w:rPr>
          <w:rStyle w:val="CharSectno"/>
        </w:rPr>
        <w:t>8</w:t>
      </w:r>
      <w:r>
        <w:rPr>
          <w:snapToGrid w:val="0"/>
        </w:rPr>
        <w:t>.</w:t>
      </w:r>
      <w:r>
        <w:rPr>
          <w:snapToGrid w:val="0"/>
        </w:rPr>
        <w:tab/>
        <w:t>Unauthorised use of licence</w:t>
      </w:r>
      <w:bookmarkEnd w:id="28"/>
      <w:bookmarkEnd w:id="29"/>
      <w:r>
        <w:rPr>
          <w:snapToGrid w:val="0"/>
        </w:rPr>
        <w:t xml:space="preserve"> </w:t>
      </w:r>
    </w:p>
    <w:p>
      <w:pPr>
        <w:pStyle w:val="Subsection"/>
        <w:spacing w:before="120"/>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spacing w:before="60"/>
        <w:rPr>
          <w:snapToGrid w:val="0"/>
        </w:rPr>
      </w:pPr>
      <w:r>
        <w:rPr>
          <w:snapToGrid w:val="0"/>
        </w:rPr>
        <w:tab/>
        <w:t>Penalty: $5 000.</w:t>
      </w:r>
    </w:p>
    <w:p>
      <w:pPr>
        <w:pStyle w:val="Heading3"/>
        <w:rPr>
          <w:snapToGrid w:val="0"/>
        </w:rPr>
      </w:pPr>
      <w:bookmarkStart w:id="30" w:name="_Toc401156731"/>
      <w:bookmarkStart w:id="31" w:name="_Toc424557215"/>
      <w:bookmarkStart w:id="32" w:name="_Toc429399273"/>
      <w:r>
        <w:rPr>
          <w:rStyle w:val="CharDivNo"/>
        </w:rPr>
        <w:t>Division 2</w:t>
      </w:r>
      <w:r>
        <w:rPr>
          <w:snapToGrid w:val="0"/>
        </w:rPr>
        <w:t> — </w:t>
      </w:r>
      <w:r>
        <w:rPr>
          <w:rStyle w:val="CharDivText"/>
        </w:rPr>
        <w:t>Licensing provisions</w:t>
      </w:r>
      <w:bookmarkEnd w:id="30"/>
      <w:bookmarkEnd w:id="31"/>
      <w:bookmarkEnd w:id="32"/>
      <w:r>
        <w:rPr>
          <w:rStyle w:val="CharDivText"/>
        </w:rPr>
        <w:t xml:space="preserve"> </w:t>
      </w:r>
    </w:p>
    <w:p>
      <w:pPr>
        <w:pStyle w:val="Heading5"/>
        <w:rPr>
          <w:snapToGrid w:val="0"/>
        </w:rPr>
      </w:pPr>
      <w:bookmarkStart w:id="33" w:name="_Toc401156732"/>
      <w:bookmarkStart w:id="34" w:name="_Toc429399274"/>
      <w:r>
        <w:rPr>
          <w:rStyle w:val="CharSectno"/>
        </w:rPr>
        <w:t>9</w:t>
      </w:r>
      <w:r>
        <w:rPr>
          <w:snapToGrid w:val="0"/>
        </w:rPr>
        <w:t>.</w:t>
      </w:r>
      <w:r>
        <w:rPr>
          <w:snapToGrid w:val="0"/>
        </w:rPr>
        <w:tab/>
        <w:t>Application for licence</w:t>
      </w:r>
      <w:bookmarkEnd w:id="33"/>
      <w:bookmarkEnd w:id="34"/>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 and</w:t>
      </w:r>
    </w:p>
    <w:p>
      <w:pPr>
        <w:pStyle w:val="Indenta"/>
        <w:rPr>
          <w:snapToGrid w:val="0"/>
        </w:rPr>
      </w:pPr>
      <w:r>
        <w:rPr>
          <w:snapToGrid w:val="0"/>
        </w:rPr>
        <w:tab/>
        <w:t>(c)</w:t>
      </w:r>
      <w:r>
        <w:rPr>
          <w:snapToGrid w:val="0"/>
        </w:rPr>
        <w:tab/>
        <w:t>whether or not the applicant intends to carry on the business referred to in paragraph (b) in partnership with another person; and</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 and</w:t>
      </w:r>
    </w:p>
    <w:p>
      <w:pPr>
        <w:pStyle w:val="Indenta"/>
        <w:rPr>
          <w:snapToGrid w:val="0"/>
        </w:rPr>
      </w:pPr>
      <w:r>
        <w:rPr>
          <w:snapToGrid w:val="0"/>
        </w:rPr>
        <w:tab/>
        <w:t>(e)</w:t>
      </w:r>
      <w:r>
        <w:rPr>
          <w:snapToGrid w:val="0"/>
        </w:rPr>
        <w:tab/>
        <w:t>that the applicant is, or on being licensed will be, a participant in the Compensation Scheme; and</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35" w:name="_Toc401156733"/>
      <w:bookmarkStart w:id="36" w:name="_Toc429399275"/>
      <w:r>
        <w:rPr>
          <w:rStyle w:val="CharSectno"/>
        </w:rPr>
        <w:t>10</w:t>
      </w:r>
      <w:r>
        <w:rPr>
          <w:snapToGrid w:val="0"/>
        </w:rPr>
        <w:t>.</w:t>
      </w:r>
      <w:r>
        <w:rPr>
          <w:snapToGrid w:val="0"/>
        </w:rPr>
        <w:tab/>
        <w:t>Investigation of application</w:t>
      </w:r>
      <w:bookmarkEnd w:id="35"/>
      <w:bookmarkEnd w:id="36"/>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37" w:name="_Toc401156734"/>
      <w:bookmarkStart w:id="38" w:name="_Toc429399276"/>
      <w:r>
        <w:rPr>
          <w:rStyle w:val="CharSectno"/>
        </w:rPr>
        <w:t>11</w:t>
      </w:r>
      <w:r>
        <w:rPr>
          <w:snapToGrid w:val="0"/>
        </w:rPr>
        <w:t>.</w:t>
      </w:r>
      <w:r>
        <w:rPr>
          <w:snapToGrid w:val="0"/>
        </w:rPr>
        <w:tab/>
        <w:t>Objection to application</w:t>
      </w:r>
      <w:bookmarkEnd w:id="37"/>
      <w:bookmarkEnd w:id="38"/>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 and</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39" w:name="_Toc401156735"/>
      <w:bookmarkStart w:id="40" w:name="_Toc429399277"/>
      <w:r>
        <w:rPr>
          <w:rStyle w:val="CharSectno"/>
        </w:rPr>
        <w:t>12</w:t>
      </w:r>
      <w:r>
        <w:rPr>
          <w:snapToGrid w:val="0"/>
        </w:rPr>
        <w:t>.</w:t>
      </w:r>
      <w:r>
        <w:rPr>
          <w:snapToGrid w:val="0"/>
        </w:rPr>
        <w:tab/>
        <w:t>Grant or refusal of licence</w:t>
      </w:r>
      <w:bookmarkEnd w:id="39"/>
      <w:bookmarkEnd w:id="40"/>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 </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 xml:space="preserve">; </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 xml:space="preserve">the individual is a person whose licence or registration granted under an Act specified in the Schedule has been cancelled or suspended; </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 or</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Commissioner shall not issue the licence granted unless — </w:t>
      </w:r>
    </w:p>
    <w:p>
      <w:pPr>
        <w:pStyle w:val="Indenti"/>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41" w:name="_Toc401156736"/>
      <w:bookmarkStart w:id="42" w:name="_Toc429399278"/>
      <w:r>
        <w:rPr>
          <w:rStyle w:val="CharSectno"/>
        </w:rPr>
        <w:t>13</w:t>
      </w:r>
      <w:r>
        <w:rPr>
          <w:snapToGrid w:val="0"/>
        </w:rPr>
        <w:t>.</w:t>
      </w:r>
      <w:r>
        <w:rPr>
          <w:snapToGrid w:val="0"/>
        </w:rPr>
        <w:tab/>
        <w:t>Conditions of licence</w:t>
      </w:r>
      <w:bookmarkEnd w:id="41"/>
      <w:bookmarkEnd w:id="42"/>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 and</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 and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43" w:name="_Toc401156737"/>
      <w:bookmarkStart w:id="44" w:name="_Toc429399279"/>
      <w:r>
        <w:rPr>
          <w:rStyle w:val="CharSectno"/>
        </w:rPr>
        <w:t>14</w:t>
      </w:r>
      <w:r>
        <w:rPr>
          <w:snapToGrid w:val="0"/>
        </w:rPr>
        <w:t>.</w:t>
      </w:r>
      <w:r>
        <w:rPr>
          <w:snapToGrid w:val="0"/>
        </w:rPr>
        <w:tab/>
        <w:t>Name under which licensee may operate</w:t>
      </w:r>
      <w:bookmarkEnd w:id="43"/>
      <w:bookmarkEnd w:id="44"/>
      <w:r>
        <w:rPr>
          <w:snapToGrid w:val="0"/>
        </w:rPr>
        <w:t xml:space="preserve"> </w:t>
      </w:r>
    </w:p>
    <w:p>
      <w:pPr>
        <w:pStyle w:val="Subsection"/>
        <w:rPr>
          <w:snapToGrid w:val="0"/>
        </w:rPr>
      </w:pPr>
      <w:r>
        <w:rPr>
          <w:snapToGrid w:val="0"/>
        </w:rPr>
        <w:tab/>
        <w:t>(1)</w:t>
      </w:r>
      <w:r>
        <w:rPr>
          <w:snapToGrid w:val="0"/>
        </w:rPr>
        <w:tab/>
        <w:t xml:space="preserve">Subject to the </w:t>
      </w:r>
      <w:r>
        <w:rPr>
          <w:i/>
        </w:rPr>
        <w:t xml:space="preserve">Business Names Registration Act 2011 </w:t>
      </w:r>
      <w:r>
        <w:t xml:space="preserve">(Commonwealth), </w:t>
      </w:r>
      <w:r>
        <w:rPr>
          <w:snapToGrid w:val="0"/>
        </w:rPr>
        <w:t>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or</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Footnotesection"/>
        <w:ind w:left="890" w:hanging="890"/>
      </w:pPr>
      <w:r>
        <w:tab/>
        <w:t>[Section 14 amended by No. 6 of 2012 s. 45.]</w:t>
      </w:r>
    </w:p>
    <w:p>
      <w:pPr>
        <w:pStyle w:val="Heading5"/>
        <w:rPr>
          <w:snapToGrid w:val="0"/>
        </w:rPr>
      </w:pPr>
      <w:bookmarkStart w:id="45" w:name="_Toc401156738"/>
      <w:bookmarkStart w:id="46" w:name="_Toc429399280"/>
      <w:r>
        <w:rPr>
          <w:rStyle w:val="CharSectno"/>
        </w:rPr>
        <w:t>15</w:t>
      </w:r>
      <w:r>
        <w:rPr>
          <w:snapToGrid w:val="0"/>
        </w:rPr>
        <w:t>.</w:t>
      </w:r>
      <w:r>
        <w:rPr>
          <w:snapToGrid w:val="0"/>
        </w:rPr>
        <w:tab/>
        <w:t>Form of licence and replacement of licence</w:t>
      </w:r>
      <w:bookmarkEnd w:id="45"/>
      <w:bookmarkEnd w:id="46"/>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47" w:name="_Toc401156739"/>
      <w:bookmarkStart w:id="48" w:name="_Toc429399281"/>
      <w:r>
        <w:rPr>
          <w:rStyle w:val="CharSectno"/>
        </w:rPr>
        <w:t>16</w:t>
      </w:r>
      <w:r>
        <w:rPr>
          <w:snapToGrid w:val="0"/>
        </w:rPr>
        <w:t>.</w:t>
      </w:r>
      <w:r>
        <w:rPr>
          <w:snapToGrid w:val="0"/>
        </w:rPr>
        <w:tab/>
        <w:t>Change of address of licensee</w:t>
      </w:r>
      <w:bookmarkEnd w:id="47"/>
      <w:bookmarkEnd w:id="48"/>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49" w:name="_Toc401156740"/>
      <w:bookmarkStart w:id="50" w:name="_Toc429399282"/>
      <w:r>
        <w:rPr>
          <w:rStyle w:val="CharSectno"/>
        </w:rPr>
        <w:t>17</w:t>
      </w:r>
      <w:r>
        <w:rPr>
          <w:snapToGrid w:val="0"/>
        </w:rPr>
        <w:t>.</w:t>
      </w:r>
      <w:r>
        <w:rPr>
          <w:snapToGrid w:val="0"/>
        </w:rPr>
        <w:tab/>
        <w:t>Register of licensees</w:t>
      </w:r>
      <w:bookmarkEnd w:id="49"/>
      <w:bookmarkEnd w:id="50"/>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51" w:name="_Toc401156741"/>
      <w:bookmarkStart w:id="52" w:name="_Toc429399283"/>
      <w:r>
        <w:rPr>
          <w:rStyle w:val="CharSectno"/>
        </w:rPr>
        <w:t>18</w:t>
      </w:r>
      <w:r>
        <w:rPr>
          <w:snapToGrid w:val="0"/>
        </w:rPr>
        <w:t>.</w:t>
      </w:r>
      <w:r>
        <w:rPr>
          <w:snapToGrid w:val="0"/>
        </w:rPr>
        <w:tab/>
        <w:t>Term of, and authority conferred by, licence</w:t>
      </w:r>
      <w:bookmarkEnd w:id="51"/>
      <w:bookmarkEnd w:id="52"/>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53" w:name="_Toc401156742"/>
      <w:bookmarkStart w:id="54" w:name="_Toc429399284"/>
      <w:r>
        <w:rPr>
          <w:rStyle w:val="CharSectno"/>
        </w:rPr>
        <w:t>19</w:t>
      </w:r>
      <w:r>
        <w:rPr>
          <w:snapToGrid w:val="0"/>
        </w:rPr>
        <w:t>.</w:t>
      </w:r>
      <w:r>
        <w:rPr>
          <w:snapToGrid w:val="0"/>
        </w:rPr>
        <w:tab/>
      </w:r>
      <w:bookmarkEnd w:id="53"/>
      <w:r>
        <w:rPr>
          <w:snapToGrid w:val="0"/>
        </w:rPr>
        <w:t>Fees to be paid, and statements to be lodged, for the prescribed period</w:t>
      </w:r>
      <w:bookmarkEnd w:id="54"/>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55" w:name="_Toc401156743"/>
      <w:bookmarkStart w:id="56" w:name="_Toc429399285"/>
      <w:r>
        <w:rPr>
          <w:rStyle w:val="CharSectno"/>
        </w:rPr>
        <w:t>20</w:t>
      </w:r>
      <w:r>
        <w:rPr>
          <w:snapToGrid w:val="0"/>
        </w:rPr>
        <w:t>.</w:t>
      </w:r>
      <w:r>
        <w:rPr>
          <w:snapToGrid w:val="0"/>
        </w:rPr>
        <w:tab/>
        <w:t>Surrender of licence</w:t>
      </w:r>
      <w:bookmarkEnd w:id="55"/>
      <w:bookmarkEnd w:id="56"/>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57" w:name="_Toc401156744"/>
      <w:bookmarkStart w:id="58" w:name="_Toc424557228"/>
      <w:bookmarkStart w:id="59" w:name="_Toc429399286"/>
      <w:r>
        <w:rPr>
          <w:rStyle w:val="CharDivNo"/>
        </w:rPr>
        <w:t>Division 3</w:t>
      </w:r>
      <w:r>
        <w:rPr>
          <w:snapToGrid w:val="0"/>
        </w:rPr>
        <w:t> — </w:t>
      </w:r>
      <w:r>
        <w:rPr>
          <w:rStyle w:val="CharDivText"/>
        </w:rPr>
        <w:t>Disciplinary action</w:t>
      </w:r>
      <w:bookmarkEnd w:id="57"/>
      <w:bookmarkEnd w:id="58"/>
      <w:bookmarkEnd w:id="59"/>
      <w:r>
        <w:rPr>
          <w:rStyle w:val="CharDivText"/>
        </w:rPr>
        <w:t xml:space="preserve"> </w:t>
      </w:r>
    </w:p>
    <w:p>
      <w:pPr>
        <w:pStyle w:val="Heading5"/>
        <w:rPr>
          <w:snapToGrid w:val="0"/>
        </w:rPr>
      </w:pPr>
      <w:bookmarkStart w:id="60" w:name="_Toc401156745"/>
      <w:bookmarkStart w:id="61" w:name="_Toc429399287"/>
      <w:r>
        <w:rPr>
          <w:rStyle w:val="CharSectno"/>
        </w:rPr>
        <w:t>21</w:t>
      </w:r>
      <w:r>
        <w:rPr>
          <w:snapToGrid w:val="0"/>
        </w:rPr>
        <w:t>.</w:t>
      </w:r>
      <w:r>
        <w:rPr>
          <w:snapToGrid w:val="0"/>
        </w:rPr>
        <w:tab/>
        <w:t>Objection to holding of licence, and inquiry</w:t>
      </w:r>
      <w:bookmarkEnd w:id="60"/>
      <w:bookmarkEnd w:id="61"/>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 or</w:t>
      </w:r>
    </w:p>
    <w:p>
      <w:pPr>
        <w:pStyle w:val="Indenti"/>
        <w:rPr>
          <w:snapToGrid w:val="0"/>
        </w:rPr>
      </w:pPr>
      <w:r>
        <w:rPr>
          <w:snapToGrid w:val="0"/>
        </w:rPr>
        <w:tab/>
        <w:t>(ii)</w:t>
      </w:r>
      <w:r>
        <w:rPr>
          <w:snapToGrid w:val="0"/>
        </w:rPr>
        <w:tab/>
        <w:t>is under official management; or</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spacing w:after="120"/>
        <w:ind w:left="890" w:hanging="890"/>
      </w:pPr>
      <w:r>
        <w:tab/>
        <w:t>[Section 21 amended by No. 4 of 2004 s. 6(4) and (5); No. 55 of 2004 s. 1243 and 1259(1).]</w:t>
      </w:r>
    </w:p>
    <w:p>
      <w:pPr>
        <w:pStyle w:val="Heading5"/>
        <w:rPr>
          <w:snapToGrid w:val="0"/>
        </w:rPr>
      </w:pPr>
      <w:bookmarkStart w:id="62" w:name="_Toc401156746"/>
      <w:bookmarkStart w:id="63" w:name="_Toc429399288"/>
      <w:r>
        <w:rPr>
          <w:rStyle w:val="CharSectno"/>
        </w:rPr>
        <w:t>22</w:t>
      </w:r>
      <w:r>
        <w:rPr>
          <w:snapToGrid w:val="0"/>
        </w:rPr>
        <w:t>.</w:t>
      </w:r>
      <w:r>
        <w:rPr>
          <w:snapToGrid w:val="0"/>
        </w:rPr>
        <w:tab/>
        <w:t>Disciplinary action following inquiry</w:t>
      </w:r>
      <w:bookmarkEnd w:id="62"/>
      <w:bookmarkEnd w:id="63"/>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 or</w:t>
      </w:r>
    </w:p>
    <w:p>
      <w:pPr>
        <w:pStyle w:val="Indenta"/>
        <w:rPr>
          <w:snapToGrid w:val="0"/>
        </w:rPr>
      </w:pPr>
      <w:r>
        <w:rPr>
          <w:snapToGrid w:val="0"/>
        </w:rPr>
        <w:tab/>
        <w:t>(b)</w:t>
      </w:r>
      <w:r>
        <w:rPr>
          <w:snapToGrid w:val="0"/>
        </w:rPr>
        <w:tab/>
        <w:t>impose on the licensee a fine not exceeding $1 000 payable within a specified time; or</w:t>
      </w:r>
    </w:p>
    <w:p>
      <w:pPr>
        <w:pStyle w:val="Indenta"/>
        <w:rPr>
          <w:snapToGrid w:val="0"/>
        </w:rPr>
      </w:pPr>
      <w:r>
        <w:rPr>
          <w:snapToGrid w:val="0"/>
        </w:rPr>
        <w:tab/>
        <w:t>(c)</w:t>
      </w:r>
      <w:r>
        <w:rPr>
          <w:snapToGrid w:val="0"/>
        </w:rPr>
        <w:tab/>
        <w:t>require the licensee to comply within a specified time with a requirement specified by the Tribunal; or</w:t>
      </w:r>
    </w:p>
    <w:p>
      <w:pPr>
        <w:pStyle w:val="Indenta"/>
        <w:rPr>
          <w:snapToGrid w:val="0"/>
        </w:rPr>
      </w:pPr>
      <w:r>
        <w:rPr>
          <w:snapToGrid w:val="0"/>
        </w:rPr>
        <w:tab/>
        <w:t>(d)</w:t>
      </w:r>
      <w:r>
        <w:rPr>
          <w:snapToGrid w:val="0"/>
        </w:rPr>
        <w:tab/>
        <w:t>suspend the licence for a period not exceeding 12 months; or</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 or</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 or</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keepLines/>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 and</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spacing w:before="120"/>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 or</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64" w:name="_Toc401156747"/>
      <w:bookmarkStart w:id="65" w:name="_Toc424557231"/>
      <w:bookmarkStart w:id="66" w:name="_Toc429399289"/>
      <w:r>
        <w:rPr>
          <w:rStyle w:val="CharDivNo"/>
        </w:rPr>
        <w:t>Division 4</w:t>
      </w:r>
      <w:r>
        <w:rPr>
          <w:snapToGrid w:val="0"/>
        </w:rPr>
        <w:t> — </w:t>
      </w:r>
      <w:r>
        <w:rPr>
          <w:rStyle w:val="CharDivText"/>
        </w:rPr>
        <w:t>Review</w:t>
      </w:r>
      <w:bookmarkEnd w:id="64"/>
      <w:bookmarkEnd w:id="65"/>
      <w:bookmarkEnd w:id="66"/>
      <w:r>
        <w:rPr>
          <w:rStyle w:val="CharDivText"/>
        </w:rPr>
        <w:t xml:space="preserve"> </w:t>
      </w:r>
    </w:p>
    <w:p>
      <w:pPr>
        <w:pStyle w:val="Footnoteheading"/>
        <w:tabs>
          <w:tab w:val="left" w:pos="851"/>
        </w:tabs>
      </w:pPr>
      <w:r>
        <w:tab/>
        <w:t>[Heading amended by No. 55 of 2004 s. 1245.]</w:t>
      </w:r>
    </w:p>
    <w:p>
      <w:pPr>
        <w:pStyle w:val="Heading5"/>
      </w:pPr>
      <w:bookmarkStart w:id="67" w:name="_Toc401156748"/>
      <w:bookmarkStart w:id="68" w:name="_Toc429399290"/>
      <w:r>
        <w:rPr>
          <w:rStyle w:val="CharSectno"/>
        </w:rPr>
        <w:t>23</w:t>
      </w:r>
      <w:r>
        <w:t>.</w:t>
      </w:r>
      <w:r>
        <w:tab/>
        <w:t>Application for review</w:t>
      </w:r>
      <w:bookmarkEnd w:id="67"/>
      <w:bookmarkEnd w:id="68"/>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 or</w:t>
      </w:r>
    </w:p>
    <w:p>
      <w:pPr>
        <w:pStyle w:val="Defpara"/>
      </w:pPr>
      <w:r>
        <w:tab/>
        <w:t>(c)</w:t>
      </w:r>
      <w:r>
        <w:tab/>
        <w:t xml:space="preserve">a person referred to in paragraph (d) of the definition of </w:t>
      </w:r>
      <w:r>
        <w:rPr>
          <w:b/>
          <w:i/>
        </w:rPr>
        <w:t>reviewable decision</w:t>
      </w:r>
      <w:r>
        <w:t>;</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 or</w:t>
      </w:r>
    </w:p>
    <w:p>
      <w:pPr>
        <w:pStyle w:val="Defpara"/>
        <w:keepNext/>
      </w:pPr>
      <w:r>
        <w:tab/>
        <w:t>(b)</w:t>
      </w:r>
      <w:r>
        <w:tab/>
        <w:t>a decision under section 13 to impose or vary a condition; or</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spacing w:before="240"/>
      </w:pPr>
      <w:bookmarkStart w:id="69" w:name="_Toc401156749"/>
      <w:bookmarkStart w:id="70" w:name="_Toc429399291"/>
      <w:r>
        <w:rPr>
          <w:rStyle w:val="CharSectno"/>
        </w:rPr>
        <w:t>24</w:t>
      </w:r>
      <w:r>
        <w:t>.</w:t>
      </w:r>
      <w:r>
        <w:tab/>
        <w:t>Decisions about participation in the Compensation Scheme</w:t>
      </w:r>
      <w:bookmarkEnd w:id="69"/>
      <w:bookmarkEnd w:id="70"/>
    </w:p>
    <w:p>
      <w:pPr>
        <w:pStyle w:val="Subsection"/>
        <w:spacing w:before="180"/>
      </w:pPr>
      <w:r>
        <w:rPr>
          <w:snapToGrid w:val="0"/>
        </w:rPr>
        <w:tab/>
        <w:t>(1)</w:t>
      </w:r>
      <w:r>
        <w:rPr>
          <w:snapToGrid w:val="0"/>
        </w:rPr>
        <w:tab/>
        <w:t>When the State Administrative Tribunal deals with an application for a review of a decision described in paragraph (d) of the definition of</w:t>
      </w:r>
      <w:r>
        <w:t xml:space="preserve"> </w:t>
      </w:r>
      <w:r>
        <w:rPr>
          <w:b/>
          <w:i/>
        </w:rPr>
        <w:t>reviewable decision</w:t>
      </w:r>
      <w:r>
        <w:t xml:space="preserve">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spacing w:before="180"/>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ind w:left="890" w:hanging="890"/>
      </w:pPr>
      <w:r>
        <w:tab/>
        <w:t>[Section 24 inserted by No. 55 of 2004 s. 1247; No. 8 of 2009 s. 125.]</w:t>
      </w:r>
    </w:p>
    <w:p>
      <w:pPr>
        <w:pStyle w:val="Ednotesection"/>
        <w:spacing w:after="360"/>
        <w:ind w:left="890" w:hanging="890"/>
      </w:pPr>
      <w:r>
        <w:t>[</w:t>
      </w:r>
      <w:r>
        <w:rPr>
          <w:b/>
        </w:rPr>
        <w:t>25.</w:t>
      </w:r>
      <w:r>
        <w:tab/>
        <w:t>Deleted by No. 55 of 2004 s. 1248.]</w:t>
      </w:r>
    </w:p>
    <w:p>
      <w:pPr>
        <w:pStyle w:val="Heading3"/>
        <w:rPr>
          <w:snapToGrid w:val="0"/>
        </w:rPr>
      </w:pPr>
      <w:bookmarkStart w:id="71" w:name="_Toc401156750"/>
      <w:bookmarkStart w:id="72" w:name="_Toc424557234"/>
      <w:bookmarkStart w:id="73" w:name="_Toc429399292"/>
      <w:r>
        <w:rPr>
          <w:rStyle w:val="CharDivNo"/>
        </w:rPr>
        <w:t>Division 5</w:t>
      </w:r>
      <w:r>
        <w:rPr>
          <w:snapToGrid w:val="0"/>
        </w:rPr>
        <w:t> — </w:t>
      </w:r>
      <w:r>
        <w:rPr>
          <w:rStyle w:val="CharDivText"/>
        </w:rPr>
        <w:t>Conduct of business</w:t>
      </w:r>
      <w:bookmarkEnd w:id="71"/>
      <w:bookmarkEnd w:id="72"/>
      <w:bookmarkEnd w:id="73"/>
      <w:r>
        <w:rPr>
          <w:rStyle w:val="CharDivText"/>
        </w:rPr>
        <w:t xml:space="preserve"> </w:t>
      </w:r>
    </w:p>
    <w:p>
      <w:pPr>
        <w:pStyle w:val="Heading5"/>
        <w:rPr>
          <w:snapToGrid w:val="0"/>
        </w:rPr>
      </w:pPr>
      <w:bookmarkStart w:id="74" w:name="_Toc401156751"/>
      <w:bookmarkStart w:id="75" w:name="_Toc429399293"/>
      <w:r>
        <w:rPr>
          <w:rStyle w:val="CharSectno"/>
        </w:rPr>
        <w:t>26</w:t>
      </w:r>
      <w:r>
        <w:rPr>
          <w:snapToGrid w:val="0"/>
        </w:rPr>
        <w:t>.</w:t>
      </w:r>
      <w:r>
        <w:rPr>
          <w:snapToGrid w:val="0"/>
        </w:rPr>
        <w:tab/>
        <w:t>Certain particulars to be displayed</w:t>
      </w:r>
      <w:bookmarkEnd w:id="74"/>
      <w:bookmarkEnd w:id="75"/>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76" w:name="_Toc401156752"/>
      <w:bookmarkStart w:id="77" w:name="_Toc429399294"/>
      <w:r>
        <w:rPr>
          <w:rStyle w:val="CharSectno"/>
        </w:rPr>
        <w:t>27</w:t>
      </w:r>
      <w:r>
        <w:rPr>
          <w:snapToGrid w:val="0"/>
        </w:rPr>
        <w:t>.</w:t>
      </w:r>
      <w:r>
        <w:rPr>
          <w:snapToGrid w:val="0"/>
        </w:rPr>
        <w:tab/>
        <w:t>Advertisements</w:t>
      </w:r>
      <w:bookmarkEnd w:id="76"/>
      <w:bookmarkEnd w:id="77"/>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78" w:name="_Toc401156753"/>
      <w:bookmarkStart w:id="79" w:name="_Toc429399295"/>
      <w:r>
        <w:rPr>
          <w:rStyle w:val="CharSectno"/>
        </w:rPr>
        <w:t>28</w:t>
      </w:r>
      <w:r>
        <w:rPr>
          <w:snapToGrid w:val="0"/>
        </w:rPr>
        <w:t>.</w:t>
      </w:r>
      <w:r>
        <w:rPr>
          <w:snapToGrid w:val="0"/>
        </w:rPr>
        <w:tab/>
        <w:t>Name to appear on documents</w:t>
      </w:r>
      <w:bookmarkEnd w:id="78"/>
      <w:bookmarkEnd w:id="79"/>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80" w:name="_Toc401156754"/>
      <w:bookmarkStart w:id="81" w:name="_Toc429399296"/>
      <w:r>
        <w:rPr>
          <w:rStyle w:val="CharSectno"/>
        </w:rPr>
        <w:t>29</w:t>
      </w:r>
      <w:r>
        <w:rPr>
          <w:snapToGrid w:val="0"/>
        </w:rPr>
        <w:t>.</w:t>
      </w:r>
      <w:r>
        <w:rPr>
          <w:snapToGrid w:val="0"/>
        </w:rPr>
        <w:tab/>
        <w:t>Supervision of conduct of business</w:t>
      </w:r>
      <w:bookmarkEnd w:id="80"/>
      <w:bookmarkEnd w:id="81"/>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82" w:name="_Toc401156755"/>
      <w:bookmarkStart w:id="83" w:name="_Toc429399297"/>
      <w:r>
        <w:rPr>
          <w:rStyle w:val="CharSectno"/>
        </w:rPr>
        <w:t>30</w:t>
      </w:r>
      <w:r>
        <w:rPr>
          <w:snapToGrid w:val="0"/>
        </w:rPr>
        <w:t>.</w:t>
      </w:r>
      <w:r>
        <w:rPr>
          <w:snapToGrid w:val="0"/>
        </w:rPr>
        <w:tab/>
        <w:t>Employment of disqualified person</w:t>
      </w:r>
      <w:bookmarkEnd w:id="82"/>
      <w:bookmarkEnd w:id="83"/>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is a person whose adverse qualities were responsible for an individual being refused a licence on the ground referred to in section 12(2)(h) or for a body corporate being refused a licence on a ground referred to in section 12(4)(f), (g) or (h);</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84" w:name="_Toc401156756"/>
      <w:bookmarkStart w:id="85" w:name="_Toc429399298"/>
      <w:r>
        <w:rPr>
          <w:rStyle w:val="CharSectno"/>
        </w:rPr>
        <w:t>31</w:t>
      </w:r>
      <w:r>
        <w:rPr>
          <w:snapToGrid w:val="0"/>
        </w:rPr>
        <w:t>.</w:t>
      </w:r>
      <w:r>
        <w:rPr>
          <w:snapToGrid w:val="0"/>
        </w:rPr>
        <w:tab/>
        <w:t>Certain fees etc. not recoverable</w:t>
      </w:r>
      <w:bookmarkEnd w:id="84"/>
      <w:bookmarkEnd w:id="85"/>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86" w:name="_Toc401156757"/>
      <w:bookmarkStart w:id="87" w:name="_Toc429399299"/>
      <w:r>
        <w:rPr>
          <w:rStyle w:val="CharSectno"/>
        </w:rPr>
        <w:t>32</w:t>
      </w:r>
      <w:r>
        <w:rPr>
          <w:snapToGrid w:val="0"/>
        </w:rPr>
        <w:t>.</w:t>
      </w:r>
      <w:r>
        <w:rPr>
          <w:snapToGrid w:val="0"/>
        </w:rPr>
        <w:tab/>
        <w:t>Forfeiture of illegal profits</w:t>
      </w:r>
      <w:bookmarkEnd w:id="86"/>
      <w:bookmarkEnd w:id="87"/>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 or</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88" w:name="_Toc401156758"/>
      <w:bookmarkStart w:id="89" w:name="_Toc424557242"/>
      <w:bookmarkStart w:id="90" w:name="_Toc429399300"/>
      <w:r>
        <w:rPr>
          <w:rStyle w:val="CharDivNo"/>
        </w:rPr>
        <w:t>Division 6</w:t>
      </w:r>
      <w:r>
        <w:rPr>
          <w:snapToGrid w:val="0"/>
        </w:rPr>
        <w:t> — </w:t>
      </w:r>
      <w:r>
        <w:rPr>
          <w:rStyle w:val="CharDivText"/>
        </w:rPr>
        <w:t>Licences generally</w:t>
      </w:r>
      <w:bookmarkEnd w:id="88"/>
      <w:bookmarkEnd w:id="89"/>
      <w:bookmarkEnd w:id="90"/>
      <w:r>
        <w:rPr>
          <w:rStyle w:val="CharDivText"/>
        </w:rPr>
        <w:t xml:space="preserve"> </w:t>
      </w:r>
    </w:p>
    <w:p>
      <w:pPr>
        <w:pStyle w:val="Heading5"/>
        <w:rPr>
          <w:snapToGrid w:val="0"/>
        </w:rPr>
      </w:pPr>
      <w:bookmarkStart w:id="91" w:name="_Toc401156759"/>
      <w:bookmarkStart w:id="92" w:name="_Toc429399301"/>
      <w:r>
        <w:rPr>
          <w:rStyle w:val="CharSectno"/>
        </w:rPr>
        <w:t>33</w:t>
      </w:r>
      <w:r>
        <w:rPr>
          <w:snapToGrid w:val="0"/>
        </w:rPr>
        <w:t>.</w:t>
      </w:r>
      <w:r>
        <w:rPr>
          <w:snapToGrid w:val="0"/>
        </w:rPr>
        <w:tab/>
        <w:t>Death of licensee</w:t>
      </w:r>
      <w:bookmarkEnd w:id="91"/>
      <w:bookmarkEnd w:id="92"/>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The Commissioner shall grant or refuse the application and, on granting the application, may impose 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93" w:name="_Toc401156760"/>
      <w:bookmarkStart w:id="94" w:name="_Toc429399302"/>
      <w:r>
        <w:rPr>
          <w:rStyle w:val="CharSectno"/>
        </w:rPr>
        <w:t>34</w:t>
      </w:r>
      <w:r>
        <w:rPr>
          <w:snapToGrid w:val="0"/>
        </w:rPr>
        <w:t>.</w:t>
      </w:r>
      <w:r>
        <w:rPr>
          <w:snapToGrid w:val="0"/>
        </w:rPr>
        <w:tab/>
        <w:t>Certain legal representatives temporarily exempted from licensing</w:t>
      </w:r>
      <w:bookmarkEnd w:id="93"/>
      <w:bookmarkEnd w:id="94"/>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95" w:name="_Toc401156761"/>
      <w:bookmarkStart w:id="96" w:name="_Toc429399303"/>
      <w:r>
        <w:rPr>
          <w:rStyle w:val="CharSectno"/>
        </w:rPr>
        <w:t>35</w:t>
      </w:r>
      <w:r>
        <w:rPr>
          <w:snapToGrid w:val="0"/>
        </w:rPr>
        <w:t>.</w:t>
      </w:r>
      <w:r>
        <w:rPr>
          <w:snapToGrid w:val="0"/>
        </w:rPr>
        <w:tab/>
        <w:t>Endorsement of conditions etc. of licence</w:t>
      </w:r>
      <w:bookmarkEnd w:id="95"/>
      <w:bookmarkEnd w:id="96"/>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97" w:name="_Toc401156762"/>
      <w:bookmarkStart w:id="98" w:name="_Toc424557246"/>
      <w:bookmarkStart w:id="99" w:name="_Toc429399304"/>
      <w:r>
        <w:rPr>
          <w:rStyle w:val="CharPartNo"/>
        </w:rPr>
        <w:t>Part III</w:t>
      </w:r>
      <w:r>
        <w:rPr>
          <w:rStyle w:val="CharDivNo"/>
        </w:rPr>
        <w:t> </w:t>
      </w:r>
      <w:r>
        <w:t>—</w:t>
      </w:r>
      <w:r>
        <w:rPr>
          <w:rStyle w:val="CharDivText"/>
        </w:rPr>
        <w:t> </w:t>
      </w:r>
      <w:r>
        <w:rPr>
          <w:rStyle w:val="CharPartText"/>
        </w:rPr>
        <w:t>Unjust conduct by travel agents</w:t>
      </w:r>
      <w:bookmarkEnd w:id="97"/>
      <w:bookmarkEnd w:id="98"/>
      <w:bookmarkEnd w:id="99"/>
      <w:r>
        <w:rPr>
          <w:rStyle w:val="CharPartText"/>
        </w:rPr>
        <w:t xml:space="preserve"> </w:t>
      </w:r>
    </w:p>
    <w:p>
      <w:pPr>
        <w:pStyle w:val="Heading5"/>
        <w:rPr>
          <w:snapToGrid w:val="0"/>
        </w:rPr>
      </w:pPr>
      <w:bookmarkStart w:id="100" w:name="_Toc401156763"/>
      <w:bookmarkStart w:id="101" w:name="_Toc429399305"/>
      <w:r>
        <w:rPr>
          <w:rStyle w:val="CharSectno"/>
        </w:rPr>
        <w:t>36</w:t>
      </w:r>
      <w:r>
        <w:rPr>
          <w:snapToGrid w:val="0"/>
        </w:rPr>
        <w:t>.</w:t>
      </w:r>
      <w:r>
        <w:rPr>
          <w:snapToGrid w:val="0"/>
        </w:rPr>
        <w:tab/>
        <w:t>Interpretation</w:t>
      </w:r>
      <w:bookmarkEnd w:id="100"/>
      <w:bookmarkEnd w:id="101"/>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 or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r>
        <w:tab/>
        <w:t>[Section 36 amended by No. 55 of 2004 s. 1259(2).]</w:t>
      </w:r>
    </w:p>
    <w:p>
      <w:pPr>
        <w:pStyle w:val="Heading5"/>
        <w:rPr>
          <w:snapToGrid w:val="0"/>
        </w:rPr>
      </w:pPr>
      <w:bookmarkStart w:id="102" w:name="_Toc401156764"/>
      <w:bookmarkStart w:id="103" w:name="_Toc429399306"/>
      <w:r>
        <w:rPr>
          <w:rStyle w:val="CharSectno"/>
        </w:rPr>
        <w:t>37</w:t>
      </w:r>
      <w:r>
        <w:rPr>
          <w:snapToGrid w:val="0"/>
        </w:rPr>
        <w:t>.</w:t>
      </w:r>
      <w:r>
        <w:rPr>
          <w:snapToGrid w:val="0"/>
        </w:rPr>
        <w:tab/>
        <w:t>Undertakings by travel agent</w:t>
      </w:r>
      <w:bookmarkEnd w:id="102"/>
      <w:bookmarkEnd w:id="103"/>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 and</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104" w:name="_Toc401156765"/>
      <w:bookmarkStart w:id="105" w:name="_Toc429399307"/>
      <w:r>
        <w:rPr>
          <w:rStyle w:val="CharSectno"/>
        </w:rPr>
        <w:t>38</w:t>
      </w:r>
      <w:r>
        <w:rPr>
          <w:snapToGrid w:val="0"/>
        </w:rPr>
        <w:t>.</w:t>
      </w:r>
      <w:r>
        <w:rPr>
          <w:snapToGrid w:val="0"/>
        </w:rPr>
        <w:tab/>
        <w:t>Register of Undertakings</w:t>
      </w:r>
      <w:bookmarkEnd w:id="104"/>
      <w:bookmarkEnd w:id="105"/>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r>
        <w:tab/>
        <w:t>[Section 38 amended by No. 55 of 2004 s. 1252 and 1259(2).]</w:t>
      </w:r>
    </w:p>
    <w:p>
      <w:pPr>
        <w:pStyle w:val="Heading5"/>
        <w:rPr>
          <w:snapToGrid w:val="0"/>
        </w:rPr>
      </w:pPr>
      <w:bookmarkStart w:id="106" w:name="_Toc401156766"/>
      <w:bookmarkStart w:id="107" w:name="_Toc429399308"/>
      <w:r>
        <w:rPr>
          <w:rStyle w:val="CharSectno"/>
        </w:rPr>
        <w:t>39</w:t>
      </w:r>
      <w:r>
        <w:rPr>
          <w:snapToGrid w:val="0"/>
        </w:rPr>
        <w:t>.</w:t>
      </w:r>
      <w:r>
        <w:rPr>
          <w:snapToGrid w:val="0"/>
        </w:rPr>
        <w:tab/>
        <w:t>Restraint of unjust conduct</w:t>
      </w:r>
      <w:bookmarkEnd w:id="106"/>
      <w:bookmarkEnd w:id="107"/>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w:t>
      </w:r>
      <w:r>
        <w:t xml:space="preserve"> the</w:t>
      </w:r>
      <w:r>
        <w:rPr>
          <w:i/>
        </w:rPr>
        <w:t xml:space="preserve"> </w:t>
      </w:r>
      <w:r>
        <w:rPr>
          <w:rStyle w:val="CharDefText"/>
        </w:rPr>
        <w:t>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r>
        <w:tab/>
        <w:t>[Section 39 amended by No. 55 of 2004 s. 1253 and 1259(2).]</w:t>
      </w:r>
    </w:p>
    <w:p>
      <w:pPr>
        <w:pStyle w:val="Heading5"/>
        <w:rPr>
          <w:snapToGrid w:val="0"/>
        </w:rPr>
      </w:pPr>
      <w:bookmarkStart w:id="108" w:name="_Toc401156767"/>
      <w:bookmarkStart w:id="109" w:name="_Toc429399309"/>
      <w:r>
        <w:rPr>
          <w:rStyle w:val="CharSectno"/>
        </w:rPr>
        <w:t>40</w:t>
      </w:r>
      <w:r>
        <w:rPr>
          <w:snapToGrid w:val="0"/>
        </w:rPr>
        <w:t>.</w:t>
      </w:r>
      <w:r>
        <w:rPr>
          <w:snapToGrid w:val="0"/>
        </w:rPr>
        <w:tab/>
        <w:t>Variation or discharge of restraining order</w:t>
      </w:r>
      <w:bookmarkEnd w:id="108"/>
      <w:bookmarkEnd w:id="109"/>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r>
        <w:tab/>
        <w:t>[Section 40 amended by No. 55 of 2004 s. 1259(2).]</w:t>
      </w:r>
    </w:p>
    <w:p>
      <w:pPr>
        <w:pStyle w:val="Heading2"/>
      </w:pPr>
      <w:bookmarkStart w:id="110" w:name="_Toc401156768"/>
      <w:bookmarkStart w:id="111" w:name="_Toc424557252"/>
      <w:bookmarkStart w:id="112" w:name="_Toc429399310"/>
      <w:r>
        <w:rPr>
          <w:rStyle w:val="CharPartNo"/>
        </w:rPr>
        <w:t>Part IV</w:t>
      </w:r>
      <w:r>
        <w:rPr>
          <w:rStyle w:val="CharDivNo"/>
        </w:rPr>
        <w:t> </w:t>
      </w:r>
      <w:r>
        <w:t>—</w:t>
      </w:r>
      <w:r>
        <w:rPr>
          <w:rStyle w:val="CharDivText"/>
        </w:rPr>
        <w:t> </w:t>
      </w:r>
      <w:r>
        <w:rPr>
          <w:rStyle w:val="CharPartText"/>
        </w:rPr>
        <w:t>General</w:t>
      </w:r>
      <w:bookmarkEnd w:id="110"/>
      <w:bookmarkEnd w:id="111"/>
      <w:bookmarkEnd w:id="112"/>
      <w:r>
        <w:rPr>
          <w:rStyle w:val="CharPartText"/>
        </w:rPr>
        <w:t xml:space="preserve"> </w:t>
      </w:r>
    </w:p>
    <w:p>
      <w:pPr>
        <w:pStyle w:val="Heading5"/>
        <w:rPr>
          <w:snapToGrid w:val="0"/>
        </w:rPr>
      </w:pPr>
      <w:bookmarkStart w:id="113" w:name="_Toc401156769"/>
      <w:bookmarkStart w:id="114" w:name="_Toc429399311"/>
      <w:r>
        <w:rPr>
          <w:rStyle w:val="CharSectno"/>
        </w:rPr>
        <w:t>41</w:t>
      </w:r>
      <w:r>
        <w:rPr>
          <w:snapToGrid w:val="0"/>
        </w:rPr>
        <w:t>.</w:t>
      </w:r>
      <w:r>
        <w:rPr>
          <w:snapToGrid w:val="0"/>
        </w:rPr>
        <w:tab/>
        <w:t>Accounts and records to be kept by travel agent</w:t>
      </w:r>
      <w:bookmarkEnd w:id="113"/>
      <w:bookmarkEnd w:id="114"/>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 and</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 and</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 and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r>
        <w:t>[</w:t>
      </w:r>
      <w:r>
        <w:rPr>
          <w:b/>
        </w:rPr>
        <w:t>42</w:t>
      </w:r>
      <w:r>
        <w:rPr>
          <w:b/>
        </w:rPr>
        <w:noBreakHyphen/>
        <w:t>47.</w:t>
      </w:r>
      <w:r>
        <w:tab/>
        <w:t>Deleted by No. 55 of 2004 s. 1254.]</w:t>
      </w:r>
    </w:p>
    <w:p>
      <w:pPr>
        <w:pStyle w:val="Heading5"/>
        <w:rPr>
          <w:snapToGrid w:val="0"/>
        </w:rPr>
      </w:pPr>
      <w:bookmarkStart w:id="115" w:name="_Toc401156770"/>
      <w:bookmarkStart w:id="116" w:name="_Toc429399312"/>
      <w:r>
        <w:rPr>
          <w:rStyle w:val="CharSectno"/>
        </w:rPr>
        <w:t>48</w:t>
      </w:r>
      <w:r>
        <w:rPr>
          <w:snapToGrid w:val="0"/>
        </w:rPr>
        <w:t>.</w:t>
      </w:r>
      <w:r>
        <w:rPr>
          <w:snapToGrid w:val="0"/>
        </w:rPr>
        <w:tab/>
        <w:t>Other rights and remedies not affected by this Act</w:t>
      </w:r>
      <w:bookmarkEnd w:id="115"/>
      <w:bookmarkEnd w:id="116"/>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117" w:name="_Toc401156771"/>
      <w:bookmarkStart w:id="118" w:name="_Toc429399313"/>
      <w:r>
        <w:rPr>
          <w:rStyle w:val="CharSectno"/>
        </w:rPr>
        <w:t>49</w:t>
      </w:r>
      <w:r>
        <w:rPr>
          <w:snapToGrid w:val="0"/>
        </w:rPr>
        <w:t>.</w:t>
      </w:r>
      <w:r>
        <w:rPr>
          <w:snapToGrid w:val="0"/>
        </w:rPr>
        <w:tab/>
        <w:t>Compensation Trustees to have certain rights by subrogation and otherwise</w:t>
      </w:r>
      <w:bookmarkEnd w:id="117"/>
      <w:bookmarkEnd w:id="118"/>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w:t>
      </w:r>
      <w:r>
        <w:t>called the</w:t>
      </w:r>
      <w:r>
        <w:rPr>
          <w:i/>
        </w:rPr>
        <w:t xml:space="preserve"> </w:t>
      </w:r>
      <w:r>
        <w:rPr>
          <w:rStyle w:val="CharDefText"/>
        </w:rPr>
        <w:t>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119" w:name="_Toc401156772"/>
      <w:bookmarkStart w:id="120" w:name="_Toc429399314"/>
      <w:r>
        <w:rPr>
          <w:rStyle w:val="CharSectno"/>
        </w:rPr>
        <w:t>49A</w:t>
      </w:r>
      <w:r>
        <w:t>.</w:t>
      </w:r>
      <w:r>
        <w:tab/>
        <w:t>Commissioner</w:t>
      </w:r>
      <w:bookmarkEnd w:id="119"/>
      <w:bookmarkEnd w:id="12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121" w:name="_Toc401156773"/>
      <w:bookmarkStart w:id="122" w:name="_Toc429399315"/>
      <w:r>
        <w:rPr>
          <w:rStyle w:val="CharSectno"/>
        </w:rPr>
        <w:t>50</w:t>
      </w:r>
      <w:r>
        <w:rPr>
          <w:snapToGrid w:val="0"/>
        </w:rPr>
        <w:t>.</w:t>
      </w:r>
      <w:r>
        <w:rPr>
          <w:snapToGrid w:val="0"/>
        </w:rPr>
        <w:tab/>
        <w:t>Delegation</w:t>
      </w:r>
      <w:bookmarkEnd w:id="121"/>
      <w:bookmarkEnd w:id="122"/>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123" w:name="_Toc401156774"/>
      <w:bookmarkStart w:id="124" w:name="_Toc429399316"/>
      <w:r>
        <w:rPr>
          <w:rStyle w:val="CharSectno"/>
        </w:rPr>
        <w:t>50A</w:t>
      </w:r>
      <w:r>
        <w:t>.</w:t>
      </w:r>
      <w:r>
        <w:tab/>
        <w:t>Protection from liability for wrongdoing</w:t>
      </w:r>
      <w:bookmarkEnd w:id="123"/>
      <w:bookmarkEnd w:id="124"/>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125" w:name="_Toc401156775"/>
      <w:bookmarkStart w:id="126" w:name="_Toc429399317"/>
      <w:r>
        <w:rPr>
          <w:rStyle w:val="CharSectno"/>
        </w:rPr>
        <w:t>51</w:t>
      </w:r>
      <w:r>
        <w:rPr>
          <w:snapToGrid w:val="0"/>
        </w:rPr>
        <w:t>.</w:t>
      </w:r>
      <w:r>
        <w:rPr>
          <w:snapToGrid w:val="0"/>
        </w:rPr>
        <w:tab/>
        <w:t>Legal action by Compensation Trustees</w:t>
      </w:r>
      <w:bookmarkEnd w:id="125"/>
      <w:bookmarkEnd w:id="126"/>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127" w:name="_Toc401156776"/>
      <w:bookmarkStart w:id="128" w:name="_Toc429399318"/>
      <w:r>
        <w:rPr>
          <w:rStyle w:val="CharSectno"/>
        </w:rPr>
        <w:t>52</w:t>
      </w:r>
      <w:r>
        <w:rPr>
          <w:snapToGrid w:val="0"/>
        </w:rPr>
        <w:t>.</w:t>
      </w:r>
      <w:r>
        <w:rPr>
          <w:snapToGrid w:val="0"/>
        </w:rPr>
        <w:tab/>
        <w:t>Secrecy</w:t>
      </w:r>
      <w:bookmarkEnd w:id="127"/>
      <w:bookmarkEnd w:id="128"/>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 or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 or</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 or</w:t>
      </w:r>
    </w:p>
    <w:p>
      <w:pPr>
        <w:pStyle w:val="Indenta"/>
      </w:pPr>
      <w:r>
        <w:tab/>
        <w:t>(b)</w:t>
      </w:r>
      <w:r>
        <w:tab/>
        <w:t>under this Act; or</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 or</w:t>
      </w:r>
    </w:p>
    <w:p>
      <w:pPr>
        <w:pStyle w:val="Indenta"/>
      </w:pPr>
      <w:r>
        <w:tab/>
        <w:t>(d)</w:t>
      </w:r>
      <w:r>
        <w:tab/>
        <w:t>for the purposes of the investigation of any suspected offence or the conduct of proceedings against any person for an offence; or</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129" w:name="_Toc401156777"/>
      <w:bookmarkStart w:id="130" w:name="_Toc429399319"/>
      <w:r>
        <w:rPr>
          <w:rStyle w:val="CharSectno"/>
        </w:rPr>
        <w:t>53</w:t>
      </w:r>
      <w:r>
        <w:rPr>
          <w:snapToGrid w:val="0"/>
        </w:rPr>
        <w:t>.</w:t>
      </w:r>
      <w:r>
        <w:rPr>
          <w:snapToGrid w:val="0"/>
        </w:rPr>
        <w:tab/>
        <w:t>Injunctions</w:t>
      </w:r>
      <w:bookmarkEnd w:id="129"/>
      <w:bookmarkEnd w:id="130"/>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w:t>
      </w:r>
      <w:r>
        <w:t>called the</w:t>
      </w:r>
      <w:r>
        <w:rPr>
          <w:i/>
        </w:rPr>
        <w:t xml:space="preserve"> </w:t>
      </w:r>
      <w:r>
        <w:rPr>
          <w:rStyle w:val="CharDefText"/>
        </w:rPr>
        <w:t>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 or</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 or</w:t>
      </w:r>
    </w:p>
    <w:p>
      <w:pPr>
        <w:pStyle w:val="Indenti"/>
        <w:rPr>
          <w:snapToGrid w:val="0"/>
        </w:rPr>
      </w:pPr>
      <w:r>
        <w:rPr>
          <w:snapToGrid w:val="0"/>
        </w:rPr>
        <w:tab/>
        <w:t>(ii)</w:t>
      </w:r>
      <w:r>
        <w:rPr>
          <w:snapToGrid w:val="0"/>
        </w:rPr>
        <w:tab/>
        <w:t>aiding, abetting, counselling or procuring a person to contravene that provision; or</w:t>
      </w:r>
    </w:p>
    <w:p>
      <w:pPr>
        <w:pStyle w:val="Indenti"/>
        <w:rPr>
          <w:snapToGrid w:val="0"/>
        </w:rPr>
      </w:pPr>
      <w:r>
        <w:rPr>
          <w:snapToGrid w:val="0"/>
        </w:rPr>
        <w:tab/>
        <w:t>(iii)</w:t>
      </w:r>
      <w:r>
        <w:rPr>
          <w:snapToGrid w:val="0"/>
        </w:rPr>
        <w:tab/>
        <w:t>inducing, or attempting to induce, a person, whether by threats or promises or otherwise, to contravene that provision; or</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r>
        <w:t>[</w:t>
      </w:r>
      <w:r>
        <w:rPr>
          <w:b/>
        </w:rPr>
        <w:t>54.</w:t>
      </w:r>
      <w:r>
        <w:tab/>
        <w:t>Deleted by No. 55 of 2004 s. 1256.]</w:t>
      </w:r>
    </w:p>
    <w:p>
      <w:pPr>
        <w:pStyle w:val="Heading5"/>
        <w:rPr>
          <w:snapToGrid w:val="0"/>
        </w:rPr>
      </w:pPr>
      <w:bookmarkStart w:id="131" w:name="_Toc401156778"/>
      <w:bookmarkStart w:id="132" w:name="_Toc429399320"/>
      <w:r>
        <w:rPr>
          <w:rStyle w:val="CharSectno"/>
        </w:rPr>
        <w:t>55</w:t>
      </w:r>
      <w:r>
        <w:rPr>
          <w:snapToGrid w:val="0"/>
        </w:rPr>
        <w:t>.</w:t>
      </w:r>
      <w:r>
        <w:rPr>
          <w:snapToGrid w:val="0"/>
        </w:rPr>
        <w:tab/>
        <w:t>Limitation period for prosecutions</w:t>
      </w:r>
      <w:bookmarkEnd w:id="131"/>
      <w:bookmarkEnd w:id="132"/>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133" w:name="_Toc401156779"/>
      <w:bookmarkStart w:id="134" w:name="_Toc429399321"/>
      <w:r>
        <w:rPr>
          <w:rStyle w:val="CharSectno"/>
        </w:rPr>
        <w:t>56</w:t>
      </w:r>
      <w:r>
        <w:rPr>
          <w:snapToGrid w:val="0"/>
        </w:rPr>
        <w:t>.</w:t>
      </w:r>
      <w:r>
        <w:rPr>
          <w:snapToGrid w:val="0"/>
        </w:rPr>
        <w:tab/>
        <w:t>General penalty</w:t>
      </w:r>
      <w:bookmarkEnd w:id="133"/>
      <w:bookmarkEnd w:id="134"/>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135" w:name="_Toc401156780"/>
      <w:bookmarkStart w:id="136" w:name="_Toc429399322"/>
      <w:r>
        <w:rPr>
          <w:rStyle w:val="CharSectno"/>
        </w:rPr>
        <w:t>57</w:t>
      </w:r>
      <w:r>
        <w:rPr>
          <w:snapToGrid w:val="0"/>
        </w:rPr>
        <w:t>.</w:t>
      </w:r>
      <w:r>
        <w:rPr>
          <w:snapToGrid w:val="0"/>
        </w:rPr>
        <w:tab/>
        <w:t>Liability of directors and others when offence committed by body corporate</w:t>
      </w:r>
      <w:bookmarkEnd w:id="135"/>
      <w:bookmarkEnd w:id="136"/>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137" w:name="_Toc401156781"/>
      <w:bookmarkStart w:id="138" w:name="_Toc429399323"/>
      <w:r>
        <w:rPr>
          <w:rStyle w:val="CharSectno"/>
        </w:rPr>
        <w:t>58</w:t>
      </w:r>
      <w:r>
        <w:rPr>
          <w:snapToGrid w:val="0"/>
        </w:rPr>
        <w:t>.</w:t>
      </w:r>
      <w:r>
        <w:rPr>
          <w:snapToGrid w:val="0"/>
        </w:rPr>
        <w:tab/>
        <w:t>Annual report</w:t>
      </w:r>
      <w:bookmarkEnd w:id="137"/>
      <w:bookmarkEnd w:id="138"/>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r>
        <w:tab/>
        <w:t>[Section 58 amended by No. 55 of 2004 s. 1257.]</w:t>
      </w:r>
    </w:p>
    <w:p>
      <w:pPr>
        <w:pStyle w:val="Heading5"/>
        <w:rPr>
          <w:snapToGrid w:val="0"/>
        </w:rPr>
      </w:pPr>
      <w:bookmarkStart w:id="139" w:name="_Toc401156782"/>
      <w:bookmarkStart w:id="140" w:name="_Toc429399324"/>
      <w:r>
        <w:rPr>
          <w:rStyle w:val="CharSectno"/>
        </w:rPr>
        <w:t>59</w:t>
      </w:r>
      <w:r>
        <w:rPr>
          <w:snapToGrid w:val="0"/>
        </w:rPr>
        <w:t>.</w:t>
      </w:r>
      <w:r>
        <w:rPr>
          <w:snapToGrid w:val="0"/>
        </w:rPr>
        <w:tab/>
        <w:t>Regulations</w:t>
      </w:r>
      <w:bookmarkEnd w:id="139"/>
      <w:bookmarkEnd w:id="14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 and</w:t>
      </w:r>
    </w:p>
    <w:p>
      <w:pPr>
        <w:pStyle w:val="Indenta"/>
        <w:rPr>
          <w:snapToGrid w:val="0"/>
        </w:rPr>
      </w:pPr>
      <w:r>
        <w:rPr>
          <w:snapToGrid w:val="0"/>
        </w:rPr>
        <w:tab/>
        <w:t>(b)</w:t>
      </w:r>
      <w:r>
        <w:rPr>
          <w:snapToGrid w:val="0"/>
        </w:rPr>
        <w:tab/>
        <w:t>prescribe the procedure to be followed on applications and other proceedings under this Act; and</w:t>
      </w:r>
    </w:p>
    <w:p>
      <w:pPr>
        <w:pStyle w:val="Indenta"/>
        <w:rPr>
          <w:snapToGrid w:val="0"/>
        </w:rPr>
      </w:pPr>
      <w:r>
        <w:rPr>
          <w:snapToGrid w:val="0"/>
        </w:rPr>
        <w:tab/>
        <w:t>(c)</w:t>
      </w:r>
      <w:r>
        <w:rPr>
          <w:snapToGrid w:val="0"/>
        </w:rPr>
        <w:tab/>
        <w:t>prescribe the functions of the Commissioner in relation to this Act; and</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 and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 and</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141" w:name="_Toc401156783"/>
      <w:bookmarkStart w:id="142" w:name="_Toc429399325"/>
      <w:r>
        <w:rPr>
          <w:rStyle w:val="CharSectno"/>
        </w:rPr>
        <w:t>60</w:t>
      </w:r>
      <w:r>
        <w:rPr>
          <w:snapToGrid w:val="0"/>
        </w:rPr>
        <w:t>.</w:t>
      </w:r>
      <w:r>
        <w:rPr>
          <w:snapToGrid w:val="0"/>
        </w:rPr>
        <w:tab/>
        <w:t>Amendment of Schedule</w:t>
      </w:r>
      <w:bookmarkEnd w:id="141"/>
      <w:bookmarkEnd w:id="142"/>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 or</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Heading2"/>
      </w:pPr>
      <w:bookmarkStart w:id="143" w:name="_Toc401156784"/>
      <w:bookmarkStart w:id="144" w:name="_Toc424557268"/>
      <w:bookmarkStart w:id="145" w:name="_Toc429399326"/>
      <w:r>
        <w:rPr>
          <w:rStyle w:val="CharPartNo"/>
        </w:rPr>
        <w:t>Part V</w:t>
      </w:r>
      <w:r>
        <w:rPr>
          <w:b w:val="0"/>
        </w:rPr>
        <w:t> </w:t>
      </w:r>
      <w:r>
        <w:t>—</w:t>
      </w:r>
      <w:r>
        <w:rPr>
          <w:b w:val="0"/>
        </w:rPr>
        <w:t> </w:t>
      </w:r>
      <w:r>
        <w:rPr>
          <w:rStyle w:val="CharPartText"/>
        </w:rPr>
        <w:t>Expiry of Act and related transitional arrangements</w:t>
      </w:r>
      <w:bookmarkEnd w:id="143"/>
      <w:bookmarkEnd w:id="144"/>
      <w:bookmarkEnd w:id="145"/>
    </w:p>
    <w:p>
      <w:pPr>
        <w:pStyle w:val="Footnoteheading"/>
      </w:pPr>
      <w:r>
        <w:tab/>
        <w:t>[Heading inserted by No. 21 of 2014 s. 7.]</w:t>
      </w:r>
    </w:p>
    <w:p>
      <w:pPr>
        <w:pStyle w:val="Heading3"/>
      </w:pPr>
      <w:bookmarkStart w:id="146" w:name="_Toc401156785"/>
      <w:bookmarkStart w:id="147" w:name="_Toc424557269"/>
      <w:bookmarkStart w:id="148" w:name="_Toc429399327"/>
      <w:r>
        <w:rPr>
          <w:rStyle w:val="CharDivNo"/>
        </w:rPr>
        <w:t>Division 1</w:t>
      </w:r>
      <w:r>
        <w:t> — </w:t>
      </w:r>
      <w:r>
        <w:rPr>
          <w:rStyle w:val="CharDivText"/>
        </w:rPr>
        <w:t>Expiry of Act</w:t>
      </w:r>
      <w:bookmarkEnd w:id="146"/>
      <w:bookmarkEnd w:id="147"/>
      <w:bookmarkEnd w:id="148"/>
    </w:p>
    <w:p>
      <w:pPr>
        <w:pStyle w:val="Footnoteheading"/>
      </w:pPr>
      <w:r>
        <w:tab/>
        <w:t>[Heading inserted by No. 21 of 2014 s. 7.]</w:t>
      </w:r>
    </w:p>
    <w:p>
      <w:pPr>
        <w:pStyle w:val="Heading5"/>
      </w:pPr>
      <w:bookmarkStart w:id="149" w:name="_Toc401156786"/>
      <w:bookmarkStart w:id="150" w:name="_Toc429399328"/>
      <w:r>
        <w:rPr>
          <w:rStyle w:val="CharSectno"/>
        </w:rPr>
        <w:t>61</w:t>
      </w:r>
      <w:r>
        <w:t>.</w:t>
      </w:r>
      <w:r>
        <w:tab/>
        <w:t>When Act to expire</w:t>
      </w:r>
      <w:bookmarkEnd w:id="149"/>
      <w:bookmarkEnd w:id="150"/>
    </w:p>
    <w:p>
      <w:pPr>
        <w:pStyle w:val="Subsection"/>
      </w:pPr>
      <w:r>
        <w:tab/>
        <w:t>(1)</w:t>
      </w:r>
      <w:r>
        <w:tab/>
        <w:t>This Act expires as stated in the notice published under subsection (2).</w:t>
      </w:r>
    </w:p>
    <w:p>
      <w:pPr>
        <w:pStyle w:val="Subsection"/>
      </w:pPr>
      <w:r>
        <w:tab/>
        <w:t>(2)</w:t>
      </w:r>
      <w:r>
        <w:tab/>
        <w:t xml:space="preserve">When satisfied of the matters specified in subsection (3), the Minister must publish a notice in the </w:t>
      </w:r>
      <w:r>
        <w:rPr>
          <w:i/>
        </w:rPr>
        <w:t>Gazette</w:t>
      </w:r>
      <w:r>
        <w:t xml:space="preserve"> stating — </w:t>
      </w:r>
    </w:p>
    <w:p>
      <w:pPr>
        <w:pStyle w:val="Indenta"/>
      </w:pPr>
      <w:r>
        <w:tab/>
        <w:t>(a)</w:t>
      </w:r>
      <w:r>
        <w:tab/>
        <w:t>that the Minister is satisfied of those matters; and</w:t>
      </w:r>
    </w:p>
    <w:p>
      <w:pPr>
        <w:pStyle w:val="Indenta"/>
      </w:pPr>
      <w:r>
        <w:tab/>
        <w:t>(b)</w:t>
      </w:r>
      <w:r>
        <w:tab/>
        <w:t>that this Act expires at the end of the day specified in the notice.</w:t>
      </w:r>
    </w:p>
    <w:p>
      <w:pPr>
        <w:pStyle w:val="Subsection"/>
      </w:pPr>
      <w:r>
        <w:tab/>
        <w:t>(3)</w:t>
      </w:r>
      <w:r>
        <w:tab/>
        <w:t xml:space="preserve">For subsection (2), the Minister must be satisfied — </w:t>
      </w:r>
    </w:p>
    <w:p>
      <w:pPr>
        <w:pStyle w:val="Indenta"/>
      </w:pPr>
      <w:r>
        <w:tab/>
        <w:t>(a)</w:t>
      </w:r>
      <w:r>
        <w:tab/>
        <w:t>that the Compensation Scheme has been terminated in accordance with the Trust Deed; and</w:t>
      </w:r>
    </w:p>
    <w:p>
      <w:pPr>
        <w:pStyle w:val="Indenta"/>
      </w:pPr>
      <w:r>
        <w:tab/>
        <w:t>(b)</w:t>
      </w:r>
      <w:r>
        <w:tab/>
        <w:t>that there is no reason for this Act to continue.</w:t>
      </w:r>
    </w:p>
    <w:p>
      <w:pPr>
        <w:pStyle w:val="Footnotesection"/>
      </w:pPr>
      <w:r>
        <w:tab/>
        <w:t>[Section 61 inserted by No. 21 of 2014 s. 7.]</w:t>
      </w:r>
    </w:p>
    <w:p>
      <w:pPr>
        <w:pStyle w:val="Heading3"/>
      </w:pPr>
      <w:bookmarkStart w:id="151" w:name="_Toc401156787"/>
      <w:bookmarkStart w:id="152" w:name="_Toc424557271"/>
      <w:bookmarkStart w:id="153" w:name="_Toc429399329"/>
      <w:r>
        <w:rPr>
          <w:rStyle w:val="CharDivNo"/>
        </w:rPr>
        <w:t>Division 2</w:t>
      </w:r>
      <w:r>
        <w:t> — </w:t>
      </w:r>
      <w:r>
        <w:rPr>
          <w:rStyle w:val="CharDivText"/>
        </w:rPr>
        <w:t>Transitional arrangements on and after transition day</w:t>
      </w:r>
      <w:bookmarkEnd w:id="151"/>
      <w:bookmarkEnd w:id="152"/>
      <w:bookmarkEnd w:id="153"/>
    </w:p>
    <w:p>
      <w:pPr>
        <w:pStyle w:val="Footnoteheading"/>
      </w:pPr>
      <w:r>
        <w:tab/>
        <w:t>[Heading inserted by No. 21 of 2014 s. 7.]</w:t>
      </w:r>
    </w:p>
    <w:p>
      <w:pPr>
        <w:pStyle w:val="Heading5"/>
      </w:pPr>
      <w:bookmarkStart w:id="154" w:name="_Toc401156788"/>
      <w:bookmarkStart w:id="155" w:name="_Toc429399330"/>
      <w:r>
        <w:rPr>
          <w:rStyle w:val="CharSectno"/>
        </w:rPr>
        <w:t>62</w:t>
      </w:r>
      <w:r>
        <w:t>.</w:t>
      </w:r>
      <w:r>
        <w:tab/>
        <w:t>Purposes for which Act continues to apply</w:t>
      </w:r>
      <w:bookmarkEnd w:id="154"/>
      <w:bookmarkEnd w:id="155"/>
    </w:p>
    <w:p>
      <w:pPr>
        <w:pStyle w:val="Subsection"/>
      </w:pPr>
      <w:r>
        <w:tab/>
      </w:r>
      <w:r>
        <w:tab/>
        <w:t xml:space="preserve">This Act continues to apply on and after transition day for the following purposes — </w:t>
      </w:r>
    </w:p>
    <w:p>
      <w:pPr>
        <w:pStyle w:val="Indenta"/>
      </w:pPr>
      <w:r>
        <w:tab/>
        <w:t>(a)</w:t>
      </w:r>
      <w:r>
        <w:tab/>
        <w:t>the assessment of claims for, and the payment of, compensation under the Compensation Scheme in respect of any act done or omission made before transition day;</w:t>
      </w:r>
    </w:p>
    <w:p>
      <w:pPr>
        <w:pStyle w:val="Indenta"/>
      </w:pPr>
      <w:r>
        <w:tab/>
        <w:t>(b)</w:t>
      </w:r>
      <w:r>
        <w:tab/>
        <w:t>the investigation of, or inquiry into, any matter by the Commissioner under Part II Division 3 the grounds for which arose before transition day;</w:t>
      </w:r>
    </w:p>
    <w:p>
      <w:pPr>
        <w:pStyle w:val="Indenta"/>
      </w:pPr>
      <w:r>
        <w:tab/>
        <w:t>(c)</w:t>
      </w:r>
      <w:r>
        <w:tab/>
        <w:t>the request for, the giving of and compliance with undertakings under section 37 in connection with unjust conduct allegedly engaged in before transition day;</w:t>
      </w:r>
    </w:p>
    <w:p>
      <w:pPr>
        <w:pStyle w:val="Indenta"/>
      </w:pPr>
      <w:r>
        <w:tab/>
        <w:t>(d)</w:t>
      </w:r>
      <w:r>
        <w:tab/>
        <w:t>the investigation and prosecution of any offence under this Act alleged to have been committed before transition day;</w:t>
      </w:r>
    </w:p>
    <w:p>
      <w:pPr>
        <w:pStyle w:val="Indenta"/>
      </w:pPr>
      <w:r>
        <w:tab/>
        <w:t>(e)</w:t>
      </w:r>
      <w:r>
        <w:tab/>
        <w:t>the giving and withdrawal of, and the payment of the modified penalty specified in, any infringement notice in respect of any offence under this Act alleged to have been committed before transition day;</w:t>
      </w:r>
    </w:p>
    <w:p>
      <w:pPr>
        <w:pStyle w:val="Indenta"/>
      </w:pPr>
      <w:r>
        <w:tab/>
        <w:t>(f)</w:t>
      </w:r>
      <w:r>
        <w:tab/>
        <w:t>the commencement, conduct and disposal of proceedings before the State Administrative Tribunal under Part II Division 3 in respect of any allegation the grounds for which arose before transition day;</w:t>
      </w:r>
    </w:p>
    <w:p>
      <w:pPr>
        <w:pStyle w:val="Indenta"/>
      </w:pPr>
      <w:r>
        <w:tab/>
        <w:t>(g)</w:t>
      </w:r>
      <w:r>
        <w:tab/>
        <w:t>the review by the State Administrative Tribunal under Part II Division 4 of any reviewable decision made before transition day;</w:t>
      </w:r>
    </w:p>
    <w:p>
      <w:pPr>
        <w:pStyle w:val="Indenta"/>
      </w:pPr>
      <w:r>
        <w:tab/>
        <w:t>(h)</w:t>
      </w:r>
      <w:r>
        <w:tab/>
        <w:t xml:space="preserve">the commencement, conduct and disposal of proceedings before the State Administrative Tribunal under Part III in respect of — </w:t>
      </w:r>
    </w:p>
    <w:p>
      <w:pPr>
        <w:pStyle w:val="Indenti"/>
      </w:pPr>
      <w:r>
        <w:tab/>
        <w:t>(i)</w:t>
      </w:r>
      <w:r>
        <w:tab/>
        <w:t>any unjust conduct engaged in before transition day; or</w:t>
      </w:r>
    </w:p>
    <w:p>
      <w:pPr>
        <w:pStyle w:val="Indenti"/>
      </w:pPr>
      <w:r>
        <w:tab/>
        <w:t>(ii)</w:t>
      </w:r>
      <w:r>
        <w:tab/>
        <w:t>any failure to observe an undertaking whenever given.</w:t>
      </w:r>
    </w:p>
    <w:p>
      <w:pPr>
        <w:pStyle w:val="Footnotesection"/>
      </w:pPr>
      <w:r>
        <w:tab/>
        <w:t>[Section 62 inserted by No. 21 of 2014 s. 7.]</w:t>
      </w:r>
    </w:p>
    <w:p>
      <w:pPr>
        <w:pStyle w:val="Heading5"/>
      </w:pPr>
      <w:bookmarkStart w:id="156" w:name="_Toc401156789"/>
      <w:bookmarkStart w:id="157" w:name="_Toc429399331"/>
      <w:r>
        <w:rPr>
          <w:rStyle w:val="CharSectno"/>
        </w:rPr>
        <w:t>63</w:t>
      </w:r>
      <w:r>
        <w:t>.</w:t>
      </w:r>
      <w:r>
        <w:tab/>
        <w:t>Refund of licence fees</w:t>
      </w:r>
      <w:bookmarkEnd w:id="156"/>
      <w:bookmarkEnd w:id="157"/>
    </w:p>
    <w:p>
      <w:pPr>
        <w:pStyle w:val="Subsection"/>
      </w:pPr>
      <w:r>
        <w:tab/>
        <w:t>(1)</w:t>
      </w:r>
      <w:r>
        <w:tab/>
        <w:t xml:space="preserve">In this section — </w:t>
      </w:r>
    </w:p>
    <w:p>
      <w:pPr>
        <w:pStyle w:val="Defstart"/>
      </w:pPr>
      <w:r>
        <w:tab/>
      </w:r>
      <w:r>
        <w:rPr>
          <w:rStyle w:val="CharDefText"/>
        </w:rPr>
        <w:t>licence fee</w:t>
      </w:r>
      <w:r>
        <w:t xml:space="preserve">, for a licence, means — </w:t>
      </w:r>
    </w:p>
    <w:p>
      <w:pPr>
        <w:pStyle w:val="Defpara"/>
      </w:pPr>
      <w:r>
        <w:tab/>
        <w:t>(a)</w:t>
      </w:r>
      <w:r>
        <w:tab/>
        <w:t>the prescribed fee for the licence referred to in sections 9(2) and 12(7)(b)(i); or</w:t>
      </w:r>
    </w:p>
    <w:p>
      <w:pPr>
        <w:pStyle w:val="Defpara"/>
      </w:pPr>
      <w:r>
        <w:tab/>
        <w:t>(b)</w:t>
      </w:r>
      <w:r>
        <w:tab/>
        <w:t>the prescribed fee for the licence referred to in section 19(1);</w:t>
      </w:r>
    </w:p>
    <w:p>
      <w:pPr>
        <w:pStyle w:val="Defstart"/>
      </w:pPr>
      <w:r>
        <w:tab/>
      </w:r>
      <w:r>
        <w:rPr>
          <w:rStyle w:val="CharDefText"/>
        </w:rPr>
        <w:t>licence period</w:t>
      </w:r>
      <w:r>
        <w:t>, for a licence, means the period (expressed in days) in respect of which a licence fee for the licence was last paid before transition day;</w:t>
      </w:r>
    </w:p>
    <w:p>
      <w:pPr>
        <w:pStyle w:val="Defstart"/>
      </w:pPr>
      <w:r>
        <w:tab/>
      </w:r>
      <w:r>
        <w:rPr>
          <w:rStyle w:val="CharDefText"/>
        </w:rPr>
        <w:t>refundable portion</w:t>
      </w:r>
      <w:r>
        <w:t>, of a licence fee, means so much of the licence fee as is in the same proportion to the licence fee as the unexpired portion of the licence period is to the licence period;</w:t>
      </w:r>
    </w:p>
    <w:p>
      <w:pPr>
        <w:pStyle w:val="Defstart"/>
      </w:pPr>
      <w:r>
        <w:tab/>
      </w:r>
      <w:r>
        <w:rPr>
          <w:rStyle w:val="CharDefText"/>
        </w:rPr>
        <w:t>unexpired portion</w:t>
      </w:r>
      <w:r>
        <w:t xml:space="preserve">, of a licence period, means — </w:t>
      </w:r>
    </w:p>
    <w:p>
      <w:pPr>
        <w:pStyle w:val="Defpara"/>
      </w:pPr>
      <w:r>
        <w:tab/>
        <w:t>(a)</w:t>
      </w:r>
      <w:r>
        <w:tab/>
        <w:t>if the licence period had commenced but not expired before transition day — the portion (expressed in days) of the licence period that had not expired before transition day; or</w:t>
      </w:r>
    </w:p>
    <w:p>
      <w:pPr>
        <w:pStyle w:val="Defpara"/>
      </w:pPr>
      <w:r>
        <w:tab/>
        <w:t>(b)</w:t>
      </w:r>
      <w:r>
        <w:tab/>
        <w:t>if the licence period had not commenced before transition day — the licence period.</w:t>
      </w:r>
    </w:p>
    <w:p>
      <w:pPr>
        <w:pStyle w:val="Subsection"/>
      </w:pPr>
      <w:r>
        <w:tab/>
        <w:t>(2)</w:t>
      </w:r>
      <w:r>
        <w:tab/>
        <w:t>Subsection (3) applies if, immediately before transition day, the unexpired portion of the licence period for a licence was greater than one year.</w:t>
      </w:r>
    </w:p>
    <w:p>
      <w:pPr>
        <w:pStyle w:val="Subsection"/>
      </w:pPr>
      <w:r>
        <w:tab/>
        <w:t>(3)</w:t>
      </w:r>
      <w:r>
        <w:tab/>
        <w:t>The person who held the licence immediately before transition day is entitled to a refund of an amount that is equal to the refundable portion of the licence fee paid in respect of the licence period less the cost of calculating, and processing the payment of, the refund.</w:t>
      </w:r>
    </w:p>
    <w:p>
      <w:pPr>
        <w:pStyle w:val="Footnotesection"/>
      </w:pPr>
      <w:r>
        <w:tab/>
        <w:t>[Section 63 inserted by No. 21 of 2014 s. 7.]</w:t>
      </w:r>
    </w:p>
    <w:p>
      <w:pPr>
        <w:pStyle w:val="Heading5"/>
      </w:pPr>
      <w:bookmarkStart w:id="158" w:name="_Toc401156790"/>
      <w:bookmarkStart w:id="159" w:name="_Toc429399332"/>
      <w:r>
        <w:rPr>
          <w:rStyle w:val="CharSectno"/>
        </w:rPr>
        <w:t>64</w:t>
      </w:r>
      <w:r>
        <w:t>.</w:t>
      </w:r>
      <w:r>
        <w:tab/>
        <w:t>Refund of application fees</w:t>
      </w:r>
      <w:bookmarkEnd w:id="158"/>
      <w:bookmarkEnd w:id="159"/>
    </w:p>
    <w:p>
      <w:pPr>
        <w:pStyle w:val="Subsection"/>
      </w:pPr>
      <w:r>
        <w:tab/>
        <w:t>(1)</w:t>
      </w:r>
      <w:r>
        <w:tab/>
        <w:t xml:space="preserve">This section applies if, immediately before transition day — </w:t>
      </w:r>
    </w:p>
    <w:p>
      <w:pPr>
        <w:pStyle w:val="Indenta"/>
      </w:pPr>
      <w:r>
        <w:tab/>
        <w:t>(a)</w:t>
      </w:r>
      <w:r>
        <w:tab/>
        <w:t>a person had applied for a licence and paid the prescribed fee referred to in section 9(2); but</w:t>
      </w:r>
    </w:p>
    <w:p>
      <w:pPr>
        <w:pStyle w:val="Indenta"/>
      </w:pPr>
      <w:r>
        <w:tab/>
        <w:t>(b)</w:t>
      </w:r>
      <w:r>
        <w:tab/>
        <w:t>the Commissioner had not granted or refused the application.</w:t>
      </w:r>
    </w:p>
    <w:p>
      <w:pPr>
        <w:pStyle w:val="Subsection"/>
      </w:pPr>
      <w:r>
        <w:tab/>
        <w:t>(2)</w:t>
      </w:r>
      <w:r>
        <w:tab/>
        <w:t>The person is entitled to a refund of an amount equal to the fee paid less the cost of calculating, and processing the payment of, the refund.</w:t>
      </w:r>
    </w:p>
    <w:p>
      <w:pPr>
        <w:pStyle w:val="Footnotesection"/>
      </w:pPr>
      <w:r>
        <w:tab/>
        <w:t>[Section 64 inserted by No. 21 of 2014 s. 7.]</w:t>
      </w:r>
    </w:p>
    <w:p>
      <w:pPr>
        <w:pStyle w:val="Heading5"/>
      </w:pPr>
      <w:bookmarkStart w:id="160" w:name="_Toc401156791"/>
      <w:bookmarkStart w:id="161" w:name="_Toc429399333"/>
      <w:r>
        <w:rPr>
          <w:rStyle w:val="CharSectno"/>
        </w:rPr>
        <w:t>65</w:t>
      </w:r>
      <w:r>
        <w:t>.</w:t>
      </w:r>
      <w:r>
        <w:tab/>
        <w:t>Transitional regulations</w:t>
      </w:r>
      <w:bookmarkEnd w:id="160"/>
      <w:bookmarkEnd w:id="161"/>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referred to in subsection (2);</w:t>
      </w:r>
    </w:p>
    <w:p>
      <w:pPr>
        <w:pStyle w:val="Defstart"/>
      </w:pPr>
      <w:r>
        <w:tab/>
      </w:r>
      <w:r>
        <w:rPr>
          <w:rStyle w:val="CharDefText"/>
        </w:rPr>
        <w:t>transitional matter</w:t>
      </w:r>
      <w:r>
        <w:t xml:space="preserve"> means any matter of a transitional or savings nature arising from the enactment of the </w:t>
      </w:r>
      <w:r>
        <w:rPr>
          <w:i/>
        </w:rPr>
        <w:t>Travel Agents Amendment and Expiry Act 2014</w:t>
      </w:r>
      <w:r>
        <w:t>.</w:t>
      </w:r>
    </w:p>
    <w:p>
      <w:pPr>
        <w:pStyle w:val="Subsection"/>
      </w:pPr>
      <w:r>
        <w:tab/>
        <w:t>(2)</w:t>
      </w:r>
      <w:r>
        <w:tab/>
        <w:t>If there is no sufficient provision in this Division for dealing with a transitional matter, regulations made under section 59 may prescribe matters necessary or convenient to be prescribed for the purpose of dealing with the transitional matter.</w:t>
      </w:r>
    </w:p>
    <w:p>
      <w:pPr>
        <w:pStyle w:val="Subsection"/>
      </w:pPr>
      <w:r>
        <w:tab/>
        <w:t>(3)</w:t>
      </w:r>
      <w:r>
        <w:tab/>
        <w:t xml:space="preserve">Regulations referred to in subsection (2) may provide that specified provisions of a written law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referred to in subsection (2) provide that a specified state of affairs is taken to have existed, or not to have existed, on and from a day that is earlier than the publication day for those regulations but not earlier than transition day, the regulations have effect according to their terms.</w:t>
      </w:r>
    </w:p>
    <w:p>
      <w:pPr>
        <w:pStyle w:val="Subsection"/>
      </w:pPr>
      <w:r>
        <w:tab/>
        <w:t>(5)</w:t>
      </w:r>
      <w:r>
        <w:tab/>
        <w:t xml:space="preserve">If regulations referred to in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Footnotesection"/>
      </w:pPr>
      <w:r>
        <w:tab/>
        <w:t>[Section 65 inserted by No. 21 of 2014 s. 7.]</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rPr>
          <w:u w:val="words"/>
        </w:rPr>
      </w:pPr>
      <w:bookmarkStart w:id="162" w:name="_Toc401156792"/>
      <w:bookmarkStart w:id="163" w:name="_Toc424557276"/>
      <w:bookmarkStart w:id="164" w:name="_Toc429399334"/>
      <w:r>
        <w:rPr>
          <w:rStyle w:val="CharSchNo"/>
        </w:rPr>
        <w:t>Schedule</w:t>
      </w:r>
      <w:r>
        <w:t> — </w:t>
      </w:r>
      <w:r>
        <w:rPr>
          <w:rStyle w:val="CharSchText"/>
        </w:rPr>
        <w:t>Specified Licensing or Registration Acts</w:t>
      </w:r>
      <w:bookmarkEnd w:id="162"/>
      <w:bookmarkEnd w:id="163"/>
      <w:bookmarkEnd w:id="164"/>
    </w:p>
    <w:p>
      <w:pPr>
        <w:pStyle w:val="yShoulderClause"/>
        <w:rPr>
          <w:snapToGrid w:val="0"/>
        </w:rPr>
      </w:pPr>
      <w:r>
        <w:rPr>
          <w:snapToGrid w:val="0"/>
        </w:rPr>
        <w:t>[s. 9(3)(d) and 12(2)(f)]</w:t>
      </w:r>
    </w:p>
    <w:p>
      <w:pPr>
        <w:pStyle w:val="yFootnoteheading"/>
      </w:pPr>
      <w:r>
        <w:tab/>
        <w:t>[Heading amended by No. 19 of 2010 s. 4.]</w:t>
      </w:r>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t>2.</w:t>
            </w:r>
          </w:p>
        </w:tc>
        <w:tc>
          <w:tcPr>
            <w:tcW w:w="6487" w:type="dxa"/>
          </w:tcPr>
          <w:p>
            <w:pPr>
              <w:pStyle w:val="yTable"/>
              <w:spacing w:after="40"/>
              <w:rPr>
                <w:i/>
                <w:snapToGrid w:val="0"/>
              </w:rPr>
            </w:pPr>
            <w:r>
              <w:rPr>
                <w:i/>
                <w:iCs/>
              </w:rPr>
              <w:t>Building Services (Registration) Act 2011</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r>
              <w:rPr>
                <w:snapToGrid w:val="0"/>
              </w:rPr>
              <w:t>.</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i/>
                <w:snapToGrid w:val="0"/>
              </w:rPr>
            </w:pPr>
            <w:r>
              <w:rPr>
                <w:i/>
                <w:snapToGrid w:val="0"/>
              </w:rPr>
              <w:t>[11.</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No. 19 of 2011 s. 159.]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66" w:name="_Toc401156793"/>
      <w:bookmarkStart w:id="167" w:name="_Toc424557277"/>
      <w:bookmarkStart w:id="168" w:name="_Toc429399335"/>
      <w:r>
        <w:t>Notes</w:t>
      </w:r>
      <w:bookmarkEnd w:id="166"/>
      <w:bookmarkEnd w:id="167"/>
      <w:bookmarkEnd w:id="168"/>
    </w:p>
    <w:p>
      <w:pPr>
        <w:pStyle w:val="nSubsection"/>
        <w:rPr>
          <w:snapToGrid w:val="0"/>
        </w:rPr>
      </w:pPr>
      <w:r>
        <w:rPr>
          <w:snapToGrid w:val="0"/>
          <w:vertAlign w:val="superscript"/>
        </w:rPr>
        <w:t>1</w:t>
      </w:r>
      <w:r>
        <w:rPr>
          <w:snapToGrid w:val="0"/>
        </w:rPr>
        <w:tab/>
        <w:t>This is a compilation of the</w:t>
      </w:r>
      <w:r>
        <w:rPr>
          <w:i/>
        </w:rPr>
        <w:t xml:space="preserve"> Travel Agents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9" w:name="_Toc401156794"/>
      <w:bookmarkStart w:id="170" w:name="_Toc429399336"/>
      <w:r>
        <w:rPr>
          <w:snapToGrid w:val="0"/>
        </w:rPr>
        <w:t>Compilation table</w:t>
      </w:r>
      <w:bookmarkEnd w:id="169"/>
      <w:bookmarkEnd w:id="170"/>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9"/>
        <w:gridCol w:w="25"/>
        <w:gridCol w:w="2526"/>
        <w:gridCol w:w="27"/>
      </w:tblGrid>
      <w:tr>
        <w:trPr>
          <w:gridBefore w:val="1"/>
          <w:wBefore w:w="26"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trPr>
        <w:tc>
          <w:tcPr>
            <w:tcW w:w="2268" w:type="dxa"/>
            <w:gridSpan w:val="2"/>
          </w:tcPr>
          <w:p>
            <w:pPr>
              <w:pStyle w:val="nTable"/>
              <w:spacing w:after="40"/>
            </w:pPr>
            <w:r>
              <w:rPr>
                <w:i/>
              </w:rPr>
              <w:t>Travel Agents Act 1985</w:t>
            </w:r>
          </w:p>
        </w:tc>
        <w:tc>
          <w:tcPr>
            <w:tcW w:w="1134" w:type="dxa"/>
            <w:gridSpan w:val="2"/>
          </w:tcPr>
          <w:p>
            <w:pPr>
              <w:pStyle w:val="nTable"/>
              <w:spacing w:after="40"/>
            </w:pPr>
            <w:r>
              <w:t>120 of 1985</w:t>
            </w:r>
          </w:p>
        </w:tc>
        <w:tc>
          <w:tcPr>
            <w:tcW w:w="1134" w:type="dxa"/>
            <w:gridSpan w:val="2"/>
          </w:tcPr>
          <w:p>
            <w:pPr>
              <w:pStyle w:val="nTable"/>
              <w:spacing w:after="40"/>
            </w:pPr>
            <w:r>
              <w:t>30 Dec 1985</w:t>
            </w:r>
          </w:p>
        </w:tc>
        <w:tc>
          <w:tcPr>
            <w:tcW w:w="2553" w:type="dxa"/>
            <w:gridSpan w:val="2"/>
          </w:tcPr>
          <w:p>
            <w:pPr>
              <w:pStyle w:val="nTable"/>
              <w:spacing w:after="40"/>
            </w:pPr>
            <w:r>
              <w:rPr>
                <w:color w:val="000000"/>
              </w:rPr>
              <w:t>s. 1 and 2: 30 Dec 1985;</w:t>
            </w:r>
            <w:r>
              <w:rPr>
                <w:color w:val="000000"/>
              </w:rPr>
              <w:br/>
              <w:t xml:space="preserve">Act other than s. 1 and 2: 1 Feb 1987 (see s. 2 and </w:t>
            </w:r>
            <w:r>
              <w:rPr>
                <w:i/>
                <w:iCs/>
                <w:color w:val="000000"/>
              </w:rPr>
              <w:t>Gazette</w:t>
            </w:r>
            <w:r>
              <w:rPr>
                <w:color w:val="000000"/>
              </w:rPr>
              <w:t xml:space="preserve"> 16 Jan 1987 p. 82)</w:t>
            </w:r>
          </w:p>
        </w:tc>
      </w:tr>
      <w:tr>
        <w:trPr>
          <w:gridBefore w:val="1"/>
          <w:wBefore w:w="26" w:type="dxa"/>
        </w:trPr>
        <w:tc>
          <w:tcPr>
            <w:tcW w:w="2268" w:type="dxa"/>
            <w:gridSpan w:val="2"/>
          </w:tcPr>
          <w:p>
            <w:pPr>
              <w:pStyle w:val="nTable"/>
              <w:spacing w:after="40"/>
            </w:pPr>
            <w:r>
              <w:rPr>
                <w:i/>
              </w:rPr>
              <w:t>Travel Agents Amendment Act 1989</w:t>
            </w:r>
          </w:p>
        </w:tc>
        <w:tc>
          <w:tcPr>
            <w:tcW w:w="1134" w:type="dxa"/>
            <w:gridSpan w:val="2"/>
          </w:tcPr>
          <w:p>
            <w:pPr>
              <w:pStyle w:val="nTable"/>
              <w:spacing w:after="40"/>
            </w:pPr>
            <w:r>
              <w:t>27 of 1989</w:t>
            </w:r>
          </w:p>
        </w:tc>
        <w:tc>
          <w:tcPr>
            <w:tcW w:w="1134" w:type="dxa"/>
            <w:gridSpan w:val="2"/>
          </w:tcPr>
          <w:p>
            <w:pPr>
              <w:pStyle w:val="nTable"/>
              <w:spacing w:after="40"/>
            </w:pPr>
            <w:r>
              <w:t>12 Dec 1989</w:t>
            </w:r>
          </w:p>
        </w:tc>
        <w:tc>
          <w:tcPr>
            <w:tcW w:w="2553" w:type="dxa"/>
            <w:gridSpan w:val="2"/>
          </w:tcPr>
          <w:p>
            <w:pPr>
              <w:pStyle w:val="nTable"/>
              <w:spacing w:after="40"/>
            </w:pPr>
            <w:r>
              <w:t>9 Jan 1990</w:t>
            </w:r>
          </w:p>
        </w:tc>
      </w:tr>
      <w:tr>
        <w:trPr>
          <w:gridBefore w:val="1"/>
          <w:wBefore w:w="26" w:type="dxa"/>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3" w:type="dxa"/>
            <w:gridSpan w:val="2"/>
          </w:tcPr>
          <w:p>
            <w:pPr>
              <w:pStyle w:val="nTable"/>
              <w:spacing w:after="40"/>
            </w:pPr>
            <w:r>
              <w:t>1 Jul 1993 (see s. 2(1))</w:t>
            </w:r>
          </w:p>
        </w:tc>
      </w:tr>
      <w:tr>
        <w:trPr>
          <w:gridBefore w:val="1"/>
          <w:wBefore w:w="26" w:type="dxa"/>
        </w:trPr>
        <w:tc>
          <w:tcPr>
            <w:tcW w:w="2268" w:type="dxa"/>
            <w:gridSpan w:val="2"/>
          </w:tcPr>
          <w:p>
            <w:pPr>
              <w:pStyle w:val="nTable"/>
              <w:spacing w:after="40"/>
            </w:pPr>
            <w:r>
              <w:rPr>
                <w:i/>
              </w:rPr>
              <w:t>Pawnbrokers and Second</w:t>
            </w:r>
            <w:r>
              <w:rPr>
                <w:i/>
              </w:rPr>
              <w:noBreakHyphen/>
              <w:t>hand Dealers Act 1994</w:t>
            </w:r>
            <w:r>
              <w:t xml:space="preserve"> s. 100</w:t>
            </w:r>
          </w:p>
        </w:tc>
        <w:tc>
          <w:tcPr>
            <w:tcW w:w="1134" w:type="dxa"/>
            <w:gridSpan w:val="2"/>
          </w:tcPr>
          <w:p>
            <w:pPr>
              <w:pStyle w:val="nTable"/>
              <w:spacing w:after="40"/>
            </w:pPr>
            <w:r>
              <w:t>88 of 1994</w:t>
            </w:r>
          </w:p>
        </w:tc>
        <w:tc>
          <w:tcPr>
            <w:tcW w:w="1134" w:type="dxa"/>
            <w:gridSpan w:val="2"/>
          </w:tcPr>
          <w:p>
            <w:pPr>
              <w:pStyle w:val="nTable"/>
              <w:spacing w:after="40"/>
            </w:pPr>
            <w:r>
              <w:t>5 Jan 1995</w:t>
            </w:r>
          </w:p>
        </w:tc>
        <w:tc>
          <w:tcPr>
            <w:tcW w:w="2553" w:type="dxa"/>
            <w:gridSpan w:val="2"/>
          </w:tcPr>
          <w:p>
            <w:pPr>
              <w:pStyle w:val="nTable"/>
              <w:spacing w:after="40"/>
            </w:pPr>
            <w:r>
              <w:t xml:space="preserve">1 Apr 1996 (see s. 2 and </w:t>
            </w:r>
            <w:r>
              <w:rPr>
                <w:i/>
              </w:rPr>
              <w:t>Gazette</w:t>
            </w:r>
            <w:r>
              <w:t xml:space="preserve"> 29 Mar 1996 p. 1495)</w:t>
            </w:r>
          </w:p>
        </w:tc>
      </w:tr>
      <w:tr>
        <w:trPr>
          <w:gridBefore w:val="1"/>
          <w:wBefore w:w="26" w:type="dxa"/>
        </w:trPr>
        <w:tc>
          <w:tcPr>
            <w:tcW w:w="2268" w:type="dxa"/>
            <w:gridSpan w:val="2"/>
          </w:tcPr>
          <w:p>
            <w:pPr>
              <w:pStyle w:val="nTable"/>
              <w:spacing w:after="40"/>
            </w:pPr>
            <w:r>
              <w:rPr>
                <w:i/>
              </w:rPr>
              <w:t>Business Licensing Amendment Act 1995</w:t>
            </w:r>
            <w:r>
              <w:t xml:space="preserve"> Pt. 10</w:t>
            </w:r>
          </w:p>
        </w:tc>
        <w:tc>
          <w:tcPr>
            <w:tcW w:w="1134" w:type="dxa"/>
            <w:gridSpan w:val="2"/>
          </w:tcPr>
          <w:p>
            <w:pPr>
              <w:pStyle w:val="nTable"/>
              <w:spacing w:after="40"/>
            </w:pPr>
            <w:r>
              <w:t>56 of 1995</w:t>
            </w:r>
          </w:p>
        </w:tc>
        <w:tc>
          <w:tcPr>
            <w:tcW w:w="1134" w:type="dxa"/>
            <w:gridSpan w:val="2"/>
          </w:tcPr>
          <w:p>
            <w:pPr>
              <w:pStyle w:val="nTable"/>
              <w:spacing w:after="40"/>
            </w:pPr>
            <w:r>
              <w:t>20 Dec 1995</w:t>
            </w:r>
          </w:p>
        </w:tc>
        <w:tc>
          <w:tcPr>
            <w:tcW w:w="2553" w:type="dxa"/>
            <w:gridSpan w:val="2"/>
          </w:tcPr>
          <w:p>
            <w:pPr>
              <w:pStyle w:val="nTable"/>
              <w:spacing w:after="40"/>
            </w:pPr>
            <w:r>
              <w:t>1 Jan 1996 (see s. 2(3))</w:t>
            </w:r>
          </w:p>
        </w:tc>
      </w:tr>
      <w:tr>
        <w:trPr>
          <w:gridBefore w:val="1"/>
          <w:wBefore w:w="26" w:type="dxa"/>
        </w:trPr>
        <w:tc>
          <w:tcPr>
            <w:tcW w:w="2268" w:type="dxa"/>
            <w:gridSpan w:val="2"/>
          </w:tcPr>
          <w:p>
            <w:pPr>
              <w:pStyle w:val="nTable"/>
              <w:spacing w:after="40"/>
            </w:pPr>
            <w:r>
              <w:rPr>
                <w:i/>
              </w:rPr>
              <w:t>Security and Related Activities (Control) Act 1996</w:t>
            </w:r>
            <w:r>
              <w:t xml:space="preserve"> s. 96</w:t>
            </w:r>
          </w:p>
        </w:tc>
        <w:tc>
          <w:tcPr>
            <w:tcW w:w="1134" w:type="dxa"/>
            <w:gridSpan w:val="2"/>
          </w:tcPr>
          <w:p>
            <w:pPr>
              <w:pStyle w:val="nTable"/>
              <w:spacing w:after="40"/>
            </w:pPr>
            <w:r>
              <w:t>27 of 1996</w:t>
            </w:r>
          </w:p>
        </w:tc>
        <w:tc>
          <w:tcPr>
            <w:tcW w:w="1134" w:type="dxa"/>
            <w:gridSpan w:val="2"/>
          </w:tcPr>
          <w:p>
            <w:pPr>
              <w:pStyle w:val="nTable"/>
              <w:spacing w:after="40"/>
            </w:pPr>
            <w:r>
              <w:t>22 Jul 1996</w:t>
            </w:r>
          </w:p>
        </w:tc>
        <w:tc>
          <w:tcPr>
            <w:tcW w:w="2553" w:type="dxa"/>
            <w:gridSpan w:val="2"/>
          </w:tcPr>
          <w:p>
            <w:pPr>
              <w:pStyle w:val="nTable"/>
              <w:spacing w:after="40"/>
            </w:pPr>
            <w:r>
              <w:t xml:space="preserve">1 Apr 1997 (see s. 2 and </w:t>
            </w:r>
            <w:r>
              <w:rPr>
                <w:i/>
              </w:rPr>
              <w:t>Gazette</w:t>
            </w:r>
            <w:r>
              <w:t xml:space="preserve"> 27 Mar 1997 p. 1693)</w:t>
            </w:r>
          </w:p>
        </w:tc>
      </w:tr>
      <w:tr>
        <w:trPr>
          <w:gridBefore w:val="1"/>
          <w:wBefore w:w="26" w:type="dxa"/>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3" w:type="dxa"/>
            <w:gridSpan w:val="2"/>
          </w:tcPr>
          <w:p>
            <w:pPr>
              <w:pStyle w:val="nTable"/>
              <w:spacing w:after="40"/>
            </w:pPr>
            <w:r>
              <w:t>25 Oct 1996 (see s. 2(1))</w:t>
            </w:r>
          </w:p>
        </w:tc>
      </w:tr>
      <w:tr>
        <w:trPr>
          <w:gridBefore w:val="1"/>
          <w:wBefore w:w="26" w:type="dxa"/>
          <w:cantSplit/>
        </w:trPr>
        <w:tc>
          <w:tcPr>
            <w:tcW w:w="7089" w:type="dxa"/>
            <w:gridSpan w:val="8"/>
          </w:tcPr>
          <w:p>
            <w:pPr>
              <w:pStyle w:val="nTable"/>
              <w:spacing w:after="40"/>
              <w:rPr>
                <w:spacing w:val="-4"/>
              </w:rPr>
            </w:pPr>
            <w:r>
              <w:rPr>
                <w:b/>
                <w:spacing w:val="-4"/>
              </w:rPr>
              <w:t xml:space="preserve">Reprint of the </w:t>
            </w:r>
            <w:r>
              <w:rPr>
                <w:b/>
                <w:i/>
                <w:spacing w:val="-4"/>
              </w:rPr>
              <w:t>Travel Agents Act 1985</w:t>
            </w:r>
            <w:r>
              <w:rPr>
                <w:b/>
                <w:spacing w:val="-4"/>
              </w:rPr>
              <w:t xml:space="preserve"> as at 22 Apr 1997 </w:t>
            </w:r>
            <w:r>
              <w:rPr>
                <w:spacing w:val="-4"/>
              </w:rPr>
              <w:t>(includes amendments listed above)</w:t>
            </w:r>
          </w:p>
        </w:tc>
      </w:tr>
      <w:tr>
        <w:trPr>
          <w:gridBefore w:val="1"/>
          <w:wBefore w:w="26" w:type="dxa"/>
        </w:trPr>
        <w:tc>
          <w:tcPr>
            <w:tcW w:w="2268" w:type="dxa"/>
            <w:gridSpan w:val="2"/>
          </w:tcPr>
          <w:p>
            <w:pPr>
              <w:pStyle w:val="nTable"/>
              <w:spacing w:after="40"/>
            </w:pPr>
            <w:r>
              <w:rPr>
                <w:i/>
              </w:rPr>
              <w:t>Statutes (Repeals and Minor Amendments) Act 1997</w:t>
            </w:r>
            <w:r>
              <w:t xml:space="preserve"> s. 39(10) and 123</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3" w:type="dxa"/>
            <w:gridSpan w:val="2"/>
          </w:tcPr>
          <w:p>
            <w:pPr>
              <w:pStyle w:val="nTable"/>
              <w:spacing w:after="40"/>
            </w:pPr>
            <w:r>
              <w:t>15 Dec 1997 (see s. 2(1))</w:t>
            </w:r>
          </w:p>
        </w:tc>
      </w:tr>
      <w:tr>
        <w:trPr>
          <w:gridBefore w:val="1"/>
          <w:wBefore w:w="26" w:type="dxa"/>
        </w:trPr>
        <w:tc>
          <w:tcPr>
            <w:tcW w:w="2268" w:type="dxa"/>
            <w:gridSpan w:val="2"/>
          </w:tcPr>
          <w:p>
            <w:pPr>
              <w:pStyle w:val="nTable"/>
              <w:spacing w:after="40"/>
            </w:pPr>
            <w:r>
              <w:rPr>
                <w:i/>
              </w:rPr>
              <w:t>Acts Amendment and Repeal (Financial Sector Reform) Act 1999</w:t>
            </w:r>
            <w:r>
              <w:t xml:space="preserve"> s. 107</w:t>
            </w:r>
          </w:p>
        </w:tc>
        <w:tc>
          <w:tcPr>
            <w:tcW w:w="1134" w:type="dxa"/>
            <w:gridSpan w:val="2"/>
          </w:tcPr>
          <w:p>
            <w:pPr>
              <w:pStyle w:val="nTable"/>
              <w:keepLines/>
              <w:spacing w:after="40"/>
            </w:pPr>
            <w:r>
              <w:t>26 of 1999</w:t>
            </w:r>
          </w:p>
        </w:tc>
        <w:tc>
          <w:tcPr>
            <w:tcW w:w="1134" w:type="dxa"/>
            <w:gridSpan w:val="2"/>
          </w:tcPr>
          <w:p>
            <w:pPr>
              <w:pStyle w:val="nTable"/>
              <w:keepLines/>
              <w:spacing w:after="40"/>
            </w:pPr>
            <w:r>
              <w:t>29 Jun 1999</w:t>
            </w:r>
          </w:p>
        </w:tc>
        <w:tc>
          <w:tcPr>
            <w:tcW w:w="2553" w:type="dxa"/>
            <w:gridSpan w:val="2"/>
          </w:tcPr>
          <w:p>
            <w:pPr>
              <w:pStyle w:val="nTable"/>
              <w:keepLines/>
              <w:spacing w:after="40"/>
            </w:pPr>
            <w:r>
              <w:t xml:space="preserve">1 Jul 1999 (see s. 2(1) and </w:t>
            </w:r>
            <w:r>
              <w:rPr>
                <w:i/>
              </w:rPr>
              <w:t>Gazette</w:t>
            </w:r>
            <w:r>
              <w:t xml:space="preserve"> 30 Jun 1999 p. 2905)</w:t>
            </w:r>
          </w:p>
        </w:tc>
      </w:tr>
      <w:tr>
        <w:trPr>
          <w:gridBefore w:val="1"/>
          <w:wBefore w:w="26" w:type="dxa"/>
        </w:trPr>
        <w:tc>
          <w:tcPr>
            <w:tcW w:w="2268" w:type="dxa"/>
            <w:gridSpan w:val="2"/>
          </w:tcPr>
          <w:p>
            <w:pPr>
              <w:pStyle w:val="nTable"/>
              <w:spacing w:after="40"/>
              <w:rPr>
                <w:i/>
              </w:rPr>
            </w:pPr>
            <w:r>
              <w:rPr>
                <w:i/>
              </w:rPr>
              <w:t>Corporations (Consequential Amendments) Act 2001</w:t>
            </w:r>
            <w:r>
              <w:t xml:space="preserve"> s. 221</w:t>
            </w:r>
          </w:p>
        </w:tc>
        <w:tc>
          <w:tcPr>
            <w:tcW w:w="1134" w:type="dxa"/>
            <w:gridSpan w:val="2"/>
          </w:tcPr>
          <w:p>
            <w:pPr>
              <w:pStyle w:val="nTable"/>
              <w:keepLines/>
              <w:spacing w:after="40"/>
            </w:pPr>
            <w:r>
              <w:t>10 of 2001</w:t>
            </w:r>
          </w:p>
        </w:tc>
        <w:tc>
          <w:tcPr>
            <w:tcW w:w="1134" w:type="dxa"/>
            <w:gridSpan w:val="2"/>
          </w:tcPr>
          <w:p>
            <w:pPr>
              <w:pStyle w:val="nTable"/>
              <w:keepLines/>
              <w:spacing w:after="40"/>
            </w:pPr>
            <w:r>
              <w:t>28 Jun 2001</w:t>
            </w:r>
          </w:p>
        </w:tc>
        <w:tc>
          <w:tcPr>
            <w:tcW w:w="2553" w:type="dxa"/>
            <w:gridSpan w:val="2"/>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6" w:type="dxa"/>
          <w:cantSplit/>
        </w:trPr>
        <w:tc>
          <w:tcPr>
            <w:tcW w:w="7089" w:type="dxa"/>
            <w:gridSpan w:val="8"/>
          </w:tcPr>
          <w:p>
            <w:pPr>
              <w:pStyle w:val="nTable"/>
              <w:spacing w:after="40"/>
              <w:rPr>
                <w:spacing w:val="-4"/>
              </w:rPr>
            </w:pPr>
            <w:r>
              <w:rPr>
                <w:b/>
                <w:spacing w:val="-4"/>
              </w:rPr>
              <w:t xml:space="preserve">Reprint 2: The </w:t>
            </w:r>
            <w:r>
              <w:rPr>
                <w:b/>
                <w:i/>
                <w:spacing w:val="-4"/>
              </w:rPr>
              <w:t>Travel Agents Act 1985</w:t>
            </w:r>
            <w:r>
              <w:rPr>
                <w:b/>
                <w:spacing w:val="-4"/>
              </w:rPr>
              <w:t xml:space="preserve"> as at 6 Jun 2003 </w:t>
            </w:r>
            <w:r>
              <w:rPr>
                <w:spacing w:val="-4"/>
              </w:rPr>
              <w:t>(includes amendments listed above)</w:t>
            </w:r>
          </w:p>
        </w:tc>
      </w:tr>
      <w:tr>
        <w:trPr>
          <w:gridBefore w:val="1"/>
          <w:wBefore w:w="26" w:type="dxa"/>
          <w:cantSplit/>
        </w:trPr>
        <w:tc>
          <w:tcPr>
            <w:tcW w:w="2268" w:type="dxa"/>
            <w:gridSpan w:val="2"/>
          </w:tcPr>
          <w:p>
            <w:pPr>
              <w:pStyle w:val="nTable"/>
              <w:spacing w:after="40"/>
              <w:rPr>
                <w:i/>
              </w:rPr>
            </w:pPr>
            <w:r>
              <w:rPr>
                <w:i/>
              </w:rPr>
              <w:t xml:space="preserve">Sentencing Legislation Amendment and Repeal Act 2003 </w:t>
            </w:r>
            <w:r>
              <w:t>s. 100</w:t>
            </w:r>
          </w:p>
        </w:tc>
        <w:tc>
          <w:tcPr>
            <w:tcW w:w="1134" w:type="dxa"/>
            <w:gridSpan w:val="2"/>
          </w:tcPr>
          <w:p>
            <w:pPr>
              <w:pStyle w:val="nTable"/>
              <w:keepLines/>
              <w:spacing w:after="40"/>
            </w:pPr>
            <w:r>
              <w:t>50 of 2003</w:t>
            </w:r>
          </w:p>
        </w:tc>
        <w:tc>
          <w:tcPr>
            <w:tcW w:w="1134" w:type="dxa"/>
            <w:gridSpan w:val="2"/>
          </w:tcPr>
          <w:p>
            <w:pPr>
              <w:pStyle w:val="nTable"/>
              <w:keepLines/>
              <w:spacing w:after="40"/>
            </w:pPr>
            <w:r>
              <w:t>9 Jul 2003</w:t>
            </w:r>
          </w:p>
        </w:tc>
        <w:tc>
          <w:tcPr>
            <w:tcW w:w="2553" w:type="dxa"/>
            <w:gridSpan w:val="2"/>
          </w:tcPr>
          <w:p>
            <w:pPr>
              <w:pStyle w:val="nTable"/>
              <w:keepLines/>
              <w:spacing w:after="40"/>
            </w:pPr>
            <w:r>
              <w:t>15 May 2004 (see s. 2 and</w:t>
            </w:r>
            <w:r>
              <w:rPr>
                <w:i/>
              </w:rPr>
              <w:t xml:space="preserve"> Gazette </w:t>
            </w:r>
            <w:r>
              <w:t>14 May 2004 p. 1445)</w:t>
            </w:r>
          </w:p>
        </w:tc>
      </w:tr>
      <w:tr>
        <w:trPr>
          <w:gridBefore w:val="1"/>
          <w:wBefore w:w="26" w:type="dxa"/>
        </w:trPr>
        <w:tc>
          <w:tcPr>
            <w:tcW w:w="2268" w:type="dxa"/>
            <w:gridSpan w:val="2"/>
          </w:tcPr>
          <w:p>
            <w:pPr>
              <w:pStyle w:val="nTable"/>
              <w:spacing w:after="40"/>
              <w:rPr>
                <w:i/>
              </w:rPr>
            </w:pPr>
            <w:r>
              <w:rPr>
                <w:i/>
              </w:rPr>
              <w:t>Motor Vehicle Repairers Act 2003</w:t>
            </w:r>
            <w:r>
              <w:t xml:space="preserve"> Pt. 11</w:t>
            </w:r>
          </w:p>
        </w:tc>
        <w:tc>
          <w:tcPr>
            <w:tcW w:w="1134" w:type="dxa"/>
            <w:gridSpan w:val="2"/>
          </w:tcPr>
          <w:p>
            <w:pPr>
              <w:pStyle w:val="nTable"/>
              <w:keepLines/>
              <w:spacing w:after="40"/>
            </w:pPr>
            <w:r>
              <w:t>68 of 2003</w:t>
            </w:r>
          </w:p>
        </w:tc>
        <w:tc>
          <w:tcPr>
            <w:tcW w:w="1134" w:type="dxa"/>
            <w:gridSpan w:val="2"/>
          </w:tcPr>
          <w:p>
            <w:pPr>
              <w:pStyle w:val="nTable"/>
              <w:keepLines/>
              <w:spacing w:after="40"/>
            </w:pPr>
            <w:r>
              <w:t>9 Dec 2003</w:t>
            </w:r>
          </w:p>
        </w:tc>
        <w:tc>
          <w:tcPr>
            <w:tcW w:w="2553" w:type="dxa"/>
            <w:gridSpan w:val="2"/>
          </w:tcPr>
          <w:p>
            <w:pPr>
              <w:pStyle w:val="nTable"/>
              <w:keepLines/>
              <w:spacing w:after="40"/>
            </w:pPr>
            <w:r>
              <w:t xml:space="preserve">19 Mar 2007 (see s. 2 and </w:t>
            </w:r>
            <w:r>
              <w:rPr>
                <w:i/>
                <w:iCs/>
              </w:rPr>
              <w:t>Gazette</w:t>
            </w:r>
            <w:r>
              <w:t xml:space="preserve"> 9 Feb 2007 p. 451)</w:t>
            </w:r>
          </w:p>
        </w:tc>
      </w:tr>
      <w:tr>
        <w:trPr>
          <w:gridBefore w:val="1"/>
          <w:wBefore w:w="26" w:type="dxa"/>
        </w:trPr>
        <w:tc>
          <w:tcPr>
            <w:tcW w:w="2268" w:type="dxa"/>
            <w:gridSpan w:val="2"/>
          </w:tcPr>
          <w:p>
            <w:pPr>
              <w:pStyle w:val="nTable"/>
              <w:spacing w:after="40"/>
              <w:rPr>
                <w:i/>
                <w:vertAlign w:val="superscript"/>
              </w:rPr>
            </w:pPr>
            <w:r>
              <w:rPr>
                <w:i/>
              </w:rPr>
              <w:t xml:space="preserve">Criminal Code Amendment Act 2004 </w:t>
            </w:r>
            <w:r>
              <w:t>s. 6</w:t>
            </w:r>
          </w:p>
        </w:tc>
        <w:tc>
          <w:tcPr>
            <w:tcW w:w="1134" w:type="dxa"/>
            <w:gridSpan w:val="2"/>
          </w:tcPr>
          <w:p>
            <w:pPr>
              <w:pStyle w:val="nTable"/>
              <w:keepLines/>
              <w:spacing w:after="40"/>
            </w:pPr>
            <w:r>
              <w:t>4 of 2004</w:t>
            </w:r>
          </w:p>
        </w:tc>
        <w:tc>
          <w:tcPr>
            <w:tcW w:w="1134" w:type="dxa"/>
            <w:gridSpan w:val="2"/>
          </w:tcPr>
          <w:p>
            <w:pPr>
              <w:pStyle w:val="nTable"/>
              <w:keepLines/>
              <w:spacing w:after="40"/>
            </w:pPr>
            <w:r>
              <w:t>23 Apr 2004</w:t>
            </w:r>
          </w:p>
        </w:tc>
        <w:tc>
          <w:tcPr>
            <w:tcW w:w="2553" w:type="dxa"/>
            <w:gridSpan w:val="2"/>
          </w:tcPr>
          <w:p>
            <w:pPr>
              <w:pStyle w:val="nTable"/>
              <w:keepLines/>
              <w:spacing w:after="40"/>
            </w:pPr>
            <w:r>
              <w:t>21 May 2004 (see s. 2)</w:t>
            </w:r>
          </w:p>
        </w:tc>
      </w:tr>
      <w:tr>
        <w:trPr>
          <w:gridBefore w:val="1"/>
          <w:wBefore w:w="26" w:type="dxa"/>
        </w:trPr>
        <w:tc>
          <w:tcPr>
            <w:tcW w:w="2268" w:type="dxa"/>
            <w:gridSpan w:val="2"/>
          </w:tcPr>
          <w:p>
            <w:pPr>
              <w:pStyle w:val="nTable"/>
              <w:spacing w:after="40"/>
              <w:rPr>
                <w:i/>
              </w:rPr>
            </w:pPr>
            <w:r>
              <w:rPr>
                <w:i/>
              </w:rPr>
              <w:t>Courts Legislation Amendment and Repeal Act 2004</w:t>
            </w:r>
            <w:r>
              <w:rPr>
                <w:iCs/>
              </w:rPr>
              <w:t xml:space="preserve"> s. 141</w:t>
            </w:r>
          </w:p>
        </w:tc>
        <w:tc>
          <w:tcPr>
            <w:tcW w:w="1134" w:type="dxa"/>
            <w:gridSpan w:val="2"/>
          </w:tcPr>
          <w:p>
            <w:pPr>
              <w:pStyle w:val="nTable"/>
              <w:keepLines/>
              <w:spacing w:after="40"/>
            </w:pPr>
            <w:r>
              <w:t>59 of 2004</w:t>
            </w:r>
          </w:p>
        </w:tc>
        <w:tc>
          <w:tcPr>
            <w:tcW w:w="1134" w:type="dxa"/>
            <w:gridSpan w:val="2"/>
          </w:tcPr>
          <w:p>
            <w:pPr>
              <w:pStyle w:val="nTable"/>
              <w:keepLines/>
              <w:spacing w:after="40"/>
            </w:pPr>
            <w:r>
              <w:t>23 Nov 2004</w:t>
            </w:r>
          </w:p>
        </w:tc>
        <w:tc>
          <w:tcPr>
            <w:tcW w:w="2553" w:type="dxa"/>
            <w:gridSpan w:val="2"/>
          </w:tcPr>
          <w:p>
            <w:pPr>
              <w:pStyle w:val="nTable"/>
              <w:keepLines/>
              <w:spacing w:after="40"/>
            </w:pPr>
            <w:r>
              <w:t xml:space="preserve">1 May 2005 (see s. 2 and </w:t>
            </w:r>
            <w:r>
              <w:rPr>
                <w:i/>
                <w:iCs/>
              </w:rPr>
              <w:t>Gazette</w:t>
            </w:r>
            <w:r>
              <w:t xml:space="preserve"> 31 Dec 2004 p. 7128)</w:t>
            </w:r>
          </w:p>
        </w:tc>
      </w:tr>
      <w:tr>
        <w:trPr>
          <w:gridBefore w:val="1"/>
          <w:wBefore w:w="26" w:type="dxa"/>
        </w:trPr>
        <w:tc>
          <w:tcPr>
            <w:tcW w:w="2268" w:type="dxa"/>
            <w:gridSpan w:val="2"/>
          </w:tcPr>
          <w:p>
            <w:pPr>
              <w:pStyle w:val="nTable"/>
              <w:spacing w:after="40"/>
              <w:rPr>
                <w:vertAlign w:val="superscript"/>
              </w:rPr>
            </w:pPr>
            <w:r>
              <w:rPr>
                <w:i/>
              </w:rPr>
              <w:t>State Administrative Tribunal (Conferral of Jurisdiction) Amendment and Repeal Act 2004</w:t>
            </w:r>
            <w:r>
              <w:t xml:space="preserve"> Pt. 2 Div. 128</w:t>
            </w:r>
            <w:r>
              <w:rPr>
                <w:vertAlign w:val="superscript"/>
              </w:rPr>
              <w:t> 3, 4</w:t>
            </w:r>
          </w:p>
        </w:tc>
        <w:tc>
          <w:tcPr>
            <w:tcW w:w="1134" w:type="dxa"/>
            <w:gridSpan w:val="2"/>
          </w:tcPr>
          <w:p>
            <w:pPr>
              <w:pStyle w:val="nTable"/>
              <w:keepLines/>
              <w:spacing w:after="40"/>
            </w:pPr>
            <w:r>
              <w:t>55 of 2004</w:t>
            </w:r>
          </w:p>
        </w:tc>
        <w:tc>
          <w:tcPr>
            <w:tcW w:w="1134" w:type="dxa"/>
            <w:gridSpan w:val="2"/>
          </w:tcPr>
          <w:p>
            <w:pPr>
              <w:pStyle w:val="nTable"/>
              <w:keepLines/>
              <w:spacing w:after="40"/>
            </w:pPr>
            <w:r>
              <w:t>24 Nov 2004</w:t>
            </w:r>
          </w:p>
        </w:tc>
        <w:tc>
          <w:tcPr>
            <w:tcW w:w="2553" w:type="dxa"/>
            <w:gridSpan w:val="2"/>
          </w:tcPr>
          <w:p>
            <w:pPr>
              <w:pStyle w:val="nTable"/>
              <w:keepLines/>
              <w:spacing w:after="40"/>
            </w:pPr>
            <w:r>
              <w:t xml:space="preserve">1 Jan 2005 (see s. 2 and </w:t>
            </w:r>
            <w:r>
              <w:rPr>
                <w:i/>
              </w:rPr>
              <w:t>Gazette</w:t>
            </w:r>
            <w:r>
              <w:t xml:space="preserve"> 31 Dec 2004 p. 7130)</w:t>
            </w:r>
          </w:p>
        </w:tc>
      </w:tr>
      <w:tr>
        <w:trPr>
          <w:gridBefore w:val="1"/>
          <w:wBefore w:w="26" w:type="dxa"/>
        </w:trPr>
        <w:tc>
          <w:tcPr>
            <w:tcW w:w="2268" w:type="dxa"/>
            <w:gridSpan w:val="2"/>
          </w:tcPr>
          <w:p>
            <w:pPr>
              <w:pStyle w:val="nTable"/>
              <w:spacing w:after="40"/>
              <w:rPr>
                <w:i/>
              </w:rPr>
            </w:pPr>
            <w:r>
              <w:rPr>
                <w:i/>
                <w:snapToGrid w:val="0"/>
              </w:rPr>
              <w:t>Criminal Procedure and Appeals (Consequential and Other Provisions) Act 2004</w:t>
            </w:r>
            <w:r>
              <w:rPr>
                <w:snapToGrid w:val="0"/>
              </w:rPr>
              <w:t xml:space="preserve"> s. 80 and 82 </w:t>
            </w:r>
            <w:r>
              <w:rPr>
                <w:snapToGrid w:val="0"/>
                <w:vertAlign w:val="superscript"/>
              </w:rPr>
              <w:t>5</w:t>
            </w:r>
          </w:p>
        </w:tc>
        <w:tc>
          <w:tcPr>
            <w:tcW w:w="1134" w:type="dxa"/>
            <w:gridSpan w:val="2"/>
          </w:tcPr>
          <w:p>
            <w:pPr>
              <w:pStyle w:val="nTable"/>
              <w:keepLines/>
              <w:spacing w:after="40"/>
            </w:pPr>
            <w:r>
              <w:rPr>
                <w:snapToGrid w:val="0"/>
              </w:rPr>
              <w:t>84 of 2004 (as amended by No. 2 of 2008 s. 78(2)(e))</w:t>
            </w:r>
          </w:p>
        </w:tc>
        <w:tc>
          <w:tcPr>
            <w:tcW w:w="1134" w:type="dxa"/>
            <w:gridSpan w:val="2"/>
          </w:tcPr>
          <w:p>
            <w:pPr>
              <w:pStyle w:val="nTable"/>
              <w:keepLines/>
              <w:spacing w:after="40"/>
            </w:pPr>
            <w:r>
              <w:t>16 Dec 2004</w:t>
            </w:r>
          </w:p>
        </w:tc>
        <w:tc>
          <w:tcPr>
            <w:tcW w:w="2553" w:type="dxa"/>
            <w:gridSpan w:val="2"/>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gridBefore w:val="1"/>
          <w:wBefore w:w="26" w:type="dxa"/>
          <w:cantSplit/>
        </w:trPr>
        <w:tc>
          <w:tcPr>
            <w:tcW w:w="7089" w:type="dxa"/>
            <w:gridSpan w:val="8"/>
          </w:tcPr>
          <w:p>
            <w:pPr>
              <w:pStyle w:val="nTable"/>
              <w:spacing w:after="40"/>
            </w:pPr>
            <w:r>
              <w:rPr>
                <w:b/>
                <w:spacing w:val="-4"/>
              </w:rPr>
              <w:t xml:space="preserve">Reprint 3: The </w:t>
            </w:r>
            <w:r>
              <w:rPr>
                <w:b/>
                <w:i/>
                <w:spacing w:val="-4"/>
              </w:rPr>
              <w:t>Travel Agents Act 1985</w:t>
            </w:r>
            <w:r>
              <w:rPr>
                <w:b/>
                <w:spacing w:val="-4"/>
              </w:rPr>
              <w:t xml:space="preserve"> as at 14 Oct 2005 </w:t>
            </w:r>
            <w:r>
              <w:rPr>
                <w:spacing w:val="-4"/>
              </w:rPr>
              <w:t xml:space="preserve">(includes amendments listed above except those in the </w:t>
            </w:r>
            <w:r>
              <w:rPr>
                <w:i/>
                <w:iCs/>
                <w:spacing w:val="-4"/>
              </w:rPr>
              <w:t>Motor Vehicle Repairers Act 2003</w:t>
            </w:r>
            <w:r>
              <w:rPr>
                <w:spacing w:val="-4"/>
              </w:rPr>
              <w:t>)</w:t>
            </w:r>
          </w:p>
        </w:tc>
      </w:tr>
      <w:tr>
        <w:trPr>
          <w:gridBefore w:val="1"/>
          <w:wBefore w:w="26" w:type="dxa"/>
        </w:trPr>
        <w:tc>
          <w:tcPr>
            <w:tcW w:w="2268" w:type="dxa"/>
            <w:gridSpan w:val="2"/>
          </w:tcPr>
          <w:p>
            <w:pPr>
              <w:pStyle w:val="nTable"/>
              <w:spacing w:after="40"/>
              <w:rPr>
                <w:i/>
              </w:rPr>
            </w:pPr>
            <w:r>
              <w:rPr>
                <w:i/>
              </w:rPr>
              <w:t>Machinery of Government (Miscellaneous Amendments) Act 2006</w:t>
            </w:r>
            <w:r>
              <w:rPr>
                <w:i/>
                <w:iCs/>
              </w:rPr>
              <w:t xml:space="preserve"> </w:t>
            </w:r>
            <w:r>
              <w:t xml:space="preserve">Pt. 4 Div. 22 </w:t>
            </w:r>
            <w:r>
              <w:rPr>
                <w:vertAlign w:val="superscript"/>
              </w:rPr>
              <w:t>6</w:t>
            </w:r>
          </w:p>
        </w:tc>
        <w:tc>
          <w:tcPr>
            <w:tcW w:w="1134" w:type="dxa"/>
            <w:gridSpan w:val="2"/>
          </w:tcPr>
          <w:p>
            <w:pPr>
              <w:pStyle w:val="nTable"/>
              <w:keepLines/>
              <w:spacing w:after="40"/>
            </w:pPr>
            <w:r>
              <w:t>28 of 2006</w:t>
            </w:r>
          </w:p>
        </w:tc>
        <w:tc>
          <w:tcPr>
            <w:tcW w:w="1134" w:type="dxa"/>
            <w:gridSpan w:val="2"/>
          </w:tcPr>
          <w:p>
            <w:pPr>
              <w:pStyle w:val="nTable"/>
              <w:keepLines/>
              <w:spacing w:after="40"/>
            </w:pPr>
            <w:r>
              <w:t>26 Jun 2006</w:t>
            </w:r>
          </w:p>
        </w:tc>
        <w:tc>
          <w:tcPr>
            <w:tcW w:w="2553" w:type="dxa"/>
            <w:gridSpan w:val="2"/>
          </w:tcPr>
          <w:p>
            <w:pPr>
              <w:pStyle w:val="nTable"/>
              <w:keepLines/>
              <w:spacing w:after="40"/>
            </w:pPr>
            <w:r>
              <w:t xml:space="preserve">1 Jul 2006 (see s. 2 and </w:t>
            </w:r>
            <w:r>
              <w:rPr>
                <w:i/>
                <w:iCs/>
              </w:rPr>
              <w:t>Gazette</w:t>
            </w:r>
            <w:r>
              <w:t xml:space="preserve"> 27 Jun 2006 p. 2347)</w:t>
            </w:r>
          </w:p>
        </w:tc>
      </w:tr>
      <w:tr>
        <w:trPr>
          <w:gridBefore w:val="1"/>
          <w:wBefore w:w="26" w:type="dxa"/>
        </w:trPr>
        <w:tc>
          <w:tcPr>
            <w:tcW w:w="2268" w:type="dxa"/>
            <w:gridSpan w:val="2"/>
          </w:tcPr>
          <w:p>
            <w:pPr>
              <w:pStyle w:val="nTable"/>
              <w:spacing w:after="40"/>
            </w:pPr>
            <w:r>
              <w:rPr>
                <w:i/>
                <w:snapToGrid w:val="0"/>
              </w:rPr>
              <w:t>Consumer Protection Legislation Amendment and Repeal Act 2006</w:t>
            </w:r>
            <w:r>
              <w:t xml:space="preserve"> Pt. 13</w:t>
            </w:r>
          </w:p>
        </w:tc>
        <w:tc>
          <w:tcPr>
            <w:tcW w:w="1134" w:type="dxa"/>
            <w:gridSpan w:val="2"/>
          </w:tcPr>
          <w:p>
            <w:pPr>
              <w:pStyle w:val="nTable"/>
              <w:keepLines/>
              <w:spacing w:after="40"/>
            </w:pPr>
            <w:r>
              <w:t>69 of 2006</w:t>
            </w:r>
          </w:p>
        </w:tc>
        <w:tc>
          <w:tcPr>
            <w:tcW w:w="1134" w:type="dxa"/>
            <w:gridSpan w:val="2"/>
          </w:tcPr>
          <w:p>
            <w:pPr>
              <w:pStyle w:val="nTable"/>
              <w:keepLines/>
              <w:spacing w:after="40"/>
            </w:pPr>
            <w:r>
              <w:t>13 Dec 2006</w:t>
            </w:r>
          </w:p>
        </w:tc>
        <w:tc>
          <w:tcPr>
            <w:tcW w:w="2553" w:type="dxa"/>
            <w:gridSpan w:val="2"/>
          </w:tcPr>
          <w:p>
            <w:pPr>
              <w:pStyle w:val="nTable"/>
              <w:keepLines/>
              <w:spacing w:after="40"/>
            </w:pPr>
            <w:r>
              <w:t xml:space="preserve">14 Jul 2007 (see s. 2 and </w:t>
            </w:r>
            <w:r>
              <w:rPr>
                <w:i/>
                <w:iCs/>
              </w:rPr>
              <w:t>Gazette</w:t>
            </w:r>
            <w:r>
              <w:t xml:space="preserve"> 13 Jul 2007 p. 3453)</w:t>
            </w:r>
          </w:p>
        </w:tc>
      </w:tr>
      <w:tr>
        <w:trPr>
          <w:gridBefore w:val="1"/>
          <w:wBefore w:w="26" w:type="dxa"/>
        </w:trPr>
        <w:tc>
          <w:tcPr>
            <w:tcW w:w="2268" w:type="dxa"/>
            <w:gridSpan w:val="2"/>
          </w:tcPr>
          <w:p>
            <w:pPr>
              <w:pStyle w:val="nTable"/>
              <w:spacing w:after="40"/>
              <w:rPr>
                <w:i/>
              </w:rPr>
            </w:pPr>
            <w:r>
              <w:rPr>
                <w:i/>
              </w:rPr>
              <w:t>Financial Legislation Amendment and Repeal Act 2006</w:t>
            </w:r>
            <w:r>
              <w:t xml:space="preserve"> s. 4</w:t>
            </w:r>
          </w:p>
        </w:tc>
        <w:tc>
          <w:tcPr>
            <w:tcW w:w="1134" w:type="dxa"/>
            <w:gridSpan w:val="2"/>
          </w:tcPr>
          <w:p>
            <w:pPr>
              <w:pStyle w:val="nTable"/>
              <w:keepLines/>
              <w:spacing w:after="40"/>
            </w:pPr>
            <w:r>
              <w:t>77 of 2006</w:t>
            </w:r>
          </w:p>
        </w:tc>
        <w:tc>
          <w:tcPr>
            <w:tcW w:w="1134" w:type="dxa"/>
            <w:gridSpan w:val="2"/>
          </w:tcPr>
          <w:p>
            <w:pPr>
              <w:pStyle w:val="nTable"/>
              <w:keepLines/>
              <w:spacing w:after="40"/>
            </w:pPr>
            <w:r>
              <w:t>21 Dec 2006</w:t>
            </w:r>
          </w:p>
        </w:tc>
        <w:tc>
          <w:tcPr>
            <w:tcW w:w="2553" w:type="dxa"/>
            <w:gridSpan w:val="2"/>
          </w:tcPr>
          <w:p>
            <w:pPr>
              <w:pStyle w:val="nTable"/>
              <w:keepLines/>
              <w:spacing w:after="40"/>
            </w:pPr>
            <w:r>
              <w:t xml:space="preserve">1 Feb 2007 (see s. 2(1) and </w:t>
            </w:r>
            <w:r>
              <w:rPr>
                <w:i/>
                <w:iCs/>
              </w:rPr>
              <w:t>Gazette</w:t>
            </w:r>
            <w:r>
              <w:t xml:space="preserve"> 19 Jan 2007 p. 137)</w:t>
            </w:r>
          </w:p>
        </w:tc>
      </w:tr>
      <w:tr>
        <w:trPr>
          <w:gridBefore w:val="1"/>
          <w:wBefore w:w="26" w:type="dxa"/>
          <w:cantSplit/>
        </w:trPr>
        <w:tc>
          <w:tcPr>
            <w:tcW w:w="7089" w:type="dxa"/>
            <w:gridSpan w:val="8"/>
          </w:tcPr>
          <w:p>
            <w:pPr>
              <w:pStyle w:val="nTable"/>
              <w:spacing w:after="40"/>
            </w:pPr>
            <w:r>
              <w:rPr>
                <w:b/>
                <w:spacing w:val="-4"/>
              </w:rPr>
              <w:t xml:space="preserve">Reprint 4: The </w:t>
            </w:r>
            <w:r>
              <w:rPr>
                <w:b/>
                <w:i/>
                <w:spacing w:val="-4"/>
              </w:rPr>
              <w:t>Travel Agents Act 1985</w:t>
            </w:r>
            <w:r>
              <w:rPr>
                <w:b/>
                <w:spacing w:val="-4"/>
              </w:rPr>
              <w:t xml:space="preserve"> as at 20 Jun 2008 </w:t>
            </w:r>
            <w:r>
              <w:rPr>
                <w:spacing w:val="-4"/>
              </w:rPr>
              <w:t>(includes amendments listed above)</w:t>
            </w:r>
          </w:p>
        </w:tc>
      </w:tr>
      <w:tr>
        <w:trPr>
          <w:gridAfter w:val="1"/>
          <w:wAfter w:w="27"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125</w:t>
            </w:r>
          </w:p>
        </w:tc>
        <w:tc>
          <w:tcPr>
            <w:tcW w:w="1134" w:type="dxa"/>
            <w:gridSpan w:val="2"/>
          </w:tcPr>
          <w:p>
            <w:pPr>
              <w:pStyle w:val="nTable"/>
              <w:spacing w:after="40"/>
            </w:pPr>
            <w:r>
              <w:t xml:space="preserve">8 of 2009 </w:t>
            </w:r>
          </w:p>
        </w:tc>
        <w:tc>
          <w:tcPr>
            <w:tcW w:w="1135"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7"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7" w:type="dxa"/>
          <w:cantSplit/>
        </w:trPr>
        <w:tc>
          <w:tcPr>
            <w:tcW w:w="2268" w:type="dxa"/>
            <w:gridSpan w:val="2"/>
          </w:tcPr>
          <w:p>
            <w:pPr>
              <w:pStyle w:val="nTable"/>
              <w:spacing w:after="40"/>
              <w:ind w:right="113"/>
              <w:rPr>
                <w:i/>
                <w:snapToGrid w:val="0"/>
              </w:rPr>
            </w:pPr>
            <w:r>
              <w:rPr>
                <w:i/>
                <w:snapToGrid w:val="0"/>
              </w:rPr>
              <w:t xml:space="preserve">Building Services (Registration) Act 2011 </w:t>
            </w:r>
            <w:r>
              <w:rPr>
                <w:snapToGrid w:val="0"/>
              </w:rPr>
              <w:t>s. 159</w:t>
            </w:r>
          </w:p>
        </w:tc>
        <w:tc>
          <w:tcPr>
            <w:tcW w:w="1134" w:type="dxa"/>
            <w:gridSpan w:val="2"/>
          </w:tcPr>
          <w:p>
            <w:pPr>
              <w:pStyle w:val="nTable"/>
              <w:spacing w:after="40"/>
              <w:rPr>
                <w:snapToGrid w:val="0"/>
              </w:rPr>
            </w:pPr>
            <w:r>
              <w:rPr>
                <w:snapToGrid w:val="0"/>
              </w:rPr>
              <w:t>19 of 2011</w:t>
            </w:r>
          </w:p>
        </w:tc>
        <w:tc>
          <w:tcPr>
            <w:tcW w:w="1135" w:type="dxa"/>
            <w:gridSpan w:val="2"/>
          </w:tcPr>
          <w:p>
            <w:pPr>
              <w:pStyle w:val="nTable"/>
              <w:spacing w:after="40"/>
              <w:rPr>
                <w:snapToGrid w:val="0"/>
              </w:rPr>
            </w:pPr>
            <w:r>
              <w:rPr>
                <w:snapToGrid w:val="0"/>
              </w:rPr>
              <w:t>22 Jun 2011</w:t>
            </w:r>
          </w:p>
        </w:tc>
        <w:tc>
          <w:tcPr>
            <w:tcW w:w="2551" w:type="dxa"/>
            <w:gridSpan w:val="2"/>
          </w:tcPr>
          <w:p>
            <w:pPr>
              <w:pStyle w:val="nTable"/>
              <w:spacing w:after="40"/>
              <w:rPr>
                <w:snapToGrid w:val="0"/>
              </w:rPr>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gridAfter w:val="1"/>
          <w:wAfter w:w="27" w:type="dxa"/>
          <w:cantSplit/>
        </w:trPr>
        <w:tc>
          <w:tcPr>
            <w:tcW w:w="2268" w:type="dxa"/>
            <w:gridSpan w:val="2"/>
            <w:shd w:val="clear" w:color="auto" w:fill="auto"/>
          </w:tcPr>
          <w:p>
            <w:pPr>
              <w:pStyle w:val="nTable"/>
              <w:spacing w:after="40"/>
              <w:ind w:right="113"/>
              <w:rPr>
                <w:i/>
                <w:snapToGrid w:val="0"/>
              </w:rPr>
            </w:pPr>
            <w:r>
              <w:rPr>
                <w:i/>
                <w:noProof/>
                <w:snapToGrid w:val="0"/>
              </w:rPr>
              <w:t xml:space="preserve">Business Names (Commonwealth Powers) Act 2012 </w:t>
            </w:r>
            <w:r>
              <w:rPr>
                <w:snapToGrid w:val="0"/>
              </w:rPr>
              <w:t>Pt. 4 Div. 5</w:t>
            </w:r>
          </w:p>
        </w:tc>
        <w:tc>
          <w:tcPr>
            <w:tcW w:w="1134" w:type="dxa"/>
            <w:gridSpan w:val="2"/>
            <w:shd w:val="clear" w:color="auto" w:fill="auto"/>
          </w:tcPr>
          <w:p>
            <w:pPr>
              <w:pStyle w:val="nTable"/>
              <w:spacing w:after="40"/>
              <w:rPr>
                <w:snapToGrid w:val="0"/>
              </w:rPr>
            </w:pPr>
            <w:r>
              <w:rPr>
                <w:snapToGrid w:val="0"/>
              </w:rPr>
              <w:t>6 of 2012</w:t>
            </w:r>
          </w:p>
        </w:tc>
        <w:tc>
          <w:tcPr>
            <w:tcW w:w="1135" w:type="dxa"/>
            <w:gridSpan w:val="2"/>
            <w:shd w:val="clear" w:color="auto" w:fill="auto"/>
          </w:tcPr>
          <w:p>
            <w:pPr>
              <w:pStyle w:val="nTable"/>
              <w:spacing w:after="40"/>
              <w:rPr>
                <w:snapToGrid w:val="0"/>
              </w:rPr>
            </w:pPr>
            <w:r>
              <w:rPr>
                <w:snapToGrid w:val="0"/>
              </w:rPr>
              <w:t>10 Apr 2012</w:t>
            </w:r>
          </w:p>
        </w:tc>
        <w:tc>
          <w:tcPr>
            <w:tcW w:w="2551" w:type="dxa"/>
            <w:gridSpan w:val="2"/>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rPr>
          <w:gridAfter w:val="1"/>
          <w:wAfter w:w="27" w:type="dxa"/>
          <w:cantSplit/>
        </w:trPr>
        <w:tc>
          <w:tcPr>
            <w:tcW w:w="7088" w:type="dxa"/>
            <w:gridSpan w:val="8"/>
            <w:shd w:val="clear" w:color="auto" w:fill="auto"/>
          </w:tcPr>
          <w:p>
            <w:pPr>
              <w:pStyle w:val="nTable"/>
              <w:spacing w:after="40"/>
              <w:rPr>
                <w:snapToGrid w:val="0"/>
              </w:rPr>
            </w:pPr>
            <w:r>
              <w:rPr>
                <w:b/>
                <w:spacing w:val="-4"/>
              </w:rPr>
              <w:t xml:space="preserve">Reprint 5: The </w:t>
            </w:r>
            <w:r>
              <w:rPr>
                <w:b/>
                <w:i/>
                <w:spacing w:val="-4"/>
              </w:rPr>
              <w:t>Travel Agents Act 1985</w:t>
            </w:r>
            <w:r>
              <w:rPr>
                <w:b/>
                <w:spacing w:val="-4"/>
              </w:rPr>
              <w:t xml:space="preserve"> as at 15 Nov 2013 </w:t>
            </w:r>
            <w:r>
              <w:rPr>
                <w:spacing w:val="-4"/>
              </w:rPr>
              <w:t>(includes amendments listed above)</w:t>
            </w:r>
          </w:p>
        </w:tc>
      </w:tr>
      <w:tr>
        <w:trPr>
          <w:gridAfter w:val="1"/>
          <w:wAfter w:w="27" w:type="dxa"/>
          <w:cantSplit/>
        </w:trPr>
        <w:tc>
          <w:tcPr>
            <w:tcW w:w="2268" w:type="dxa"/>
            <w:gridSpan w:val="2"/>
            <w:tcBorders>
              <w:bottom w:val="single" w:sz="4" w:space="0" w:color="auto"/>
            </w:tcBorders>
            <w:shd w:val="clear" w:color="auto" w:fill="auto"/>
          </w:tcPr>
          <w:p>
            <w:pPr>
              <w:pStyle w:val="nTable"/>
              <w:spacing w:after="40"/>
              <w:ind w:right="113"/>
              <w:rPr>
                <w:i/>
                <w:snapToGrid w:val="0"/>
              </w:rPr>
            </w:pPr>
            <w:r>
              <w:rPr>
                <w:i/>
                <w:noProof/>
                <w:snapToGrid w:val="0"/>
              </w:rPr>
              <w:t>Travel Agents Amendment and Expiry Act 2014</w:t>
            </w:r>
            <w:r>
              <w:rPr>
                <w:noProof/>
                <w:snapToGrid w:val="0"/>
              </w:rPr>
              <w:t xml:space="preserve"> Pt. 2</w:t>
            </w:r>
          </w:p>
        </w:tc>
        <w:tc>
          <w:tcPr>
            <w:tcW w:w="1134" w:type="dxa"/>
            <w:gridSpan w:val="2"/>
            <w:tcBorders>
              <w:bottom w:val="single" w:sz="4" w:space="0" w:color="auto"/>
            </w:tcBorders>
            <w:shd w:val="clear" w:color="auto" w:fill="auto"/>
          </w:tcPr>
          <w:p>
            <w:pPr>
              <w:pStyle w:val="nTable"/>
              <w:spacing w:after="40"/>
              <w:rPr>
                <w:snapToGrid w:val="0"/>
              </w:rPr>
            </w:pPr>
            <w:r>
              <w:t>21 of 2014</w:t>
            </w:r>
          </w:p>
        </w:tc>
        <w:tc>
          <w:tcPr>
            <w:tcW w:w="1135" w:type="dxa"/>
            <w:gridSpan w:val="2"/>
            <w:tcBorders>
              <w:bottom w:val="single" w:sz="4" w:space="0" w:color="auto"/>
            </w:tcBorders>
            <w:shd w:val="clear" w:color="auto" w:fill="auto"/>
          </w:tcPr>
          <w:p>
            <w:pPr>
              <w:pStyle w:val="nTable"/>
              <w:spacing w:after="40"/>
              <w:rPr>
                <w:snapToGrid w:val="0"/>
              </w:rPr>
            </w:pPr>
            <w:r>
              <w:t>29 Aug 2014</w:t>
            </w:r>
          </w:p>
        </w:tc>
        <w:tc>
          <w:tcPr>
            <w:tcW w:w="2551" w:type="dxa"/>
            <w:gridSpan w:val="2"/>
            <w:tcBorders>
              <w:bottom w:val="single" w:sz="4" w:space="0" w:color="auto"/>
            </w:tcBorders>
            <w:shd w:val="clear" w:color="auto" w:fill="auto"/>
          </w:tcPr>
          <w:p>
            <w:pPr>
              <w:pStyle w:val="nTable"/>
              <w:spacing w:after="40"/>
              <w:rPr>
                <w:snapToGrid w:val="0"/>
              </w:rPr>
            </w:pPr>
            <w:r>
              <w:rPr>
                <w:snapToGrid w:val="0"/>
              </w:rPr>
              <w:t xml:space="preserve">8 Oct 2014 (see s. 2(b) and </w:t>
            </w:r>
            <w:r>
              <w:rPr>
                <w:i/>
                <w:snapToGrid w:val="0"/>
              </w:rPr>
              <w:t>Gazette</w:t>
            </w:r>
            <w:r>
              <w:rPr>
                <w:snapToGrid w:val="0"/>
              </w:rPr>
              <w:t xml:space="preserve"> 7 Oct 2014 p. 3633)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1" w:name="_Toc401156795"/>
      <w:bookmarkStart w:id="172" w:name="_Toc429399337"/>
      <w:r>
        <w:t>Provisions that have not come into operation</w:t>
      </w:r>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Borders>
              <w:top w:val="single" w:sz="8" w:space="0" w:color="auto"/>
              <w:bottom w:val="single" w:sz="8" w:space="0" w:color="auto"/>
            </w:tcBorders>
          </w:tcPr>
          <w:p>
            <w:pPr>
              <w:pStyle w:val="nTable"/>
              <w:spacing w:before="60" w:after="60"/>
              <w:ind w:right="113"/>
              <w:rPr>
                <w:vertAlign w:val="superscript"/>
              </w:rPr>
            </w:pPr>
            <w:r>
              <w:rPr>
                <w:i/>
                <w:snapToGrid w:val="0"/>
              </w:rPr>
              <w:t xml:space="preserve">Consumer Protection Legislation Amendment Act 2014 </w:t>
            </w:r>
            <w:r>
              <w:rPr>
                <w:snapToGrid w:val="0"/>
              </w:rPr>
              <w:t>Pt. 15 </w:t>
            </w:r>
            <w:r>
              <w:rPr>
                <w:snapToGrid w:val="0"/>
                <w:vertAlign w:val="superscript"/>
              </w:rPr>
              <w:t>7</w:t>
            </w:r>
          </w:p>
        </w:tc>
        <w:tc>
          <w:tcPr>
            <w:tcW w:w="1134" w:type="dxa"/>
            <w:tcBorders>
              <w:top w:val="single" w:sz="8" w:space="0" w:color="auto"/>
              <w:bottom w:val="single" w:sz="8" w:space="0" w:color="auto"/>
            </w:tcBorders>
          </w:tcPr>
          <w:p>
            <w:pPr>
              <w:pStyle w:val="nTable"/>
              <w:spacing w:before="60" w:after="60"/>
            </w:pPr>
            <w:r>
              <w:t>23 of 2014</w:t>
            </w:r>
          </w:p>
        </w:tc>
        <w:tc>
          <w:tcPr>
            <w:tcW w:w="1134" w:type="dxa"/>
            <w:tcBorders>
              <w:top w:val="single" w:sz="8" w:space="0" w:color="auto"/>
              <w:bottom w:val="single" w:sz="8" w:space="0" w:color="auto"/>
            </w:tcBorders>
          </w:tcPr>
          <w:p>
            <w:pPr>
              <w:pStyle w:val="nTable"/>
              <w:spacing w:before="60" w:after="60"/>
            </w:pPr>
            <w:r>
              <w:t>9 Oct 2014</w:t>
            </w:r>
          </w:p>
        </w:tc>
        <w:tc>
          <w:tcPr>
            <w:tcW w:w="2551" w:type="dxa"/>
            <w:tcBorders>
              <w:top w:val="single" w:sz="8" w:space="0" w:color="auto"/>
              <w:bottom w:val="single" w:sz="8" w:space="0" w:color="auto"/>
            </w:tcBorders>
          </w:tcPr>
          <w:p>
            <w:pPr>
              <w:pStyle w:val="nTable"/>
              <w:spacing w:before="60" w:after="60"/>
            </w:pPr>
            <w:r>
              <w:t>To be proclaimed (see s. 2(b))</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BlankOpen"/>
      </w:pPr>
    </w:p>
    <w:p>
      <w:pPr>
        <w:pStyle w:val="nzHeading5"/>
        <w:spacing w:before="0"/>
      </w:pPr>
      <w:r>
        <w:rPr>
          <w:rStyle w:val="CharSectno"/>
        </w:rPr>
        <w:t>41</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r>
        <w:rPr>
          <w:rStyle w:val="CharSectno"/>
        </w:rPr>
        <w:t>64</w:t>
      </w:r>
      <w:r>
        <w:t>.</w:t>
      </w:r>
      <w:r>
        <w:tab/>
      </w:r>
      <w:r>
        <w:rPr>
          <w:i/>
        </w:rPr>
        <w:t>Travel Agents Act 1985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keepNext/>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BlankClose"/>
      </w:pP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 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BlankOpen"/>
        <w:rPr>
          <w:sz w:val="16"/>
          <w:szCs w:val="16"/>
        </w:rPr>
      </w:pP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15 had not come into operation.  It reads as follows:</w:t>
      </w:r>
    </w:p>
    <w:p>
      <w:pPr>
        <w:pStyle w:val="BlankClose"/>
      </w:pPr>
    </w:p>
    <w:p>
      <w:pPr>
        <w:pStyle w:val="nzHeading2"/>
      </w:pPr>
      <w:bookmarkStart w:id="173" w:name="_Toc370214303"/>
      <w:bookmarkStart w:id="174" w:name="_Toc370214461"/>
      <w:bookmarkStart w:id="175" w:name="_Toc370214619"/>
      <w:bookmarkStart w:id="176" w:name="_Toc370214777"/>
      <w:bookmarkStart w:id="177" w:name="_Toc370214935"/>
      <w:bookmarkStart w:id="178" w:name="_Toc370215759"/>
      <w:bookmarkStart w:id="179" w:name="_Toc370296614"/>
      <w:bookmarkStart w:id="180" w:name="_Toc370296772"/>
      <w:bookmarkStart w:id="181" w:name="_Toc370301917"/>
      <w:bookmarkStart w:id="182" w:name="_Toc370306340"/>
      <w:bookmarkStart w:id="183" w:name="_Toc399494881"/>
      <w:bookmarkStart w:id="184" w:name="_Toc401136953"/>
      <w:bookmarkStart w:id="185" w:name="_Toc401137613"/>
      <w:r>
        <w:rPr>
          <w:rStyle w:val="CharPartNo"/>
        </w:rPr>
        <w:t>Part 15</w:t>
      </w:r>
      <w:r>
        <w:rPr>
          <w:rStyle w:val="CharDivNo"/>
        </w:rPr>
        <w:t> </w:t>
      </w:r>
      <w:r>
        <w:t>—</w:t>
      </w:r>
      <w:r>
        <w:rPr>
          <w:rStyle w:val="CharDivText"/>
        </w:rPr>
        <w:t> </w:t>
      </w:r>
      <w:r>
        <w:rPr>
          <w:rStyle w:val="CharPartText"/>
          <w:i/>
        </w:rPr>
        <w:t>Travel Agents Act 1985</w:t>
      </w:r>
      <w:r>
        <w:rPr>
          <w:rStyle w:val="CharPartText"/>
        </w:rPr>
        <w:t> amended</w:t>
      </w:r>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nzHeading5"/>
      </w:pPr>
      <w:bookmarkStart w:id="186" w:name="_Toc401136954"/>
      <w:bookmarkStart w:id="187" w:name="_Toc401137614"/>
      <w:r>
        <w:rPr>
          <w:rStyle w:val="CharSectno"/>
        </w:rPr>
        <w:t>109</w:t>
      </w:r>
      <w:r>
        <w:t>.</w:t>
      </w:r>
      <w:r>
        <w:tab/>
        <w:t>Act amended</w:t>
      </w:r>
      <w:bookmarkEnd w:id="186"/>
      <w:bookmarkEnd w:id="187"/>
    </w:p>
    <w:p>
      <w:pPr>
        <w:pStyle w:val="nzSubsection"/>
      </w:pPr>
      <w:r>
        <w:tab/>
      </w:r>
      <w:r>
        <w:tab/>
        <w:t xml:space="preserve">This Part amends the </w:t>
      </w:r>
      <w:r>
        <w:rPr>
          <w:i/>
        </w:rPr>
        <w:t>Travel Agents Act 1985</w:t>
      </w:r>
      <w:r>
        <w:t>.</w:t>
      </w:r>
    </w:p>
    <w:p>
      <w:pPr>
        <w:pStyle w:val="nzHeading5"/>
      </w:pPr>
      <w:bookmarkStart w:id="188" w:name="_Toc401136955"/>
      <w:bookmarkStart w:id="189" w:name="_Toc401137615"/>
      <w:r>
        <w:rPr>
          <w:rStyle w:val="CharSectno"/>
        </w:rPr>
        <w:t>110</w:t>
      </w:r>
      <w:r>
        <w:t>.</w:t>
      </w:r>
      <w:r>
        <w:tab/>
        <w:t>Section 3 amended</w:t>
      </w:r>
      <w:bookmarkEnd w:id="188"/>
      <w:bookmarkEnd w:id="189"/>
    </w:p>
    <w:p>
      <w:pPr>
        <w:pStyle w:val="nzSubsection"/>
      </w:pPr>
      <w:r>
        <w:tab/>
      </w:r>
      <w:r>
        <w:tab/>
        <w:t>In section 3(1) insert in alphabetical order:</w:t>
      </w:r>
    </w:p>
    <w:p>
      <w:pPr>
        <w:pStyle w:val="BlankOpen"/>
      </w:pPr>
    </w:p>
    <w:p>
      <w:pPr>
        <w:pStyle w:val="nzDefstart"/>
      </w:pPr>
      <w:r>
        <w:tab/>
      </w:r>
      <w:r>
        <w:rPr>
          <w:rStyle w:val="CharDefText"/>
        </w:rPr>
        <w:t>former Crimes Act provision</w:t>
      </w:r>
      <w:r>
        <w:t xml:space="preserve"> means the deleted section 50DA or 50DB of the </w:t>
      </w:r>
      <w:r>
        <w:rPr>
          <w:i/>
        </w:rPr>
        <w:t>Crimes Act 1914</w:t>
      </w:r>
      <w:r>
        <w:t xml:space="preserve"> (Commonwealth);</w:t>
      </w:r>
    </w:p>
    <w:p>
      <w:pPr>
        <w:pStyle w:val="BlankClose"/>
      </w:pPr>
    </w:p>
    <w:p>
      <w:pPr>
        <w:pStyle w:val="nzHeading5"/>
      </w:pPr>
      <w:bookmarkStart w:id="190" w:name="_Toc401136956"/>
      <w:bookmarkStart w:id="191" w:name="_Toc401137616"/>
      <w:r>
        <w:rPr>
          <w:rStyle w:val="CharSectno"/>
        </w:rPr>
        <w:t>111</w:t>
      </w:r>
      <w:r>
        <w:t>.</w:t>
      </w:r>
      <w:r>
        <w:tab/>
        <w:t>Section 10 amended</w:t>
      </w:r>
      <w:bookmarkEnd w:id="190"/>
      <w:bookmarkEnd w:id="191"/>
    </w:p>
    <w:p>
      <w:pPr>
        <w:pStyle w:val="nzSubsection"/>
      </w:pPr>
      <w:r>
        <w:tab/>
        <w:t>(1)</w:t>
      </w:r>
      <w:r>
        <w:tab/>
        <w:t>Delete section 10(1).</w:t>
      </w:r>
    </w:p>
    <w:p>
      <w:pPr>
        <w:pStyle w:val="nzSubsection"/>
      </w:pPr>
      <w:r>
        <w:tab/>
        <w:t>(2)</w:t>
      </w:r>
      <w:r>
        <w:tab/>
        <w:t>In section 10(2) delete “The” and insert:</w:t>
      </w:r>
    </w:p>
    <w:p>
      <w:pPr>
        <w:pStyle w:val="BlankOpen"/>
      </w:pPr>
    </w:p>
    <w:p>
      <w:pPr>
        <w:pStyle w:val="nzSubsection"/>
      </w:pPr>
      <w:r>
        <w:tab/>
      </w:r>
      <w:r>
        <w:tab/>
        <w:t>When an application has been made in accordance with section 9, the</w:t>
      </w:r>
    </w:p>
    <w:p>
      <w:pPr>
        <w:pStyle w:val="BlankClose"/>
      </w:pPr>
    </w:p>
    <w:p>
      <w:pPr>
        <w:pStyle w:val="nzHeading5"/>
      </w:pPr>
      <w:bookmarkStart w:id="192" w:name="_Toc401136957"/>
      <w:bookmarkStart w:id="193" w:name="_Toc401137617"/>
      <w:r>
        <w:rPr>
          <w:rStyle w:val="CharSectno"/>
        </w:rPr>
        <w:t>112</w:t>
      </w:r>
      <w:r>
        <w:t>.</w:t>
      </w:r>
      <w:r>
        <w:tab/>
        <w:t>Section 11 deleted</w:t>
      </w:r>
      <w:bookmarkEnd w:id="192"/>
      <w:bookmarkEnd w:id="193"/>
    </w:p>
    <w:p>
      <w:pPr>
        <w:pStyle w:val="nzSubsection"/>
      </w:pPr>
      <w:r>
        <w:tab/>
      </w:r>
      <w:r>
        <w:tab/>
        <w:t>Delete section 11.</w:t>
      </w:r>
    </w:p>
    <w:p>
      <w:pPr>
        <w:pStyle w:val="nzHeading5"/>
      </w:pPr>
      <w:bookmarkStart w:id="194" w:name="_Toc401136958"/>
      <w:bookmarkStart w:id="195" w:name="_Toc401137618"/>
      <w:r>
        <w:rPr>
          <w:rStyle w:val="CharSectno"/>
        </w:rPr>
        <w:t>113</w:t>
      </w:r>
      <w:r>
        <w:t>.</w:t>
      </w:r>
      <w:r>
        <w:tab/>
        <w:t>Section 12 amended</w:t>
      </w:r>
      <w:bookmarkEnd w:id="194"/>
      <w:bookmarkEnd w:id="195"/>
    </w:p>
    <w:p>
      <w:pPr>
        <w:pStyle w:val="nzSubsection"/>
      </w:pPr>
      <w:r>
        <w:tab/>
        <w:t>(1)</w:t>
      </w:r>
      <w:r>
        <w:tab/>
        <w:t>Delete section 12(1) and insert:</w:t>
      </w:r>
    </w:p>
    <w:p>
      <w:pPr>
        <w:pStyle w:val="BlankOpen"/>
      </w:pPr>
    </w:p>
    <w:p>
      <w:pPr>
        <w:pStyle w:val="nzSubsection"/>
      </w:pPr>
      <w:r>
        <w:tab/>
        <w:t>(1)</w:t>
      </w:r>
      <w:r>
        <w:tab/>
        <w:t>Unless subsection (2) or (4) requires it to be refused, the Commissioner is to grant an application as soon as practicable.</w:t>
      </w:r>
    </w:p>
    <w:p>
      <w:pPr>
        <w:pStyle w:val="BlankClose"/>
      </w:pPr>
    </w:p>
    <w:p>
      <w:pPr>
        <w:pStyle w:val="nzSubsection"/>
      </w:pPr>
      <w:r>
        <w:tab/>
        <w:t>(2)</w:t>
      </w:r>
      <w:r>
        <w:tab/>
        <w:t>Delete section 12(2)(ba) and insert:</w:t>
      </w:r>
    </w:p>
    <w:p>
      <w:pPr>
        <w:pStyle w:val="BlankOpen"/>
      </w:pPr>
    </w:p>
    <w:p>
      <w:pPr>
        <w:pStyle w:val="nzIndenta"/>
      </w:pPr>
      <w:r>
        <w:tab/>
        <w:t>(ba)</w:t>
      </w:r>
      <w:r>
        <w:tab/>
        <w:t xml:space="preserve">the individual has been found guilty of an offence under </w:t>
      </w:r>
      <w:r>
        <w:rPr>
          <w:i/>
        </w:rPr>
        <w:t>The Criminal Code</w:t>
      </w:r>
      <w:r>
        <w:t xml:space="preserve"> section 187, the </w:t>
      </w:r>
      <w:r>
        <w:rPr>
          <w:i/>
        </w:rPr>
        <w:t>Criminal Code Act 1995</w:t>
      </w:r>
      <w:r>
        <w:t xml:space="preserve"> (Commonwealth) section 272.18, 272.19 or 272.20 or a former Crimes Act provision; or</w:t>
      </w:r>
    </w:p>
    <w:p>
      <w:pPr>
        <w:pStyle w:val="BlankClose"/>
      </w:pPr>
    </w:p>
    <w:p>
      <w:pPr>
        <w:pStyle w:val="nzSubsection"/>
      </w:pPr>
      <w:r>
        <w:tab/>
        <w:t>(3)</w:t>
      </w:r>
      <w:r>
        <w:tab/>
        <w:t xml:space="preserve">In section 12(4)(i) delete “section 187 of </w:t>
      </w:r>
      <w:r>
        <w:rPr>
          <w:i/>
        </w:rPr>
        <w:t>The Criminal Code</w:t>
      </w:r>
      <w:r>
        <w:t xml:space="preserve"> or section 50DA or 50DB of the </w:t>
      </w:r>
      <w:r>
        <w:rPr>
          <w:i/>
        </w:rPr>
        <w:t>Crimes Act 1914</w:t>
      </w:r>
      <w:r>
        <w:t xml:space="preserve"> of the Commonwealth.” and insert:</w:t>
      </w:r>
    </w:p>
    <w:p>
      <w:pPr>
        <w:pStyle w:val="BlankOpen"/>
      </w:pPr>
    </w:p>
    <w:p>
      <w:pPr>
        <w:pStyle w:val="nzSubsection"/>
      </w:pPr>
      <w:r>
        <w:tab/>
      </w:r>
      <w:r>
        <w:tab/>
      </w:r>
      <w:r>
        <w:rPr>
          <w:i/>
        </w:rPr>
        <w:t>The Criminal Code</w:t>
      </w:r>
      <w:r>
        <w:t xml:space="preserve"> section 187, the </w:t>
      </w:r>
      <w:r>
        <w:rPr>
          <w:i/>
        </w:rPr>
        <w:t>Criminal Code Act 1995</w:t>
      </w:r>
      <w:r>
        <w:t xml:space="preserve"> (Commonwealth) section 272.18, 272.19 or 272.20 or a former Crimes Act provision.</w:t>
      </w:r>
    </w:p>
    <w:p>
      <w:pPr>
        <w:pStyle w:val="BlankClose"/>
      </w:pPr>
    </w:p>
    <w:p>
      <w:pPr>
        <w:pStyle w:val="nzSubsection"/>
      </w:pPr>
      <w:r>
        <w:tab/>
        <w:t>(4)</w:t>
      </w:r>
      <w:r>
        <w:tab/>
        <w:t>Delete section 12(5)(b) and insert:</w:t>
      </w:r>
    </w:p>
    <w:p>
      <w:pPr>
        <w:pStyle w:val="BlankOpen"/>
      </w:pPr>
    </w:p>
    <w:p>
      <w:pPr>
        <w:pStyle w:val="nzIndenta"/>
      </w:pPr>
      <w:r>
        <w:tab/>
        <w:t>(b)</w:t>
      </w:r>
      <w:r>
        <w:tab/>
        <w:t>has afforded the applicant an opportunity to make submissions and adduce evidence.</w:t>
      </w:r>
    </w:p>
    <w:p>
      <w:pPr>
        <w:pStyle w:val="BlankClose"/>
      </w:pPr>
    </w:p>
    <w:p>
      <w:pPr>
        <w:pStyle w:val="nzSubsection"/>
      </w:pPr>
      <w:r>
        <w:tab/>
        <w:t>(5)</w:t>
      </w:r>
      <w:r>
        <w:tab/>
        <w:t>In section 12(6) delete “and each objector (if any) to the granting of the application”.</w:t>
      </w:r>
    </w:p>
    <w:p>
      <w:pPr>
        <w:pStyle w:val="nzSubsection"/>
      </w:pPr>
      <w:r>
        <w:tab/>
        <w:t>(6)</w:t>
      </w:r>
      <w:r>
        <w:tab/>
        <w:t>Delete section 12(7)(a) and insert:</w:t>
      </w:r>
    </w:p>
    <w:p>
      <w:pPr>
        <w:pStyle w:val="BlankOpen"/>
      </w:pPr>
    </w:p>
    <w:p>
      <w:pPr>
        <w:pStyle w:val="BlankOpen"/>
      </w:pPr>
    </w:p>
    <w:p>
      <w:pPr>
        <w:pStyle w:val="nzIndenta"/>
      </w:pPr>
      <w:r>
        <w:tab/>
        <w:t>(a)</w:t>
      </w:r>
      <w:r>
        <w:tab/>
        <w:t>the Commissioner is forthwith, by notice in writing, to inform the applicant of the granting of the application and the right to apply to the State Administrative Tribunal for a review of any condition imposed; and</w:t>
      </w:r>
    </w:p>
    <w:p>
      <w:pPr>
        <w:pStyle w:val="BlankClose"/>
      </w:pPr>
    </w:p>
    <w:p>
      <w:pPr>
        <w:pStyle w:val="nzSubsection"/>
      </w:pPr>
      <w:r>
        <w:tab/>
        <w:t>(7)</w:t>
      </w:r>
      <w:r>
        <w:tab/>
        <w:t>In section 12 after each of subsections (2)(a) to (f) and (4)(a) to (g) insert:</w:t>
      </w:r>
    </w:p>
    <w:p>
      <w:pPr>
        <w:pStyle w:val="BlankOpen"/>
      </w:pPr>
    </w:p>
    <w:p>
      <w:pPr>
        <w:pStyle w:val="nzSubsection"/>
      </w:pPr>
      <w:r>
        <w:tab/>
      </w:r>
      <w:r>
        <w:tab/>
        <w:t>or</w:t>
      </w:r>
    </w:p>
    <w:p>
      <w:pPr>
        <w:pStyle w:val="BlankClose"/>
      </w:pPr>
    </w:p>
    <w:p>
      <w:pPr>
        <w:pStyle w:val="nzHeading5"/>
      </w:pPr>
      <w:bookmarkStart w:id="196" w:name="_Toc401136959"/>
      <w:bookmarkStart w:id="197" w:name="_Toc401137619"/>
      <w:r>
        <w:rPr>
          <w:rStyle w:val="CharSectno"/>
        </w:rPr>
        <w:t>114</w:t>
      </w:r>
      <w:r>
        <w:t>.</w:t>
      </w:r>
      <w:r>
        <w:tab/>
        <w:t>Section 21 amended</w:t>
      </w:r>
      <w:bookmarkEnd w:id="196"/>
      <w:bookmarkEnd w:id="197"/>
    </w:p>
    <w:p>
      <w:pPr>
        <w:pStyle w:val="nzSubsection"/>
      </w:pPr>
      <w:r>
        <w:tab/>
        <w:t>(1)</w:t>
      </w:r>
      <w:r>
        <w:tab/>
        <w:t>After section 21(4)(c) insert:</w:t>
      </w:r>
    </w:p>
    <w:p>
      <w:pPr>
        <w:pStyle w:val="BlankOpen"/>
      </w:pPr>
    </w:p>
    <w:p>
      <w:pPr>
        <w:pStyle w:val="nzIndenta"/>
      </w:pPr>
      <w:r>
        <w:tab/>
        <w:t>(da)</w:t>
      </w:r>
      <w:r>
        <w:tab/>
        <w:t xml:space="preserve">a licensee has been found guilty of an offence under </w:t>
      </w:r>
      <w:r>
        <w:rPr>
          <w:i/>
        </w:rPr>
        <w:t>The Criminal Code</w:t>
      </w:r>
      <w:r>
        <w:t xml:space="preserve"> section 187, the </w:t>
      </w:r>
      <w:r>
        <w:rPr>
          <w:i/>
        </w:rPr>
        <w:t>Criminal Code Act 1995</w:t>
      </w:r>
      <w:r>
        <w:t xml:space="preserve"> (Commonwealth) section 272.18, 272.19 or 272.20 or a former Crimes Act provision; or</w:t>
      </w:r>
    </w:p>
    <w:p>
      <w:pPr>
        <w:pStyle w:val="BlankClose"/>
      </w:pPr>
    </w:p>
    <w:p>
      <w:pPr>
        <w:pStyle w:val="nzSubsection"/>
      </w:pPr>
      <w:r>
        <w:tab/>
        <w:t>(2)</w:t>
      </w:r>
      <w:r>
        <w:tab/>
        <w:t>Delete section 21(4a).</w:t>
      </w:r>
    </w:p>
    <w:p>
      <w:pPr>
        <w:pStyle w:val="nzSubsection"/>
      </w:pPr>
      <w:r>
        <w:tab/>
        <w:t>(3)</w:t>
      </w:r>
      <w:r>
        <w:tab/>
        <w:t>In section 21(4) after each of paragraphs (a), (b), (c), (d), (e), (f) and (g) insert:</w:t>
      </w:r>
    </w:p>
    <w:p>
      <w:pPr>
        <w:pStyle w:val="BlankOpen"/>
      </w:pPr>
    </w:p>
    <w:p>
      <w:pPr>
        <w:pStyle w:val="nzSubsection"/>
      </w:pPr>
      <w:r>
        <w:tab/>
      </w:r>
      <w:r>
        <w:tab/>
        <w:t>or</w:t>
      </w:r>
    </w:p>
    <w:p>
      <w:pPr>
        <w:pStyle w:val="BlankClose"/>
      </w:pPr>
    </w:p>
    <w:p>
      <w:pPr>
        <w:pStyle w:val="nzHeading5"/>
      </w:pPr>
      <w:bookmarkStart w:id="198" w:name="_Toc401136960"/>
      <w:bookmarkStart w:id="199" w:name="_Toc401137620"/>
      <w:r>
        <w:rPr>
          <w:rStyle w:val="CharSectno"/>
        </w:rPr>
        <w:t>115</w:t>
      </w:r>
      <w:r>
        <w:t>.</w:t>
      </w:r>
      <w:r>
        <w:tab/>
        <w:t>Section 22 amended</w:t>
      </w:r>
      <w:bookmarkEnd w:id="198"/>
      <w:bookmarkEnd w:id="199"/>
    </w:p>
    <w:p>
      <w:pPr>
        <w:pStyle w:val="nzSubsection"/>
      </w:pPr>
      <w:r>
        <w:tab/>
        <w:t>(1)</w:t>
      </w:r>
      <w:r>
        <w:tab/>
        <w:t>In section 22(1) delete “I</w:t>
      </w:r>
      <w:r>
        <w:rPr>
          <w:spacing w:val="32"/>
        </w:rPr>
        <w:t>f”</w:t>
      </w:r>
      <w:r>
        <w:t xml:space="preserve"> and insert:</w:t>
      </w:r>
    </w:p>
    <w:p>
      <w:pPr>
        <w:pStyle w:val="BlankOpen"/>
      </w:pPr>
    </w:p>
    <w:p>
      <w:pPr>
        <w:pStyle w:val="nzSubsection"/>
      </w:pPr>
      <w:r>
        <w:tab/>
      </w:r>
      <w:r>
        <w:tab/>
        <w:t>Subject to subsection (1a), if</w:t>
      </w:r>
    </w:p>
    <w:p>
      <w:pPr>
        <w:pStyle w:val="BlankClose"/>
      </w:pPr>
    </w:p>
    <w:p>
      <w:pPr>
        <w:pStyle w:val="nzSubsection"/>
      </w:pPr>
      <w:r>
        <w:tab/>
        <w:t>(2)</w:t>
      </w:r>
      <w:r>
        <w:tab/>
        <w:t>In section 22(1a) delete the passage that begins with “I</w:t>
      </w:r>
      <w:r>
        <w:rPr>
          <w:spacing w:val="32"/>
        </w:rPr>
        <w:t>f”</w:t>
      </w:r>
      <w:r>
        <w:t xml:space="preserve"> and ends with “it —” and insert:</w:t>
      </w:r>
    </w:p>
    <w:p>
      <w:pPr>
        <w:pStyle w:val="BlankOpen"/>
      </w:pPr>
    </w:p>
    <w:p>
      <w:pPr>
        <w:pStyle w:val="nzSubsection"/>
      </w:pPr>
      <w:r>
        <w:tab/>
      </w:r>
      <w:r>
        <w:tab/>
        <w:t xml:space="preserve">If the State Administrative Tribunal, on dealing with an allegation under section 21(5) in respect of a belief described in section 21(4)(da), is satisfied that the licensee has been found guilty of an offence under </w:t>
      </w:r>
      <w:r>
        <w:rPr>
          <w:i/>
        </w:rPr>
        <w:t>The Criminal Code</w:t>
      </w:r>
      <w:r>
        <w:t xml:space="preserve"> section 187, the </w:t>
      </w:r>
      <w:r>
        <w:rPr>
          <w:i/>
        </w:rPr>
        <w:t>Criminal Code Act 1995</w:t>
      </w:r>
      <w:r>
        <w:t xml:space="preserve"> (Commonwealth) section 272.18, 272.19 or 272.20 or a former Crimes Act provision, the Tribunal — </w:t>
      </w:r>
    </w:p>
    <w:p>
      <w:pPr>
        <w:pStyle w:val="BlankClose"/>
      </w:pPr>
    </w:p>
    <w:p>
      <w:pPr>
        <w:pStyle w:val="nzHeading5"/>
      </w:pPr>
      <w:bookmarkStart w:id="200" w:name="_Toc401136961"/>
      <w:bookmarkStart w:id="201" w:name="_Toc401137621"/>
      <w:r>
        <w:rPr>
          <w:rStyle w:val="CharSectno"/>
        </w:rPr>
        <w:t>116</w:t>
      </w:r>
      <w:r>
        <w:t>.</w:t>
      </w:r>
      <w:r>
        <w:tab/>
        <w:t>Section 23 amended</w:t>
      </w:r>
      <w:bookmarkEnd w:id="200"/>
      <w:bookmarkEnd w:id="201"/>
    </w:p>
    <w:p>
      <w:pPr>
        <w:pStyle w:val="nzSubsection"/>
      </w:pPr>
      <w:r>
        <w:tab/>
      </w:r>
      <w:r>
        <w:tab/>
        <w:t xml:space="preserve">In section 23(2) in the definition of </w:t>
      </w:r>
      <w:r>
        <w:rPr>
          <w:b/>
          <w:i/>
        </w:rPr>
        <w:t>person aggrieved</w:t>
      </w:r>
      <w:r>
        <w:t xml:space="preserve"> delete paragraph (a) and insert:</w:t>
      </w:r>
    </w:p>
    <w:p>
      <w:pPr>
        <w:pStyle w:val="BlankOpen"/>
      </w:pPr>
    </w:p>
    <w:p>
      <w:pPr>
        <w:pStyle w:val="nzDefpara"/>
      </w:pPr>
      <w:r>
        <w:tab/>
        <w:t>(a)</w:t>
      </w:r>
      <w:r>
        <w:tab/>
        <w:t>a person upon whose application a reviewable decision is made; or</w:t>
      </w:r>
    </w:p>
    <w:p>
      <w:pPr>
        <w:pStyle w:val="BlankClose"/>
      </w:pPr>
    </w:p>
    <w:p>
      <w:pPr>
        <w:pStyle w:val="nzHeading5"/>
      </w:pPr>
      <w:bookmarkStart w:id="202" w:name="_Toc401136962"/>
      <w:bookmarkStart w:id="203" w:name="_Toc401137622"/>
      <w:r>
        <w:rPr>
          <w:rStyle w:val="CharSectno"/>
        </w:rPr>
        <w:t>117</w:t>
      </w:r>
      <w:r>
        <w:t>.</w:t>
      </w:r>
      <w:r>
        <w:tab/>
        <w:t>Section 30 amended</w:t>
      </w:r>
      <w:bookmarkEnd w:id="202"/>
      <w:bookmarkEnd w:id="203"/>
    </w:p>
    <w:p>
      <w:pPr>
        <w:pStyle w:val="nzSubsection"/>
      </w:pPr>
      <w:r>
        <w:tab/>
        <w:t>(1)</w:t>
      </w:r>
      <w:r>
        <w:tab/>
        <w:t>Delete section 30(1)(da) and insert:</w:t>
      </w:r>
    </w:p>
    <w:p>
      <w:pPr>
        <w:pStyle w:val="BlankOpen"/>
      </w:pPr>
    </w:p>
    <w:p>
      <w:pPr>
        <w:pStyle w:val="nzIndenta"/>
      </w:pPr>
      <w:r>
        <w:tab/>
        <w:t>(da)</w:t>
      </w:r>
      <w:r>
        <w:tab/>
        <w:t xml:space="preserve">has been found guilty of an offence under </w:t>
      </w:r>
      <w:r>
        <w:rPr>
          <w:i/>
        </w:rPr>
        <w:t>The Criminal Code</w:t>
      </w:r>
      <w:r>
        <w:t xml:space="preserve"> section 187, the </w:t>
      </w:r>
      <w:r>
        <w:rPr>
          <w:i/>
        </w:rPr>
        <w:t>Criminal Code Act 1995</w:t>
      </w:r>
      <w:r>
        <w:t xml:space="preserve"> (Commonwealth) section 272.18, 272.19 or 272.20 or a former Crimes Act provision; or</w:t>
      </w:r>
    </w:p>
    <w:p>
      <w:pPr>
        <w:pStyle w:val="BlankClose"/>
      </w:pPr>
    </w:p>
    <w:p>
      <w:pPr>
        <w:pStyle w:val="nzSubsection"/>
      </w:pPr>
      <w:r>
        <w:tab/>
        <w:t>(2)</w:t>
      </w:r>
      <w:r>
        <w:tab/>
        <w:t>In section 30(1) after each of paragraphs (a), (b), (c) and (d) insert:</w:t>
      </w:r>
    </w:p>
    <w:p>
      <w:pPr>
        <w:pStyle w:val="BlankOpen"/>
      </w:pPr>
    </w:p>
    <w:p>
      <w:pPr>
        <w:pStyle w:val="nzSubsection"/>
      </w:pPr>
      <w:r>
        <w:tab/>
      </w:r>
      <w:r>
        <w:tab/>
        <w:t>or</w:t>
      </w:r>
    </w:p>
    <w:p>
      <w:pPr>
        <w:pStyle w:val="BlankClose"/>
      </w:pPr>
    </w:p>
    <w:p>
      <w:pPr>
        <w:rPr>
          <w:snapToGrid w:val="0"/>
        </w:rPr>
      </w:pPr>
    </w:p>
    <w:p>
      <w:pPr>
        <w:rPr>
          <w:snapToGrid w:val="0"/>
        </w:r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205" w:name="_Toc429399338"/>
      <w:r>
        <w:rPr>
          <w:sz w:val="28"/>
        </w:rPr>
        <w:t>Defined terms</w:t>
      </w:r>
      <w:bookmarkEnd w:id="2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3(1)</w:t>
      </w:r>
    </w:p>
    <w:p>
      <w:pPr>
        <w:pStyle w:val="DefinedTerms"/>
      </w:pPr>
      <w:r>
        <w:t>application</w:t>
      </w:r>
      <w:r>
        <w:tab/>
        <w:t>3(1)</w:t>
      </w:r>
    </w:p>
    <w:p>
      <w:pPr>
        <w:pStyle w:val="DefinedTerms"/>
      </w:pPr>
      <w:r>
        <w:t>appointed day</w:t>
      </w:r>
      <w:r>
        <w:tab/>
        <w:t>3(1)</w:t>
      </w:r>
    </w:p>
    <w:p>
      <w:pPr>
        <w:pStyle w:val="DefinedTerms"/>
      </w:pPr>
      <w:r>
        <w:t>bank</w:t>
      </w:r>
      <w:r>
        <w:tab/>
        <w:t>3(1)</w:t>
      </w:r>
    </w:p>
    <w:p>
      <w:pPr>
        <w:pStyle w:val="DefinedTerms"/>
      </w:pPr>
      <w:r>
        <w:t>books</w:t>
      </w:r>
      <w:r>
        <w:tab/>
        <w:t>3(1)</w:t>
      </w:r>
    </w:p>
    <w:p>
      <w:pPr>
        <w:pStyle w:val="DefinedTerms"/>
      </w:pPr>
      <w:r>
        <w:t>Commissioner</w:t>
      </w:r>
      <w:r>
        <w:tab/>
        <w:t>3(1)</w:t>
      </w:r>
    </w:p>
    <w:p>
      <w:pPr>
        <w:pStyle w:val="DefinedTerms"/>
      </w:pPr>
      <w:r>
        <w:t>Compensation Scheme</w:t>
      </w:r>
      <w:r>
        <w:tab/>
        <w:t>3(1)</w:t>
      </w:r>
    </w:p>
    <w:p>
      <w:pPr>
        <w:pStyle w:val="DefinedTerms"/>
      </w:pPr>
      <w:r>
        <w:t>Compensation Trustees</w:t>
      </w:r>
      <w:r>
        <w:tab/>
        <w:t>3(1)</w:t>
      </w:r>
    </w:p>
    <w:p>
      <w:pPr>
        <w:pStyle w:val="DefinedTerms"/>
      </w:pPr>
      <w:r>
        <w:t>condition</w:t>
      </w:r>
      <w:r>
        <w:tab/>
        <w:t>3(1)</w:t>
      </w:r>
    </w:p>
    <w:p>
      <w:pPr>
        <w:pStyle w:val="DefinedTerms"/>
      </w:pPr>
      <w:r>
        <w:t>court</w:t>
      </w:r>
      <w:r>
        <w:tab/>
        <w:t>53(1)</w:t>
      </w:r>
    </w:p>
    <w:p>
      <w:pPr>
        <w:pStyle w:val="DefinedTerms"/>
      </w:pPr>
      <w:r>
        <w:t>Department</w:t>
      </w:r>
      <w:r>
        <w:tab/>
        <w:t>3(1)</w:t>
      </w:r>
    </w:p>
    <w:p>
      <w:pPr>
        <w:pStyle w:val="DefinedTerms"/>
      </w:pPr>
      <w:r>
        <w:t>director</w:t>
      </w:r>
      <w:r>
        <w:tab/>
        <w:t>3(1)</w:t>
      </w:r>
    </w:p>
    <w:p>
      <w:pPr>
        <w:pStyle w:val="DefinedTerms"/>
      </w:pPr>
      <w:r>
        <w:t>executive officer</w:t>
      </w:r>
      <w:r>
        <w:tab/>
        <w:t>49A(3)</w:t>
      </w:r>
    </w:p>
    <w:p>
      <w:pPr>
        <w:pStyle w:val="DefinedTerms"/>
      </w:pPr>
      <w:r>
        <w:t>exempted person</w:t>
      </w:r>
      <w:r>
        <w:tab/>
        <w:t>3(1)</w:t>
      </w:r>
    </w:p>
    <w:p>
      <w:pPr>
        <w:pStyle w:val="DefinedTerms"/>
      </w:pPr>
      <w:r>
        <w:t>licence</w:t>
      </w:r>
      <w:r>
        <w:tab/>
        <w:t>3(1)</w:t>
      </w:r>
    </w:p>
    <w:p>
      <w:pPr>
        <w:pStyle w:val="DefinedTerms"/>
      </w:pPr>
      <w:r>
        <w:t>licence fee</w:t>
      </w:r>
      <w:r>
        <w:tab/>
        <w:t>63(1)</w:t>
      </w:r>
    </w:p>
    <w:p>
      <w:pPr>
        <w:pStyle w:val="DefinedTerms"/>
      </w:pPr>
      <w:r>
        <w:t>licence period</w:t>
      </w:r>
      <w:r>
        <w:tab/>
        <w:t>63(1)</w:t>
      </w:r>
    </w:p>
    <w:p>
      <w:pPr>
        <w:pStyle w:val="DefinedTerms"/>
      </w:pPr>
      <w:r>
        <w:t>licensee</w:t>
      </w:r>
      <w:r>
        <w:tab/>
        <w:t>3(1)</w:t>
      </w:r>
    </w:p>
    <w:p>
      <w:pPr>
        <w:pStyle w:val="DefinedTerms"/>
      </w:pPr>
      <w:r>
        <w:t>moneys</w:t>
      </w:r>
      <w:r>
        <w:tab/>
        <w:t>3(1)</w:t>
      </w:r>
    </w:p>
    <w:p>
      <w:pPr>
        <w:pStyle w:val="DefinedTerms"/>
      </w:pPr>
      <w:r>
        <w:t>officer</w:t>
      </w:r>
      <w:r>
        <w:tab/>
        <w:t>3(1), 50(4)</w:t>
      </w:r>
    </w:p>
    <w:p>
      <w:pPr>
        <w:pStyle w:val="DefinedTerms"/>
      </w:pPr>
      <w:r>
        <w:t>person aggrieved</w:t>
      </w:r>
      <w:r>
        <w:tab/>
        <w:t>23(2)</w:t>
      </w:r>
    </w:p>
    <w:p>
      <w:pPr>
        <w:pStyle w:val="DefinedTerms"/>
      </w:pPr>
      <w:r>
        <w:t>prohibitory order</w:t>
      </w:r>
      <w:r>
        <w:tab/>
        <w:t>39(3)</w:t>
      </w:r>
    </w:p>
    <w:p>
      <w:pPr>
        <w:pStyle w:val="DefinedTerms"/>
      </w:pPr>
      <w:r>
        <w:t>property</w:t>
      </w:r>
      <w:r>
        <w:tab/>
        <w:t>32(9)</w:t>
      </w:r>
    </w:p>
    <w:p>
      <w:pPr>
        <w:pStyle w:val="DefinedTerms"/>
      </w:pPr>
      <w:r>
        <w:t>publication day</w:t>
      </w:r>
      <w:r>
        <w:tab/>
        <w:t>65(1)</w:t>
      </w:r>
    </w:p>
    <w:p>
      <w:pPr>
        <w:pStyle w:val="DefinedTerms"/>
      </w:pPr>
      <w:r>
        <w:t>records</w:t>
      </w:r>
      <w:r>
        <w:tab/>
        <w:t>3(1)</w:t>
      </w:r>
    </w:p>
    <w:p>
      <w:pPr>
        <w:pStyle w:val="DefinedTerms"/>
      </w:pPr>
      <w:r>
        <w:t>refundable portion</w:t>
      </w:r>
      <w:r>
        <w:tab/>
        <w:t>63(1)</w:t>
      </w:r>
    </w:p>
    <w:p>
      <w:pPr>
        <w:pStyle w:val="DefinedTerms"/>
      </w:pPr>
      <w:r>
        <w:t>reviewable decision</w:t>
      </w:r>
      <w:r>
        <w:tab/>
        <w:t>23(2)</w:t>
      </w:r>
    </w:p>
    <w:p>
      <w:pPr>
        <w:pStyle w:val="DefinedTerms"/>
      </w:pPr>
      <w:r>
        <w:t>specified</w:t>
      </w:r>
      <w:r>
        <w:tab/>
        <w:t>59(3), 65(1)</w:t>
      </w:r>
    </w:p>
    <w:p>
      <w:pPr>
        <w:pStyle w:val="DefinedTerms"/>
      </w:pPr>
      <w:r>
        <w:t>transition day</w:t>
      </w:r>
      <w:r>
        <w:tab/>
        <w:t>3(1)</w:t>
      </w:r>
    </w:p>
    <w:p>
      <w:pPr>
        <w:pStyle w:val="DefinedTerms"/>
      </w:pPr>
      <w:r>
        <w:t>transitional matter</w:t>
      </w:r>
      <w:r>
        <w:tab/>
        <w:t>65(1)</w:t>
      </w:r>
    </w:p>
    <w:p>
      <w:pPr>
        <w:pStyle w:val="DefinedTerms"/>
      </w:pPr>
      <w:r>
        <w:t>Trust Deed</w:t>
      </w:r>
      <w:r>
        <w:tab/>
        <w:t>3(1)</w:t>
      </w:r>
    </w:p>
    <w:p>
      <w:pPr>
        <w:pStyle w:val="DefinedTerms"/>
      </w:pPr>
      <w:r>
        <w:t>unexpired portion</w:t>
      </w:r>
      <w:r>
        <w:tab/>
        <w:t>63(1)</w:t>
      </w:r>
    </w:p>
    <w:p>
      <w:pPr>
        <w:pStyle w:val="DefinedTerms"/>
      </w:pPr>
      <w:r>
        <w:t>unlicensed person</w:t>
      </w:r>
      <w:r>
        <w:tab/>
        <w:t>49(4)</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5" w:name="Schedule"/>
    <w:bookmarkEnd w:id="1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Travel Agents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Travel Agents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6" w:name="DefinedTerms"/>
    <w:bookmarkEnd w:id="20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7" w:name="Coversheet"/>
    <w:bookmarkEnd w:id="2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Travel Agents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Travel Agents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Travel Agents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EEC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38B4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A2F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E48F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049D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D806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9E94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561A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B864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F442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B07F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52336"/>
    <w:docVar w:name="WAFER_20140115161458" w:val="RemoveTocBookmarks,RemoveUnusedBookmarks,RemoveLanguageTags,UsedStyles,ResetPageSize,UpdateArrangement"/>
    <w:docVar w:name="WAFER_20140115161458_GUID" w:val="e505dd14-e811-4b65-b295-2b8c5fa3c0c5"/>
    <w:docVar w:name="WAFER_20140115164727" w:val="RemoveTocBookmarks,RunningHeaders"/>
    <w:docVar w:name="WAFER_20140115164727_GUID" w:val="af122747-e887-424a-af0b-797b10250318"/>
    <w:docVar w:name="WAFER_20141006121030" w:val="RemoveTocBookmarks,RunningHeaders"/>
    <w:docVar w:name="WAFER_20141006121030_GUID" w:val="72d75c6c-b6ea-449a-b7ee-f0876b321f39"/>
    <w:docVar w:name="WAFER_20141015123037" w:val="RemoveTocBookmarks,RemoveUnusedBookmarks,RemoveLanguageTags,UsedStyles,ResetPageSize,UpdateArrangement"/>
    <w:docVar w:name="WAFER_20141015123037_GUID" w:val="7b4623ab-9c2d-4c95-86f1-32287e9df64a"/>
    <w:docVar w:name="WAFER_20150713115408" w:val="ResetPageSize,UpdateArrangement,UpdateNTable"/>
    <w:docVar w:name="WAFER_20150713115408_GUID" w:val="d2bfb93d-d5aa-44cd-a62a-e2c00c2d4d09"/>
    <w:docVar w:name="WAFER_20151123152135" w:val="UpdateStyles"/>
    <w:docVar w:name="WAFER_20151123152135_GUID" w:val="31eb7778-3f64-480c-abfb-5983a8db6a84"/>
    <w:docVar w:name="WAFER_20151123152336" w:val="UsedStyles"/>
    <w:docVar w:name="WAFER_20151123152336_GUID" w:val="3db3f13f-a938-437e-bdc6-1b93da88b9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5A0C-5408-40C3-8731-D30F445C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18032</Words>
  <Characters>85294</Characters>
  <Application>Microsoft Office Word</Application>
  <DocSecurity>0</DocSecurity>
  <Lines>2436</Lines>
  <Paragraphs>1324</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102002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1985 - 05-d0-03</dc:title>
  <dc:subject/>
  <dc:creator/>
  <cp:keywords/>
  <dc:description/>
  <cp:lastModifiedBy>svcMRProcess</cp:lastModifiedBy>
  <cp:revision>4</cp:revision>
  <cp:lastPrinted>2013-11-22T03:52:00Z</cp:lastPrinted>
  <dcterms:created xsi:type="dcterms:W3CDTF">2018-09-09T07:02:00Z</dcterms:created>
  <dcterms:modified xsi:type="dcterms:W3CDTF">2018-09-09T07:02:00Z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831</vt:i4>
  </property>
  <property fmtid="{D5CDD505-2E9C-101B-9397-08002B2CF9AE}" pid="6" name="ReprintNo">
    <vt:lpwstr>5</vt:lpwstr>
  </property>
  <property fmtid="{D5CDD505-2E9C-101B-9397-08002B2CF9AE}" pid="7" name="ReprintedAsAt">
    <vt:filetime>2013-11-14T16:00:00Z</vt:filetime>
  </property>
  <property fmtid="{D5CDD505-2E9C-101B-9397-08002B2CF9AE}" pid="8" name="AsAtDate">
    <vt:lpwstr>09 Oct 2014</vt:lpwstr>
  </property>
  <property fmtid="{D5CDD505-2E9C-101B-9397-08002B2CF9AE}" pid="9" name="Suffix">
    <vt:lpwstr>05-d0-03</vt:lpwstr>
  </property>
</Properties>
</file>